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318石家庄市井陉矿区财政局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11137.99</w:t>
            </w:r>
          </w:p>
        </w:tc>
        <w:tc>
          <w:tcPr>
            <w:tcW w:w="4535" w:type="dxa"/>
            <w:vAlign w:val="center"/>
          </w:tcPr>
          <w:p>
            <w:pPr>
              <w:pStyle w:val="13"/>
            </w:pPr>
            <w:r>
              <w:t>一、一般公共服务支出</w:t>
            </w:r>
          </w:p>
        </w:tc>
        <w:tc>
          <w:tcPr>
            <w:tcW w:w="2126" w:type="dxa"/>
            <w:vAlign w:val="center"/>
          </w:tcPr>
          <w:p>
            <w:pPr>
              <w:pStyle w:val="12"/>
            </w:pPr>
            <w:r>
              <w:t>414.30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3571.48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11137.99</w:t>
            </w:r>
          </w:p>
        </w:tc>
        <w:tc>
          <w:tcPr>
            <w:tcW w:w="4535" w:type="dxa"/>
            <w:vAlign w:val="center"/>
          </w:tcPr>
          <w:p>
            <w:pPr>
              <w:pStyle w:val="15"/>
            </w:pPr>
            <w:r>
              <w:t>本年支出合计</w:t>
            </w:r>
          </w:p>
        </w:tc>
        <w:tc>
          <w:tcPr>
            <w:tcW w:w="2126" w:type="dxa"/>
            <w:vAlign w:val="center"/>
          </w:tcPr>
          <w:p>
            <w:pPr>
              <w:pStyle w:val="16"/>
            </w:pPr>
            <w:r>
              <w:t>11143.47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5.48</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11143.47</w:t>
            </w:r>
          </w:p>
        </w:tc>
        <w:tc>
          <w:tcPr>
            <w:tcW w:w="4535" w:type="dxa"/>
            <w:vAlign w:val="center"/>
          </w:tcPr>
          <w:p>
            <w:pPr>
              <w:pStyle w:val="15"/>
            </w:pPr>
            <w:r>
              <w:t>支出总计</w:t>
            </w:r>
          </w:p>
        </w:tc>
        <w:tc>
          <w:tcPr>
            <w:tcW w:w="2126" w:type="dxa"/>
            <w:vAlign w:val="center"/>
          </w:tcPr>
          <w:p>
            <w:pPr>
              <w:pStyle w:val="16"/>
            </w:pPr>
            <w:r>
              <w:t>11143.47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318石家庄市井陉矿区财政局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11143.47</w:t>
            </w:r>
          </w:p>
        </w:tc>
        <w:tc>
          <w:tcPr>
            <w:tcW w:w="1134" w:type="dxa"/>
            <w:vAlign w:val="center"/>
          </w:tcPr>
          <w:p>
            <w:pPr>
              <w:pStyle w:val="16"/>
            </w:pPr>
            <w:r>
              <w:t>11137.99</w:t>
            </w:r>
          </w:p>
        </w:tc>
        <w:tc>
          <w:tcPr>
            <w:tcW w:w="1134" w:type="dxa"/>
            <w:vAlign w:val="center"/>
          </w:tcPr>
          <w:p>
            <w:pPr>
              <w:pStyle w:val="16"/>
            </w:pPr>
            <w:r>
              <w:t>11137.99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414.30</w:t>
            </w:r>
          </w:p>
        </w:tc>
        <w:tc>
          <w:tcPr>
            <w:tcW w:w="1134" w:type="dxa"/>
            <w:vAlign w:val="center"/>
          </w:tcPr>
          <w:p>
            <w:pPr>
              <w:pStyle w:val="12"/>
            </w:pPr>
            <w:r>
              <w:t>414.30</w:t>
            </w:r>
          </w:p>
        </w:tc>
        <w:tc>
          <w:tcPr>
            <w:tcW w:w="1134" w:type="dxa"/>
            <w:vAlign w:val="center"/>
          </w:tcPr>
          <w:p>
            <w:pPr>
              <w:pStyle w:val="12"/>
            </w:pPr>
            <w:r>
              <w:t>414.30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414.30</w:t>
            </w:r>
          </w:p>
        </w:tc>
        <w:tc>
          <w:tcPr>
            <w:tcW w:w="1134" w:type="dxa"/>
            <w:vAlign w:val="center"/>
          </w:tcPr>
          <w:p>
            <w:pPr>
              <w:pStyle w:val="12"/>
            </w:pPr>
            <w:r>
              <w:t>414.30</w:t>
            </w:r>
          </w:p>
        </w:tc>
        <w:tc>
          <w:tcPr>
            <w:tcW w:w="1134" w:type="dxa"/>
            <w:vAlign w:val="center"/>
          </w:tcPr>
          <w:p>
            <w:pPr>
              <w:pStyle w:val="12"/>
            </w:pPr>
            <w:r>
              <w:t>414.30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132.28</w:t>
            </w:r>
          </w:p>
        </w:tc>
        <w:tc>
          <w:tcPr>
            <w:tcW w:w="1134" w:type="dxa"/>
            <w:vAlign w:val="center"/>
          </w:tcPr>
          <w:p>
            <w:pPr>
              <w:pStyle w:val="12"/>
            </w:pPr>
            <w:r>
              <w:t>132.28</w:t>
            </w:r>
          </w:p>
        </w:tc>
        <w:tc>
          <w:tcPr>
            <w:tcW w:w="1134" w:type="dxa"/>
            <w:vAlign w:val="center"/>
          </w:tcPr>
          <w:p>
            <w:pPr>
              <w:pStyle w:val="12"/>
            </w:pPr>
            <w:r>
              <w:t>132.28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2010602</w:t>
            </w:r>
          </w:p>
        </w:tc>
        <w:tc>
          <w:tcPr>
            <w:tcW w:w="1559" w:type="dxa"/>
            <w:vAlign w:val="center"/>
          </w:tcPr>
          <w:p>
            <w:pPr>
              <w:pStyle w:val="13"/>
            </w:pPr>
            <w:r>
              <w:t>一般行政管理事务</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2010607</w:t>
            </w:r>
          </w:p>
        </w:tc>
        <w:tc>
          <w:tcPr>
            <w:tcW w:w="1559" w:type="dxa"/>
            <w:vAlign w:val="center"/>
          </w:tcPr>
          <w:p>
            <w:pPr>
              <w:pStyle w:val="13"/>
            </w:pPr>
            <w:r>
              <w:t>信息化建设</w:t>
            </w:r>
          </w:p>
        </w:tc>
        <w:tc>
          <w:tcPr>
            <w:tcW w:w="1134" w:type="dxa"/>
            <w:vAlign w:val="center"/>
          </w:tcPr>
          <w:p>
            <w:pPr>
              <w:pStyle w:val="12"/>
            </w:pPr>
            <w:r>
              <w:t>33.80</w:t>
            </w:r>
          </w:p>
        </w:tc>
        <w:tc>
          <w:tcPr>
            <w:tcW w:w="1134" w:type="dxa"/>
            <w:vAlign w:val="center"/>
          </w:tcPr>
          <w:p>
            <w:pPr>
              <w:pStyle w:val="12"/>
            </w:pPr>
            <w:r>
              <w:t>33.80</w:t>
            </w:r>
          </w:p>
        </w:tc>
        <w:tc>
          <w:tcPr>
            <w:tcW w:w="1134" w:type="dxa"/>
            <w:vAlign w:val="center"/>
          </w:tcPr>
          <w:p>
            <w:pPr>
              <w:pStyle w:val="12"/>
            </w:pPr>
            <w:r>
              <w:t>33.80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2010608</w:t>
            </w:r>
          </w:p>
        </w:tc>
        <w:tc>
          <w:tcPr>
            <w:tcW w:w="1559" w:type="dxa"/>
            <w:vAlign w:val="center"/>
          </w:tcPr>
          <w:p>
            <w:pPr>
              <w:pStyle w:val="13"/>
            </w:pPr>
            <w:r>
              <w:t>财政委托业务支出</w:t>
            </w:r>
          </w:p>
        </w:tc>
        <w:tc>
          <w:tcPr>
            <w:tcW w:w="1134" w:type="dxa"/>
            <w:vAlign w:val="center"/>
          </w:tcPr>
          <w:p>
            <w:pPr>
              <w:pStyle w:val="12"/>
            </w:pPr>
            <w:r>
              <w:t>98.10</w:t>
            </w:r>
          </w:p>
        </w:tc>
        <w:tc>
          <w:tcPr>
            <w:tcW w:w="1134" w:type="dxa"/>
            <w:vAlign w:val="center"/>
          </w:tcPr>
          <w:p>
            <w:pPr>
              <w:pStyle w:val="12"/>
            </w:pPr>
            <w:r>
              <w:t>98.10</w:t>
            </w:r>
          </w:p>
        </w:tc>
        <w:tc>
          <w:tcPr>
            <w:tcW w:w="1134" w:type="dxa"/>
            <w:vAlign w:val="center"/>
          </w:tcPr>
          <w:p>
            <w:pPr>
              <w:pStyle w:val="12"/>
            </w:pPr>
            <w:r>
              <w:t>98.10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2010650</w:t>
            </w:r>
          </w:p>
        </w:tc>
        <w:tc>
          <w:tcPr>
            <w:tcW w:w="1559" w:type="dxa"/>
            <w:vAlign w:val="center"/>
          </w:tcPr>
          <w:p>
            <w:pPr>
              <w:pStyle w:val="13"/>
            </w:pPr>
            <w:r>
              <w:t>事业运行</w:t>
            </w:r>
          </w:p>
        </w:tc>
        <w:tc>
          <w:tcPr>
            <w:tcW w:w="1134" w:type="dxa"/>
            <w:vAlign w:val="center"/>
          </w:tcPr>
          <w:p>
            <w:pPr>
              <w:pStyle w:val="12"/>
            </w:pPr>
            <w:r>
              <w:t>147.12</w:t>
            </w:r>
          </w:p>
        </w:tc>
        <w:tc>
          <w:tcPr>
            <w:tcW w:w="1134" w:type="dxa"/>
            <w:vAlign w:val="center"/>
          </w:tcPr>
          <w:p>
            <w:pPr>
              <w:pStyle w:val="12"/>
            </w:pPr>
            <w:r>
              <w:t>147.12</w:t>
            </w:r>
          </w:p>
        </w:tc>
        <w:tc>
          <w:tcPr>
            <w:tcW w:w="1134" w:type="dxa"/>
            <w:vAlign w:val="center"/>
          </w:tcPr>
          <w:p>
            <w:pPr>
              <w:pStyle w:val="12"/>
            </w:pPr>
            <w:r>
              <w:t>147.12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102.36</w:t>
            </w:r>
          </w:p>
        </w:tc>
        <w:tc>
          <w:tcPr>
            <w:tcW w:w="1134" w:type="dxa"/>
            <w:vAlign w:val="center"/>
          </w:tcPr>
          <w:p>
            <w:pPr>
              <w:pStyle w:val="12"/>
            </w:pPr>
            <w:r>
              <w:t>102.36</w:t>
            </w:r>
          </w:p>
        </w:tc>
        <w:tc>
          <w:tcPr>
            <w:tcW w:w="1134" w:type="dxa"/>
            <w:vAlign w:val="center"/>
          </w:tcPr>
          <w:p>
            <w:pPr>
              <w:pStyle w:val="12"/>
            </w:pPr>
            <w:r>
              <w:t>102.36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2080199</w:t>
            </w:r>
          </w:p>
        </w:tc>
        <w:tc>
          <w:tcPr>
            <w:tcW w:w="1559" w:type="dxa"/>
            <w:vAlign w:val="center"/>
          </w:tcPr>
          <w:p>
            <w:pPr>
              <w:pStyle w:val="13"/>
            </w:pPr>
            <w:r>
              <w:t>其他人力资源和社会保障管理事务支出</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91.72</w:t>
            </w:r>
          </w:p>
        </w:tc>
        <w:tc>
          <w:tcPr>
            <w:tcW w:w="1134" w:type="dxa"/>
            <w:vAlign w:val="center"/>
          </w:tcPr>
          <w:p>
            <w:pPr>
              <w:pStyle w:val="12"/>
            </w:pPr>
            <w:r>
              <w:t>91.72</w:t>
            </w:r>
          </w:p>
        </w:tc>
        <w:tc>
          <w:tcPr>
            <w:tcW w:w="1134" w:type="dxa"/>
            <w:vAlign w:val="center"/>
          </w:tcPr>
          <w:p>
            <w:pPr>
              <w:pStyle w:val="12"/>
            </w:pPr>
            <w:r>
              <w:t>91.72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38.43</w:t>
            </w:r>
          </w:p>
        </w:tc>
        <w:tc>
          <w:tcPr>
            <w:tcW w:w="1134" w:type="dxa"/>
            <w:vAlign w:val="center"/>
          </w:tcPr>
          <w:p>
            <w:pPr>
              <w:pStyle w:val="12"/>
            </w:pPr>
            <w:r>
              <w:t>38.43</w:t>
            </w:r>
          </w:p>
        </w:tc>
        <w:tc>
          <w:tcPr>
            <w:tcW w:w="1134" w:type="dxa"/>
            <w:vAlign w:val="center"/>
          </w:tcPr>
          <w:p>
            <w:pPr>
              <w:pStyle w:val="12"/>
            </w:pPr>
            <w:r>
              <w:t>38.43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17.94</w:t>
            </w:r>
          </w:p>
        </w:tc>
        <w:tc>
          <w:tcPr>
            <w:tcW w:w="1134" w:type="dxa"/>
            <w:vAlign w:val="center"/>
          </w:tcPr>
          <w:p>
            <w:pPr>
              <w:pStyle w:val="12"/>
            </w:pPr>
            <w:r>
              <w:t>17.94</w:t>
            </w:r>
          </w:p>
        </w:tc>
        <w:tc>
          <w:tcPr>
            <w:tcW w:w="1134" w:type="dxa"/>
            <w:vAlign w:val="center"/>
          </w:tcPr>
          <w:p>
            <w:pPr>
              <w:pStyle w:val="12"/>
            </w:pPr>
            <w:r>
              <w:t>17.94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35.35</w:t>
            </w:r>
          </w:p>
        </w:tc>
        <w:tc>
          <w:tcPr>
            <w:tcW w:w="1134" w:type="dxa"/>
            <w:vAlign w:val="center"/>
          </w:tcPr>
          <w:p>
            <w:pPr>
              <w:pStyle w:val="12"/>
            </w:pPr>
            <w:r>
              <w:t>35.35</w:t>
            </w:r>
          </w:p>
        </w:tc>
        <w:tc>
          <w:tcPr>
            <w:tcW w:w="1134" w:type="dxa"/>
            <w:vAlign w:val="center"/>
          </w:tcPr>
          <w:p>
            <w:pPr>
              <w:pStyle w:val="12"/>
            </w:pPr>
            <w:r>
              <w:t>35.35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1.64</w:t>
            </w:r>
          </w:p>
        </w:tc>
        <w:tc>
          <w:tcPr>
            <w:tcW w:w="1134" w:type="dxa"/>
            <w:vAlign w:val="center"/>
          </w:tcPr>
          <w:p>
            <w:pPr>
              <w:pStyle w:val="12"/>
            </w:pPr>
            <w:r>
              <w:t>1.64</w:t>
            </w:r>
          </w:p>
        </w:tc>
        <w:tc>
          <w:tcPr>
            <w:tcW w:w="1134" w:type="dxa"/>
            <w:vAlign w:val="center"/>
          </w:tcPr>
          <w:p>
            <w:pPr>
              <w:pStyle w:val="12"/>
            </w:pPr>
            <w:r>
              <w:t>1.64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1.64</w:t>
            </w:r>
          </w:p>
        </w:tc>
        <w:tc>
          <w:tcPr>
            <w:tcW w:w="1134" w:type="dxa"/>
            <w:vAlign w:val="center"/>
          </w:tcPr>
          <w:p>
            <w:pPr>
              <w:pStyle w:val="12"/>
            </w:pPr>
            <w:r>
              <w:t>1.64</w:t>
            </w:r>
          </w:p>
        </w:tc>
        <w:tc>
          <w:tcPr>
            <w:tcW w:w="1134" w:type="dxa"/>
            <w:vAlign w:val="center"/>
          </w:tcPr>
          <w:p>
            <w:pPr>
              <w:pStyle w:val="12"/>
            </w:pPr>
            <w:r>
              <w:t>1.64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26.07</w:t>
            </w:r>
          </w:p>
        </w:tc>
        <w:tc>
          <w:tcPr>
            <w:tcW w:w="1134" w:type="dxa"/>
            <w:vAlign w:val="center"/>
          </w:tcPr>
          <w:p>
            <w:pPr>
              <w:pStyle w:val="12"/>
            </w:pPr>
            <w:r>
              <w:t>26.07</w:t>
            </w:r>
          </w:p>
        </w:tc>
        <w:tc>
          <w:tcPr>
            <w:tcW w:w="1134" w:type="dxa"/>
            <w:vAlign w:val="center"/>
          </w:tcPr>
          <w:p>
            <w:pPr>
              <w:pStyle w:val="12"/>
            </w:pPr>
            <w:r>
              <w:t>26.07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26.07</w:t>
            </w:r>
          </w:p>
        </w:tc>
        <w:tc>
          <w:tcPr>
            <w:tcW w:w="1134" w:type="dxa"/>
            <w:vAlign w:val="center"/>
          </w:tcPr>
          <w:p>
            <w:pPr>
              <w:pStyle w:val="12"/>
            </w:pPr>
            <w:r>
              <w:t>26.07</w:t>
            </w:r>
          </w:p>
        </w:tc>
        <w:tc>
          <w:tcPr>
            <w:tcW w:w="1134" w:type="dxa"/>
            <w:vAlign w:val="center"/>
          </w:tcPr>
          <w:p>
            <w:pPr>
              <w:pStyle w:val="12"/>
            </w:pPr>
            <w:r>
              <w:t>26.07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6.66</w:t>
            </w:r>
          </w:p>
        </w:tc>
        <w:tc>
          <w:tcPr>
            <w:tcW w:w="1134" w:type="dxa"/>
            <w:vAlign w:val="center"/>
          </w:tcPr>
          <w:p>
            <w:pPr>
              <w:pStyle w:val="12"/>
            </w:pPr>
            <w:r>
              <w:t>6.66</w:t>
            </w:r>
          </w:p>
        </w:tc>
        <w:tc>
          <w:tcPr>
            <w:tcW w:w="1134" w:type="dxa"/>
            <w:vAlign w:val="center"/>
          </w:tcPr>
          <w:p>
            <w:pPr>
              <w:pStyle w:val="12"/>
            </w:pPr>
            <w:r>
              <w:t>6.66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8.03</w:t>
            </w:r>
          </w:p>
        </w:tc>
        <w:tc>
          <w:tcPr>
            <w:tcW w:w="1134" w:type="dxa"/>
            <w:vAlign w:val="center"/>
          </w:tcPr>
          <w:p>
            <w:pPr>
              <w:pStyle w:val="12"/>
            </w:pPr>
            <w:r>
              <w:t>8.03</w:t>
            </w:r>
          </w:p>
        </w:tc>
        <w:tc>
          <w:tcPr>
            <w:tcW w:w="1134" w:type="dxa"/>
            <w:vAlign w:val="center"/>
          </w:tcPr>
          <w:p>
            <w:pPr>
              <w:pStyle w:val="12"/>
            </w:pPr>
            <w:r>
              <w:t>8.03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11.38</w:t>
            </w:r>
          </w:p>
        </w:tc>
        <w:tc>
          <w:tcPr>
            <w:tcW w:w="1134" w:type="dxa"/>
            <w:vAlign w:val="center"/>
          </w:tcPr>
          <w:p>
            <w:pPr>
              <w:pStyle w:val="12"/>
            </w:pPr>
            <w:r>
              <w:t>11.38</w:t>
            </w:r>
          </w:p>
        </w:tc>
        <w:tc>
          <w:tcPr>
            <w:tcW w:w="1134" w:type="dxa"/>
            <w:vAlign w:val="center"/>
          </w:tcPr>
          <w:p>
            <w:pPr>
              <w:pStyle w:val="12"/>
            </w:pPr>
            <w:r>
              <w:t>11.38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3571.48</w:t>
            </w:r>
          </w:p>
        </w:tc>
        <w:tc>
          <w:tcPr>
            <w:tcW w:w="1134" w:type="dxa"/>
            <w:vAlign w:val="center"/>
          </w:tcPr>
          <w:p>
            <w:pPr>
              <w:pStyle w:val="12"/>
            </w:pPr>
            <w:r>
              <w:t>3566.00</w:t>
            </w:r>
          </w:p>
        </w:tc>
        <w:tc>
          <w:tcPr>
            <w:tcW w:w="1134" w:type="dxa"/>
            <w:vAlign w:val="center"/>
          </w:tcPr>
          <w:p>
            <w:pPr>
              <w:pStyle w:val="12"/>
            </w:pPr>
            <w:r>
              <w:t>3566.00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3571.48</w:t>
            </w:r>
          </w:p>
        </w:tc>
        <w:tc>
          <w:tcPr>
            <w:tcW w:w="1134" w:type="dxa"/>
            <w:vAlign w:val="center"/>
          </w:tcPr>
          <w:p>
            <w:pPr>
              <w:pStyle w:val="12"/>
            </w:pPr>
            <w:r>
              <w:t>3566.00</w:t>
            </w:r>
          </w:p>
        </w:tc>
        <w:tc>
          <w:tcPr>
            <w:tcW w:w="1134" w:type="dxa"/>
            <w:vAlign w:val="center"/>
          </w:tcPr>
          <w:p>
            <w:pPr>
              <w:pStyle w:val="12"/>
            </w:pPr>
            <w:r>
              <w:t>3566.00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2130199</w:t>
            </w:r>
          </w:p>
        </w:tc>
        <w:tc>
          <w:tcPr>
            <w:tcW w:w="1559" w:type="dxa"/>
            <w:vAlign w:val="center"/>
          </w:tcPr>
          <w:p>
            <w:pPr>
              <w:pStyle w:val="13"/>
            </w:pPr>
            <w:r>
              <w:t>其他农业农村支出</w:t>
            </w:r>
          </w:p>
        </w:tc>
        <w:tc>
          <w:tcPr>
            <w:tcW w:w="1134" w:type="dxa"/>
            <w:vAlign w:val="center"/>
          </w:tcPr>
          <w:p>
            <w:pPr>
              <w:pStyle w:val="12"/>
            </w:pPr>
            <w:r>
              <w:t>3571.48</w:t>
            </w:r>
          </w:p>
        </w:tc>
        <w:tc>
          <w:tcPr>
            <w:tcW w:w="1134" w:type="dxa"/>
            <w:vAlign w:val="center"/>
          </w:tcPr>
          <w:p>
            <w:pPr>
              <w:pStyle w:val="12"/>
            </w:pPr>
            <w:r>
              <w:t>3566.00</w:t>
            </w:r>
          </w:p>
        </w:tc>
        <w:tc>
          <w:tcPr>
            <w:tcW w:w="1134" w:type="dxa"/>
            <w:vAlign w:val="center"/>
          </w:tcPr>
          <w:p>
            <w:pPr>
              <w:pStyle w:val="12"/>
            </w:pPr>
            <w:r>
              <w:t>3566.00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220</w:t>
            </w:r>
          </w:p>
        </w:tc>
        <w:tc>
          <w:tcPr>
            <w:tcW w:w="1559" w:type="dxa"/>
            <w:vAlign w:val="center"/>
          </w:tcPr>
          <w:p>
            <w:pPr>
              <w:pStyle w:val="13"/>
            </w:pPr>
            <w:r>
              <w:t>自然资源海洋气象等支出</w:t>
            </w:r>
          </w:p>
        </w:tc>
        <w:tc>
          <w:tcPr>
            <w:tcW w:w="1134" w:type="dxa"/>
            <w:vAlign w:val="center"/>
          </w:tcPr>
          <w:p>
            <w:pPr>
              <w:pStyle w:val="12"/>
            </w:pPr>
            <w:r>
              <w:t>7000.00</w:t>
            </w:r>
          </w:p>
        </w:tc>
        <w:tc>
          <w:tcPr>
            <w:tcW w:w="1134" w:type="dxa"/>
            <w:vAlign w:val="center"/>
          </w:tcPr>
          <w:p>
            <w:pPr>
              <w:pStyle w:val="12"/>
            </w:pPr>
            <w:r>
              <w:t>7000.00</w:t>
            </w:r>
          </w:p>
        </w:tc>
        <w:tc>
          <w:tcPr>
            <w:tcW w:w="1134" w:type="dxa"/>
            <w:vAlign w:val="center"/>
          </w:tcPr>
          <w:p>
            <w:pPr>
              <w:pStyle w:val="12"/>
            </w:pPr>
            <w:r>
              <w:t>7000.00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22001</w:t>
            </w:r>
          </w:p>
        </w:tc>
        <w:tc>
          <w:tcPr>
            <w:tcW w:w="1559" w:type="dxa"/>
            <w:vAlign w:val="center"/>
          </w:tcPr>
          <w:p>
            <w:pPr>
              <w:pStyle w:val="13"/>
            </w:pPr>
            <w:r>
              <w:t>自然资源事务</w:t>
            </w:r>
          </w:p>
        </w:tc>
        <w:tc>
          <w:tcPr>
            <w:tcW w:w="1134" w:type="dxa"/>
            <w:vAlign w:val="center"/>
          </w:tcPr>
          <w:p>
            <w:pPr>
              <w:pStyle w:val="12"/>
            </w:pPr>
            <w:r>
              <w:t>7000.00</w:t>
            </w:r>
          </w:p>
        </w:tc>
        <w:tc>
          <w:tcPr>
            <w:tcW w:w="1134" w:type="dxa"/>
            <w:vAlign w:val="center"/>
          </w:tcPr>
          <w:p>
            <w:pPr>
              <w:pStyle w:val="12"/>
            </w:pPr>
            <w:r>
              <w:t>7000.00</w:t>
            </w:r>
          </w:p>
        </w:tc>
        <w:tc>
          <w:tcPr>
            <w:tcW w:w="1134" w:type="dxa"/>
            <w:vAlign w:val="center"/>
          </w:tcPr>
          <w:p>
            <w:pPr>
              <w:pStyle w:val="12"/>
            </w:pPr>
            <w:r>
              <w:t>7000.00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2200112</w:t>
            </w:r>
          </w:p>
        </w:tc>
        <w:tc>
          <w:tcPr>
            <w:tcW w:w="1559" w:type="dxa"/>
            <w:vAlign w:val="center"/>
          </w:tcPr>
          <w:p>
            <w:pPr>
              <w:pStyle w:val="13"/>
            </w:pPr>
            <w:r>
              <w:t>土地资源储备支出</w:t>
            </w:r>
          </w:p>
        </w:tc>
        <w:tc>
          <w:tcPr>
            <w:tcW w:w="1134" w:type="dxa"/>
            <w:vAlign w:val="center"/>
          </w:tcPr>
          <w:p>
            <w:pPr>
              <w:pStyle w:val="12"/>
            </w:pPr>
            <w:r>
              <w:t>7000.00</w:t>
            </w:r>
          </w:p>
        </w:tc>
        <w:tc>
          <w:tcPr>
            <w:tcW w:w="1134" w:type="dxa"/>
            <w:vAlign w:val="center"/>
          </w:tcPr>
          <w:p>
            <w:pPr>
              <w:pStyle w:val="12"/>
            </w:pPr>
            <w:r>
              <w:t>7000.00</w:t>
            </w:r>
          </w:p>
        </w:tc>
        <w:tc>
          <w:tcPr>
            <w:tcW w:w="1134" w:type="dxa"/>
            <w:vAlign w:val="center"/>
          </w:tcPr>
          <w:p>
            <w:pPr>
              <w:pStyle w:val="12"/>
            </w:pPr>
            <w:r>
              <w:t>7000.00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29.26</w:t>
            </w:r>
          </w:p>
        </w:tc>
        <w:tc>
          <w:tcPr>
            <w:tcW w:w="1134" w:type="dxa"/>
            <w:vAlign w:val="center"/>
          </w:tcPr>
          <w:p>
            <w:pPr>
              <w:pStyle w:val="12"/>
            </w:pPr>
            <w:r>
              <w:t>29.26</w:t>
            </w:r>
          </w:p>
        </w:tc>
        <w:tc>
          <w:tcPr>
            <w:tcW w:w="1134" w:type="dxa"/>
            <w:vAlign w:val="center"/>
          </w:tcPr>
          <w:p>
            <w:pPr>
              <w:pStyle w:val="12"/>
            </w:pPr>
            <w:r>
              <w:t>29.26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29.26</w:t>
            </w:r>
          </w:p>
        </w:tc>
        <w:tc>
          <w:tcPr>
            <w:tcW w:w="1134" w:type="dxa"/>
            <w:vAlign w:val="center"/>
          </w:tcPr>
          <w:p>
            <w:pPr>
              <w:pStyle w:val="12"/>
            </w:pPr>
            <w:r>
              <w:t>29.26</w:t>
            </w:r>
          </w:p>
        </w:tc>
        <w:tc>
          <w:tcPr>
            <w:tcW w:w="1134" w:type="dxa"/>
            <w:vAlign w:val="center"/>
          </w:tcPr>
          <w:p>
            <w:pPr>
              <w:pStyle w:val="12"/>
            </w:pPr>
            <w:r>
              <w:t>29.26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29.26</w:t>
            </w:r>
          </w:p>
        </w:tc>
        <w:tc>
          <w:tcPr>
            <w:tcW w:w="1134" w:type="dxa"/>
            <w:vAlign w:val="center"/>
          </w:tcPr>
          <w:p>
            <w:pPr>
              <w:pStyle w:val="12"/>
            </w:pPr>
            <w:r>
              <w:t>29.26</w:t>
            </w:r>
          </w:p>
        </w:tc>
        <w:tc>
          <w:tcPr>
            <w:tcW w:w="1134" w:type="dxa"/>
            <w:vAlign w:val="center"/>
          </w:tcPr>
          <w:p>
            <w:pPr>
              <w:pStyle w:val="12"/>
            </w:pPr>
            <w:r>
              <w:t>29.26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318石家庄市井陉矿区财政局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11143.47</w:t>
            </w:r>
          </w:p>
        </w:tc>
        <w:tc>
          <w:tcPr>
            <w:tcW w:w="1361" w:type="dxa"/>
            <w:vAlign w:val="center"/>
          </w:tcPr>
          <w:p>
            <w:pPr>
              <w:pStyle w:val="16"/>
            </w:pPr>
            <w:r>
              <w:t>428.09</w:t>
            </w:r>
          </w:p>
        </w:tc>
        <w:tc>
          <w:tcPr>
            <w:tcW w:w="1361" w:type="dxa"/>
            <w:vAlign w:val="center"/>
          </w:tcPr>
          <w:p>
            <w:pPr>
              <w:pStyle w:val="16"/>
            </w:pPr>
            <w:r>
              <w:t>10715.38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414.30</w:t>
            </w:r>
          </w:p>
        </w:tc>
        <w:tc>
          <w:tcPr>
            <w:tcW w:w="1361" w:type="dxa"/>
            <w:vAlign w:val="center"/>
          </w:tcPr>
          <w:p>
            <w:pPr>
              <w:pStyle w:val="12"/>
            </w:pPr>
            <w:r>
              <w:t>279.40</w:t>
            </w:r>
          </w:p>
        </w:tc>
        <w:tc>
          <w:tcPr>
            <w:tcW w:w="1361" w:type="dxa"/>
            <w:vAlign w:val="center"/>
          </w:tcPr>
          <w:p>
            <w:pPr>
              <w:pStyle w:val="12"/>
            </w:pPr>
            <w:r>
              <w:t>134.90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414.30</w:t>
            </w:r>
          </w:p>
        </w:tc>
        <w:tc>
          <w:tcPr>
            <w:tcW w:w="1361" w:type="dxa"/>
            <w:vAlign w:val="center"/>
          </w:tcPr>
          <w:p>
            <w:pPr>
              <w:pStyle w:val="12"/>
            </w:pPr>
            <w:r>
              <w:t>279.40</w:t>
            </w:r>
          </w:p>
        </w:tc>
        <w:tc>
          <w:tcPr>
            <w:tcW w:w="1361" w:type="dxa"/>
            <w:vAlign w:val="center"/>
          </w:tcPr>
          <w:p>
            <w:pPr>
              <w:pStyle w:val="12"/>
            </w:pPr>
            <w:r>
              <w:t>134.90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132.28</w:t>
            </w:r>
          </w:p>
        </w:tc>
        <w:tc>
          <w:tcPr>
            <w:tcW w:w="1361" w:type="dxa"/>
            <w:vAlign w:val="center"/>
          </w:tcPr>
          <w:p>
            <w:pPr>
              <w:pStyle w:val="12"/>
            </w:pPr>
            <w:r>
              <w:t>132.28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2010602</w:t>
            </w:r>
          </w:p>
        </w:tc>
        <w:tc>
          <w:tcPr>
            <w:tcW w:w="4535" w:type="dxa"/>
            <w:vAlign w:val="center"/>
          </w:tcPr>
          <w:p>
            <w:pPr>
              <w:pStyle w:val="13"/>
            </w:pPr>
            <w:r>
              <w:t>一般行政管理事务</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2010607</w:t>
            </w:r>
          </w:p>
        </w:tc>
        <w:tc>
          <w:tcPr>
            <w:tcW w:w="4535" w:type="dxa"/>
            <w:vAlign w:val="center"/>
          </w:tcPr>
          <w:p>
            <w:pPr>
              <w:pStyle w:val="13"/>
            </w:pPr>
            <w:r>
              <w:t>信息化建设</w:t>
            </w:r>
          </w:p>
        </w:tc>
        <w:tc>
          <w:tcPr>
            <w:tcW w:w="1361" w:type="dxa"/>
            <w:vAlign w:val="center"/>
          </w:tcPr>
          <w:p>
            <w:pPr>
              <w:pStyle w:val="12"/>
            </w:pPr>
            <w:r>
              <w:t>33.80</w:t>
            </w:r>
          </w:p>
        </w:tc>
        <w:tc>
          <w:tcPr>
            <w:tcW w:w="1361" w:type="dxa"/>
            <w:vAlign w:val="center"/>
          </w:tcPr>
          <w:p>
            <w:pPr>
              <w:pStyle w:val="12"/>
            </w:pPr>
          </w:p>
        </w:tc>
        <w:tc>
          <w:tcPr>
            <w:tcW w:w="1361" w:type="dxa"/>
            <w:vAlign w:val="center"/>
          </w:tcPr>
          <w:p>
            <w:pPr>
              <w:pStyle w:val="12"/>
            </w:pPr>
            <w:r>
              <w:t>33.80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2010608</w:t>
            </w:r>
          </w:p>
        </w:tc>
        <w:tc>
          <w:tcPr>
            <w:tcW w:w="4535" w:type="dxa"/>
            <w:vAlign w:val="center"/>
          </w:tcPr>
          <w:p>
            <w:pPr>
              <w:pStyle w:val="13"/>
            </w:pPr>
            <w:r>
              <w:t>财政委托业务支出</w:t>
            </w:r>
          </w:p>
        </w:tc>
        <w:tc>
          <w:tcPr>
            <w:tcW w:w="1361" w:type="dxa"/>
            <w:vAlign w:val="center"/>
          </w:tcPr>
          <w:p>
            <w:pPr>
              <w:pStyle w:val="12"/>
            </w:pPr>
            <w:r>
              <w:t>98.10</w:t>
            </w:r>
          </w:p>
        </w:tc>
        <w:tc>
          <w:tcPr>
            <w:tcW w:w="1361" w:type="dxa"/>
            <w:vAlign w:val="center"/>
          </w:tcPr>
          <w:p>
            <w:pPr>
              <w:pStyle w:val="12"/>
            </w:pPr>
          </w:p>
        </w:tc>
        <w:tc>
          <w:tcPr>
            <w:tcW w:w="1361" w:type="dxa"/>
            <w:vAlign w:val="center"/>
          </w:tcPr>
          <w:p>
            <w:pPr>
              <w:pStyle w:val="12"/>
            </w:pPr>
            <w:r>
              <w:t>98.10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2010650</w:t>
            </w:r>
          </w:p>
        </w:tc>
        <w:tc>
          <w:tcPr>
            <w:tcW w:w="4535" w:type="dxa"/>
            <w:vAlign w:val="center"/>
          </w:tcPr>
          <w:p>
            <w:pPr>
              <w:pStyle w:val="13"/>
            </w:pPr>
            <w:r>
              <w:t>事业运行</w:t>
            </w:r>
          </w:p>
        </w:tc>
        <w:tc>
          <w:tcPr>
            <w:tcW w:w="1361" w:type="dxa"/>
            <w:vAlign w:val="center"/>
          </w:tcPr>
          <w:p>
            <w:pPr>
              <w:pStyle w:val="12"/>
            </w:pPr>
            <w:r>
              <w:t>147.12</w:t>
            </w:r>
          </w:p>
        </w:tc>
        <w:tc>
          <w:tcPr>
            <w:tcW w:w="1361" w:type="dxa"/>
            <w:vAlign w:val="center"/>
          </w:tcPr>
          <w:p>
            <w:pPr>
              <w:pStyle w:val="12"/>
            </w:pPr>
            <w:r>
              <w:t>147.12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102.36</w:t>
            </w:r>
          </w:p>
        </w:tc>
        <w:tc>
          <w:tcPr>
            <w:tcW w:w="1361" w:type="dxa"/>
            <w:vAlign w:val="center"/>
          </w:tcPr>
          <w:p>
            <w:pPr>
              <w:pStyle w:val="12"/>
            </w:pPr>
            <w:r>
              <w:t>93.36</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2080199</w:t>
            </w:r>
          </w:p>
        </w:tc>
        <w:tc>
          <w:tcPr>
            <w:tcW w:w="4535" w:type="dxa"/>
            <w:vAlign w:val="center"/>
          </w:tcPr>
          <w:p>
            <w:pPr>
              <w:pStyle w:val="13"/>
            </w:pPr>
            <w:r>
              <w:t>其他人力资源和社会保障管理事务支出</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91.72</w:t>
            </w:r>
          </w:p>
        </w:tc>
        <w:tc>
          <w:tcPr>
            <w:tcW w:w="1361" w:type="dxa"/>
            <w:vAlign w:val="center"/>
          </w:tcPr>
          <w:p>
            <w:pPr>
              <w:pStyle w:val="12"/>
            </w:pPr>
            <w:r>
              <w:t>91.72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38.43</w:t>
            </w:r>
          </w:p>
        </w:tc>
        <w:tc>
          <w:tcPr>
            <w:tcW w:w="1361" w:type="dxa"/>
            <w:vAlign w:val="center"/>
          </w:tcPr>
          <w:p>
            <w:pPr>
              <w:pStyle w:val="12"/>
            </w:pPr>
            <w:r>
              <w:t>38.43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17.94</w:t>
            </w:r>
          </w:p>
        </w:tc>
        <w:tc>
          <w:tcPr>
            <w:tcW w:w="1361" w:type="dxa"/>
            <w:vAlign w:val="center"/>
          </w:tcPr>
          <w:p>
            <w:pPr>
              <w:pStyle w:val="12"/>
            </w:pPr>
            <w:r>
              <w:t>17.94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35.35</w:t>
            </w:r>
          </w:p>
        </w:tc>
        <w:tc>
          <w:tcPr>
            <w:tcW w:w="1361" w:type="dxa"/>
            <w:vAlign w:val="center"/>
          </w:tcPr>
          <w:p>
            <w:pPr>
              <w:pStyle w:val="12"/>
            </w:pPr>
            <w:r>
              <w:t>35.35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1.64</w:t>
            </w:r>
          </w:p>
        </w:tc>
        <w:tc>
          <w:tcPr>
            <w:tcW w:w="1361" w:type="dxa"/>
            <w:vAlign w:val="center"/>
          </w:tcPr>
          <w:p>
            <w:pPr>
              <w:pStyle w:val="12"/>
            </w:pPr>
            <w:r>
              <w:t>1.64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1.64</w:t>
            </w:r>
          </w:p>
        </w:tc>
        <w:tc>
          <w:tcPr>
            <w:tcW w:w="1361" w:type="dxa"/>
            <w:vAlign w:val="center"/>
          </w:tcPr>
          <w:p>
            <w:pPr>
              <w:pStyle w:val="12"/>
            </w:pPr>
            <w:r>
              <w:t>1.64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26.07</w:t>
            </w:r>
          </w:p>
        </w:tc>
        <w:tc>
          <w:tcPr>
            <w:tcW w:w="1361" w:type="dxa"/>
            <w:vAlign w:val="center"/>
          </w:tcPr>
          <w:p>
            <w:pPr>
              <w:pStyle w:val="12"/>
            </w:pPr>
            <w:r>
              <w:t>26.07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26.07</w:t>
            </w:r>
          </w:p>
        </w:tc>
        <w:tc>
          <w:tcPr>
            <w:tcW w:w="1361" w:type="dxa"/>
            <w:vAlign w:val="center"/>
          </w:tcPr>
          <w:p>
            <w:pPr>
              <w:pStyle w:val="12"/>
            </w:pPr>
            <w:r>
              <w:t>26.07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6.66</w:t>
            </w:r>
          </w:p>
        </w:tc>
        <w:tc>
          <w:tcPr>
            <w:tcW w:w="1361" w:type="dxa"/>
            <w:vAlign w:val="center"/>
          </w:tcPr>
          <w:p>
            <w:pPr>
              <w:pStyle w:val="12"/>
            </w:pPr>
            <w:r>
              <w:t>6.66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8.03</w:t>
            </w:r>
          </w:p>
        </w:tc>
        <w:tc>
          <w:tcPr>
            <w:tcW w:w="1361" w:type="dxa"/>
            <w:vAlign w:val="center"/>
          </w:tcPr>
          <w:p>
            <w:pPr>
              <w:pStyle w:val="12"/>
            </w:pPr>
            <w:r>
              <w:t>8.03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11.38</w:t>
            </w:r>
          </w:p>
        </w:tc>
        <w:tc>
          <w:tcPr>
            <w:tcW w:w="1361" w:type="dxa"/>
            <w:vAlign w:val="center"/>
          </w:tcPr>
          <w:p>
            <w:pPr>
              <w:pStyle w:val="12"/>
            </w:pPr>
            <w:r>
              <w:t>11.38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3571.48</w:t>
            </w:r>
          </w:p>
        </w:tc>
        <w:tc>
          <w:tcPr>
            <w:tcW w:w="1361" w:type="dxa"/>
            <w:vAlign w:val="center"/>
          </w:tcPr>
          <w:p>
            <w:pPr>
              <w:pStyle w:val="12"/>
            </w:pPr>
          </w:p>
        </w:tc>
        <w:tc>
          <w:tcPr>
            <w:tcW w:w="1361" w:type="dxa"/>
            <w:vAlign w:val="center"/>
          </w:tcPr>
          <w:p>
            <w:pPr>
              <w:pStyle w:val="12"/>
            </w:pPr>
            <w:r>
              <w:t>3571.48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3571.48</w:t>
            </w:r>
          </w:p>
        </w:tc>
        <w:tc>
          <w:tcPr>
            <w:tcW w:w="1361" w:type="dxa"/>
            <w:vAlign w:val="center"/>
          </w:tcPr>
          <w:p>
            <w:pPr>
              <w:pStyle w:val="12"/>
            </w:pPr>
          </w:p>
        </w:tc>
        <w:tc>
          <w:tcPr>
            <w:tcW w:w="1361" w:type="dxa"/>
            <w:vAlign w:val="center"/>
          </w:tcPr>
          <w:p>
            <w:pPr>
              <w:pStyle w:val="12"/>
            </w:pPr>
            <w:r>
              <w:t>3571.48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2130199</w:t>
            </w:r>
          </w:p>
        </w:tc>
        <w:tc>
          <w:tcPr>
            <w:tcW w:w="4535" w:type="dxa"/>
            <w:vAlign w:val="center"/>
          </w:tcPr>
          <w:p>
            <w:pPr>
              <w:pStyle w:val="13"/>
            </w:pPr>
            <w:r>
              <w:t>其他农业农村支出</w:t>
            </w:r>
          </w:p>
        </w:tc>
        <w:tc>
          <w:tcPr>
            <w:tcW w:w="1361" w:type="dxa"/>
            <w:vAlign w:val="center"/>
          </w:tcPr>
          <w:p>
            <w:pPr>
              <w:pStyle w:val="12"/>
            </w:pPr>
            <w:r>
              <w:t>3571.48</w:t>
            </w:r>
          </w:p>
        </w:tc>
        <w:tc>
          <w:tcPr>
            <w:tcW w:w="1361" w:type="dxa"/>
            <w:vAlign w:val="center"/>
          </w:tcPr>
          <w:p>
            <w:pPr>
              <w:pStyle w:val="12"/>
            </w:pPr>
          </w:p>
        </w:tc>
        <w:tc>
          <w:tcPr>
            <w:tcW w:w="1361" w:type="dxa"/>
            <w:vAlign w:val="center"/>
          </w:tcPr>
          <w:p>
            <w:pPr>
              <w:pStyle w:val="12"/>
            </w:pPr>
            <w:r>
              <w:t>3571.48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220</w:t>
            </w:r>
          </w:p>
        </w:tc>
        <w:tc>
          <w:tcPr>
            <w:tcW w:w="4535" w:type="dxa"/>
            <w:vAlign w:val="center"/>
          </w:tcPr>
          <w:p>
            <w:pPr>
              <w:pStyle w:val="13"/>
            </w:pPr>
            <w:r>
              <w:t>自然资源海洋气象等支出</w:t>
            </w:r>
          </w:p>
        </w:tc>
        <w:tc>
          <w:tcPr>
            <w:tcW w:w="1361" w:type="dxa"/>
            <w:vAlign w:val="center"/>
          </w:tcPr>
          <w:p>
            <w:pPr>
              <w:pStyle w:val="12"/>
            </w:pPr>
            <w:r>
              <w:t>7000.00</w:t>
            </w:r>
          </w:p>
        </w:tc>
        <w:tc>
          <w:tcPr>
            <w:tcW w:w="1361" w:type="dxa"/>
            <w:vAlign w:val="center"/>
          </w:tcPr>
          <w:p>
            <w:pPr>
              <w:pStyle w:val="12"/>
            </w:pPr>
          </w:p>
        </w:tc>
        <w:tc>
          <w:tcPr>
            <w:tcW w:w="1361" w:type="dxa"/>
            <w:vAlign w:val="center"/>
          </w:tcPr>
          <w:p>
            <w:pPr>
              <w:pStyle w:val="12"/>
            </w:pPr>
            <w:r>
              <w:t>7000.00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22001</w:t>
            </w:r>
          </w:p>
        </w:tc>
        <w:tc>
          <w:tcPr>
            <w:tcW w:w="4535" w:type="dxa"/>
            <w:vAlign w:val="center"/>
          </w:tcPr>
          <w:p>
            <w:pPr>
              <w:pStyle w:val="13"/>
            </w:pPr>
            <w:r>
              <w:t>自然资源事务</w:t>
            </w:r>
          </w:p>
        </w:tc>
        <w:tc>
          <w:tcPr>
            <w:tcW w:w="1361" w:type="dxa"/>
            <w:vAlign w:val="center"/>
          </w:tcPr>
          <w:p>
            <w:pPr>
              <w:pStyle w:val="12"/>
            </w:pPr>
            <w:r>
              <w:t>7000.00</w:t>
            </w:r>
          </w:p>
        </w:tc>
        <w:tc>
          <w:tcPr>
            <w:tcW w:w="1361" w:type="dxa"/>
            <w:vAlign w:val="center"/>
          </w:tcPr>
          <w:p>
            <w:pPr>
              <w:pStyle w:val="12"/>
            </w:pPr>
          </w:p>
        </w:tc>
        <w:tc>
          <w:tcPr>
            <w:tcW w:w="1361" w:type="dxa"/>
            <w:vAlign w:val="center"/>
          </w:tcPr>
          <w:p>
            <w:pPr>
              <w:pStyle w:val="12"/>
            </w:pPr>
            <w:r>
              <w:t>7000.00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2200112</w:t>
            </w:r>
          </w:p>
        </w:tc>
        <w:tc>
          <w:tcPr>
            <w:tcW w:w="4535" w:type="dxa"/>
            <w:vAlign w:val="center"/>
          </w:tcPr>
          <w:p>
            <w:pPr>
              <w:pStyle w:val="13"/>
            </w:pPr>
            <w:r>
              <w:t>土地资源储备支出</w:t>
            </w:r>
          </w:p>
        </w:tc>
        <w:tc>
          <w:tcPr>
            <w:tcW w:w="1361" w:type="dxa"/>
            <w:vAlign w:val="center"/>
          </w:tcPr>
          <w:p>
            <w:pPr>
              <w:pStyle w:val="12"/>
            </w:pPr>
            <w:r>
              <w:t>7000.00</w:t>
            </w:r>
          </w:p>
        </w:tc>
        <w:tc>
          <w:tcPr>
            <w:tcW w:w="1361" w:type="dxa"/>
            <w:vAlign w:val="center"/>
          </w:tcPr>
          <w:p>
            <w:pPr>
              <w:pStyle w:val="12"/>
            </w:pPr>
          </w:p>
        </w:tc>
        <w:tc>
          <w:tcPr>
            <w:tcW w:w="1361" w:type="dxa"/>
            <w:vAlign w:val="center"/>
          </w:tcPr>
          <w:p>
            <w:pPr>
              <w:pStyle w:val="12"/>
            </w:pPr>
            <w:r>
              <w:t>7000.00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29.26</w:t>
            </w:r>
          </w:p>
        </w:tc>
        <w:tc>
          <w:tcPr>
            <w:tcW w:w="1361" w:type="dxa"/>
            <w:vAlign w:val="center"/>
          </w:tcPr>
          <w:p>
            <w:pPr>
              <w:pStyle w:val="12"/>
            </w:pPr>
            <w:r>
              <w:t>29.26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29.26</w:t>
            </w:r>
          </w:p>
        </w:tc>
        <w:tc>
          <w:tcPr>
            <w:tcW w:w="1361" w:type="dxa"/>
            <w:vAlign w:val="center"/>
          </w:tcPr>
          <w:p>
            <w:pPr>
              <w:pStyle w:val="12"/>
            </w:pPr>
            <w:r>
              <w:t>29.26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29.26</w:t>
            </w:r>
          </w:p>
        </w:tc>
        <w:tc>
          <w:tcPr>
            <w:tcW w:w="1361" w:type="dxa"/>
            <w:vAlign w:val="center"/>
          </w:tcPr>
          <w:p>
            <w:pPr>
              <w:pStyle w:val="12"/>
            </w:pPr>
            <w:r>
              <w:t>29.26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318石家庄市井陉矿区财政局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11137.99</w:t>
            </w:r>
          </w:p>
        </w:tc>
        <w:tc>
          <w:tcPr>
            <w:tcW w:w="3402" w:type="dxa"/>
            <w:vAlign w:val="center"/>
          </w:tcPr>
          <w:p>
            <w:pPr>
              <w:pStyle w:val="13"/>
            </w:pPr>
            <w:r>
              <w:t>一、一般公共服务支出</w:t>
            </w:r>
          </w:p>
        </w:tc>
        <w:tc>
          <w:tcPr>
            <w:tcW w:w="1474" w:type="dxa"/>
            <w:vAlign w:val="center"/>
          </w:tcPr>
          <w:p>
            <w:pPr>
              <w:pStyle w:val="12"/>
            </w:pPr>
            <w:r>
              <w:t>414.30</w:t>
            </w:r>
          </w:p>
        </w:tc>
        <w:tc>
          <w:tcPr>
            <w:tcW w:w="1474" w:type="dxa"/>
            <w:vAlign w:val="center"/>
          </w:tcPr>
          <w:p>
            <w:pPr>
              <w:pStyle w:val="12"/>
            </w:pPr>
            <w:r>
              <w:t>414.30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102.36</w:t>
            </w:r>
          </w:p>
        </w:tc>
        <w:tc>
          <w:tcPr>
            <w:tcW w:w="1474" w:type="dxa"/>
            <w:vAlign w:val="center"/>
          </w:tcPr>
          <w:p>
            <w:pPr>
              <w:pStyle w:val="12"/>
            </w:pPr>
            <w:r>
              <w:t>102.36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26.07</w:t>
            </w:r>
          </w:p>
        </w:tc>
        <w:tc>
          <w:tcPr>
            <w:tcW w:w="1474" w:type="dxa"/>
            <w:vAlign w:val="center"/>
          </w:tcPr>
          <w:p>
            <w:pPr>
              <w:pStyle w:val="12"/>
            </w:pPr>
            <w:r>
              <w:t>26.07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3571.48</w:t>
            </w:r>
          </w:p>
        </w:tc>
        <w:tc>
          <w:tcPr>
            <w:tcW w:w="1474" w:type="dxa"/>
            <w:vAlign w:val="center"/>
          </w:tcPr>
          <w:p>
            <w:pPr>
              <w:pStyle w:val="12"/>
            </w:pPr>
            <w:r>
              <w:t>3571.48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r>
              <w:t>7000.00</w:t>
            </w:r>
          </w:p>
        </w:tc>
        <w:tc>
          <w:tcPr>
            <w:tcW w:w="1474" w:type="dxa"/>
            <w:vAlign w:val="center"/>
          </w:tcPr>
          <w:p>
            <w:pPr>
              <w:pStyle w:val="12"/>
            </w:pPr>
            <w:r>
              <w:t>7000.00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29.26</w:t>
            </w:r>
          </w:p>
        </w:tc>
        <w:tc>
          <w:tcPr>
            <w:tcW w:w="1474" w:type="dxa"/>
            <w:vAlign w:val="center"/>
          </w:tcPr>
          <w:p>
            <w:pPr>
              <w:pStyle w:val="12"/>
            </w:pPr>
            <w:r>
              <w:t>29.26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11137.99</w:t>
            </w:r>
          </w:p>
        </w:tc>
        <w:tc>
          <w:tcPr>
            <w:tcW w:w="3402" w:type="dxa"/>
            <w:vAlign w:val="center"/>
          </w:tcPr>
          <w:p>
            <w:pPr>
              <w:pStyle w:val="15"/>
            </w:pPr>
            <w:r>
              <w:t>本年支出合计</w:t>
            </w:r>
          </w:p>
        </w:tc>
        <w:tc>
          <w:tcPr>
            <w:tcW w:w="1474" w:type="dxa"/>
            <w:vAlign w:val="center"/>
          </w:tcPr>
          <w:p>
            <w:pPr>
              <w:pStyle w:val="16"/>
            </w:pPr>
            <w:r>
              <w:t>11143.47</w:t>
            </w:r>
          </w:p>
        </w:tc>
        <w:tc>
          <w:tcPr>
            <w:tcW w:w="1474" w:type="dxa"/>
            <w:vAlign w:val="center"/>
          </w:tcPr>
          <w:p>
            <w:pPr>
              <w:pStyle w:val="16"/>
            </w:pPr>
            <w:r>
              <w:t>11143.47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5.48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5.48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11143.47</w:t>
            </w:r>
          </w:p>
        </w:tc>
        <w:tc>
          <w:tcPr>
            <w:tcW w:w="3402" w:type="dxa"/>
            <w:vAlign w:val="center"/>
          </w:tcPr>
          <w:p>
            <w:pPr>
              <w:pStyle w:val="15"/>
            </w:pPr>
            <w:r>
              <w:t>支出总计</w:t>
            </w:r>
          </w:p>
        </w:tc>
        <w:tc>
          <w:tcPr>
            <w:tcW w:w="1474" w:type="dxa"/>
            <w:vAlign w:val="center"/>
          </w:tcPr>
          <w:p>
            <w:pPr>
              <w:pStyle w:val="16"/>
            </w:pPr>
            <w:r>
              <w:t>11143.47</w:t>
            </w:r>
          </w:p>
        </w:tc>
        <w:tc>
          <w:tcPr>
            <w:tcW w:w="1474" w:type="dxa"/>
            <w:vAlign w:val="center"/>
          </w:tcPr>
          <w:p>
            <w:pPr>
              <w:pStyle w:val="16"/>
            </w:pPr>
            <w:r>
              <w:t>11143.47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318石家庄市井陉矿区财政局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11143.47</w:t>
            </w:r>
          </w:p>
        </w:tc>
        <w:tc>
          <w:tcPr>
            <w:tcW w:w="2551" w:type="dxa"/>
            <w:vAlign w:val="center"/>
          </w:tcPr>
          <w:p>
            <w:pPr>
              <w:pStyle w:val="16"/>
            </w:pPr>
            <w:r>
              <w:t>428.09</w:t>
            </w:r>
          </w:p>
        </w:tc>
        <w:tc>
          <w:tcPr>
            <w:tcW w:w="2551" w:type="dxa"/>
            <w:vAlign w:val="center"/>
          </w:tcPr>
          <w:p>
            <w:pPr>
              <w:pStyle w:val="16"/>
            </w:pPr>
            <w:r>
              <w:t>10715.38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414.30</w:t>
            </w:r>
          </w:p>
        </w:tc>
        <w:tc>
          <w:tcPr>
            <w:tcW w:w="2551" w:type="dxa"/>
            <w:vAlign w:val="center"/>
          </w:tcPr>
          <w:p>
            <w:pPr>
              <w:pStyle w:val="12"/>
            </w:pPr>
            <w:r>
              <w:t>279.40</w:t>
            </w:r>
          </w:p>
        </w:tc>
        <w:tc>
          <w:tcPr>
            <w:tcW w:w="2551" w:type="dxa"/>
            <w:vAlign w:val="center"/>
          </w:tcPr>
          <w:p>
            <w:pPr>
              <w:pStyle w:val="12"/>
            </w:pPr>
            <w:r>
              <w:t>134.90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414.30</w:t>
            </w:r>
          </w:p>
        </w:tc>
        <w:tc>
          <w:tcPr>
            <w:tcW w:w="2551" w:type="dxa"/>
            <w:vAlign w:val="center"/>
          </w:tcPr>
          <w:p>
            <w:pPr>
              <w:pStyle w:val="12"/>
            </w:pPr>
            <w:r>
              <w:t>279.40</w:t>
            </w:r>
          </w:p>
        </w:tc>
        <w:tc>
          <w:tcPr>
            <w:tcW w:w="2551" w:type="dxa"/>
            <w:vAlign w:val="center"/>
          </w:tcPr>
          <w:p>
            <w:pPr>
              <w:pStyle w:val="12"/>
            </w:pPr>
            <w:r>
              <w:t>134.90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132.28</w:t>
            </w:r>
          </w:p>
        </w:tc>
        <w:tc>
          <w:tcPr>
            <w:tcW w:w="2551" w:type="dxa"/>
            <w:vAlign w:val="center"/>
          </w:tcPr>
          <w:p>
            <w:pPr>
              <w:pStyle w:val="12"/>
            </w:pPr>
            <w:r>
              <w:t>132.28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2010602</w:t>
            </w:r>
          </w:p>
        </w:tc>
        <w:tc>
          <w:tcPr>
            <w:tcW w:w="4535" w:type="dxa"/>
            <w:vAlign w:val="center"/>
          </w:tcPr>
          <w:p>
            <w:pPr>
              <w:pStyle w:val="13"/>
            </w:pPr>
            <w:r>
              <w:t>一般行政管理事务</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2010607</w:t>
            </w:r>
          </w:p>
        </w:tc>
        <w:tc>
          <w:tcPr>
            <w:tcW w:w="4535" w:type="dxa"/>
            <w:vAlign w:val="center"/>
          </w:tcPr>
          <w:p>
            <w:pPr>
              <w:pStyle w:val="13"/>
            </w:pPr>
            <w:r>
              <w:t>信息化建设</w:t>
            </w:r>
          </w:p>
        </w:tc>
        <w:tc>
          <w:tcPr>
            <w:tcW w:w="2551" w:type="dxa"/>
            <w:vAlign w:val="center"/>
          </w:tcPr>
          <w:p>
            <w:pPr>
              <w:pStyle w:val="12"/>
            </w:pPr>
            <w:r>
              <w:t>33.80</w:t>
            </w:r>
          </w:p>
        </w:tc>
        <w:tc>
          <w:tcPr>
            <w:tcW w:w="2551" w:type="dxa"/>
            <w:vAlign w:val="center"/>
          </w:tcPr>
          <w:p>
            <w:pPr>
              <w:pStyle w:val="12"/>
            </w:pPr>
          </w:p>
        </w:tc>
        <w:tc>
          <w:tcPr>
            <w:tcW w:w="2551" w:type="dxa"/>
            <w:vAlign w:val="center"/>
          </w:tcPr>
          <w:p>
            <w:pPr>
              <w:pStyle w:val="12"/>
            </w:pPr>
            <w:r>
              <w:t>33.80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2010608</w:t>
            </w:r>
          </w:p>
        </w:tc>
        <w:tc>
          <w:tcPr>
            <w:tcW w:w="4535" w:type="dxa"/>
            <w:vAlign w:val="center"/>
          </w:tcPr>
          <w:p>
            <w:pPr>
              <w:pStyle w:val="13"/>
            </w:pPr>
            <w:r>
              <w:t>财政委托业务支出</w:t>
            </w:r>
          </w:p>
        </w:tc>
        <w:tc>
          <w:tcPr>
            <w:tcW w:w="2551" w:type="dxa"/>
            <w:vAlign w:val="center"/>
          </w:tcPr>
          <w:p>
            <w:pPr>
              <w:pStyle w:val="12"/>
            </w:pPr>
            <w:r>
              <w:t>98.10</w:t>
            </w:r>
          </w:p>
        </w:tc>
        <w:tc>
          <w:tcPr>
            <w:tcW w:w="2551" w:type="dxa"/>
            <w:vAlign w:val="center"/>
          </w:tcPr>
          <w:p>
            <w:pPr>
              <w:pStyle w:val="12"/>
            </w:pPr>
          </w:p>
        </w:tc>
        <w:tc>
          <w:tcPr>
            <w:tcW w:w="2551" w:type="dxa"/>
            <w:vAlign w:val="center"/>
          </w:tcPr>
          <w:p>
            <w:pPr>
              <w:pStyle w:val="12"/>
            </w:pPr>
            <w:r>
              <w:t>98.10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2010650</w:t>
            </w:r>
          </w:p>
        </w:tc>
        <w:tc>
          <w:tcPr>
            <w:tcW w:w="4535" w:type="dxa"/>
            <w:vAlign w:val="center"/>
          </w:tcPr>
          <w:p>
            <w:pPr>
              <w:pStyle w:val="13"/>
            </w:pPr>
            <w:r>
              <w:t>事业运行</w:t>
            </w:r>
          </w:p>
        </w:tc>
        <w:tc>
          <w:tcPr>
            <w:tcW w:w="2551" w:type="dxa"/>
            <w:vAlign w:val="center"/>
          </w:tcPr>
          <w:p>
            <w:pPr>
              <w:pStyle w:val="12"/>
            </w:pPr>
            <w:r>
              <w:t>147.12</w:t>
            </w:r>
          </w:p>
        </w:tc>
        <w:tc>
          <w:tcPr>
            <w:tcW w:w="2551" w:type="dxa"/>
            <w:vAlign w:val="center"/>
          </w:tcPr>
          <w:p>
            <w:pPr>
              <w:pStyle w:val="12"/>
            </w:pPr>
            <w:r>
              <w:t>147.12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102.36</w:t>
            </w:r>
          </w:p>
        </w:tc>
        <w:tc>
          <w:tcPr>
            <w:tcW w:w="2551" w:type="dxa"/>
            <w:vAlign w:val="center"/>
          </w:tcPr>
          <w:p>
            <w:pPr>
              <w:pStyle w:val="12"/>
            </w:pPr>
            <w:r>
              <w:t>93.36</w:t>
            </w: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2080199</w:t>
            </w:r>
          </w:p>
        </w:tc>
        <w:tc>
          <w:tcPr>
            <w:tcW w:w="4535" w:type="dxa"/>
            <w:vAlign w:val="center"/>
          </w:tcPr>
          <w:p>
            <w:pPr>
              <w:pStyle w:val="13"/>
            </w:pPr>
            <w:r>
              <w:t>其他人力资源和社会保障管理事务支出</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91.72</w:t>
            </w:r>
          </w:p>
        </w:tc>
        <w:tc>
          <w:tcPr>
            <w:tcW w:w="2551" w:type="dxa"/>
            <w:vAlign w:val="center"/>
          </w:tcPr>
          <w:p>
            <w:pPr>
              <w:pStyle w:val="12"/>
            </w:pPr>
            <w:r>
              <w:t>91.72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38.43</w:t>
            </w:r>
          </w:p>
        </w:tc>
        <w:tc>
          <w:tcPr>
            <w:tcW w:w="2551" w:type="dxa"/>
            <w:vAlign w:val="center"/>
          </w:tcPr>
          <w:p>
            <w:pPr>
              <w:pStyle w:val="12"/>
            </w:pPr>
            <w:r>
              <w:t>38.43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17.94</w:t>
            </w:r>
          </w:p>
        </w:tc>
        <w:tc>
          <w:tcPr>
            <w:tcW w:w="2551" w:type="dxa"/>
            <w:vAlign w:val="center"/>
          </w:tcPr>
          <w:p>
            <w:pPr>
              <w:pStyle w:val="12"/>
            </w:pPr>
            <w:r>
              <w:t>17.94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35.35</w:t>
            </w:r>
          </w:p>
        </w:tc>
        <w:tc>
          <w:tcPr>
            <w:tcW w:w="2551" w:type="dxa"/>
            <w:vAlign w:val="center"/>
          </w:tcPr>
          <w:p>
            <w:pPr>
              <w:pStyle w:val="12"/>
            </w:pPr>
            <w:r>
              <w:t>35.35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1.64</w:t>
            </w:r>
          </w:p>
        </w:tc>
        <w:tc>
          <w:tcPr>
            <w:tcW w:w="2551" w:type="dxa"/>
            <w:vAlign w:val="center"/>
          </w:tcPr>
          <w:p>
            <w:pPr>
              <w:pStyle w:val="12"/>
            </w:pPr>
            <w:r>
              <w:t>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1.64</w:t>
            </w:r>
          </w:p>
        </w:tc>
        <w:tc>
          <w:tcPr>
            <w:tcW w:w="2551" w:type="dxa"/>
            <w:vAlign w:val="center"/>
          </w:tcPr>
          <w:p>
            <w:pPr>
              <w:pStyle w:val="12"/>
            </w:pPr>
            <w:r>
              <w:t>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26.07</w:t>
            </w:r>
          </w:p>
        </w:tc>
        <w:tc>
          <w:tcPr>
            <w:tcW w:w="2551" w:type="dxa"/>
            <w:vAlign w:val="center"/>
          </w:tcPr>
          <w:p>
            <w:pPr>
              <w:pStyle w:val="12"/>
            </w:pPr>
            <w:r>
              <w:t>26.07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26.07</w:t>
            </w:r>
          </w:p>
        </w:tc>
        <w:tc>
          <w:tcPr>
            <w:tcW w:w="2551" w:type="dxa"/>
            <w:vAlign w:val="center"/>
          </w:tcPr>
          <w:p>
            <w:pPr>
              <w:pStyle w:val="12"/>
            </w:pPr>
            <w:r>
              <w:t>26.07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6.66</w:t>
            </w:r>
          </w:p>
        </w:tc>
        <w:tc>
          <w:tcPr>
            <w:tcW w:w="2551" w:type="dxa"/>
            <w:vAlign w:val="center"/>
          </w:tcPr>
          <w:p>
            <w:pPr>
              <w:pStyle w:val="12"/>
            </w:pPr>
            <w:r>
              <w:t>6.66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8.03</w:t>
            </w:r>
          </w:p>
        </w:tc>
        <w:tc>
          <w:tcPr>
            <w:tcW w:w="2551" w:type="dxa"/>
            <w:vAlign w:val="center"/>
          </w:tcPr>
          <w:p>
            <w:pPr>
              <w:pStyle w:val="12"/>
            </w:pPr>
            <w:r>
              <w:t>8.03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11.38</w:t>
            </w:r>
          </w:p>
        </w:tc>
        <w:tc>
          <w:tcPr>
            <w:tcW w:w="2551" w:type="dxa"/>
            <w:vAlign w:val="center"/>
          </w:tcPr>
          <w:p>
            <w:pPr>
              <w:pStyle w:val="12"/>
            </w:pPr>
            <w:r>
              <w:t>11.38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3571.48</w:t>
            </w:r>
          </w:p>
        </w:tc>
        <w:tc>
          <w:tcPr>
            <w:tcW w:w="2551" w:type="dxa"/>
            <w:vAlign w:val="center"/>
          </w:tcPr>
          <w:p>
            <w:pPr>
              <w:pStyle w:val="12"/>
            </w:pPr>
          </w:p>
        </w:tc>
        <w:tc>
          <w:tcPr>
            <w:tcW w:w="2551" w:type="dxa"/>
            <w:vAlign w:val="center"/>
          </w:tcPr>
          <w:p>
            <w:pPr>
              <w:pStyle w:val="12"/>
            </w:pPr>
            <w:r>
              <w:t>3571.48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3571.48</w:t>
            </w:r>
          </w:p>
        </w:tc>
        <w:tc>
          <w:tcPr>
            <w:tcW w:w="2551" w:type="dxa"/>
            <w:vAlign w:val="center"/>
          </w:tcPr>
          <w:p>
            <w:pPr>
              <w:pStyle w:val="12"/>
            </w:pPr>
          </w:p>
        </w:tc>
        <w:tc>
          <w:tcPr>
            <w:tcW w:w="2551" w:type="dxa"/>
            <w:vAlign w:val="center"/>
          </w:tcPr>
          <w:p>
            <w:pPr>
              <w:pStyle w:val="12"/>
            </w:pPr>
            <w:r>
              <w:t>3571.48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3571.48</w:t>
            </w:r>
          </w:p>
        </w:tc>
        <w:tc>
          <w:tcPr>
            <w:tcW w:w="2551" w:type="dxa"/>
            <w:vAlign w:val="center"/>
          </w:tcPr>
          <w:p>
            <w:pPr>
              <w:pStyle w:val="12"/>
            </w:pPr>
          </w:p>
        </w:tc>
        <w:tc>
          <w:tcPr>
            <w:tcW w:w="2551" w:type="dxa"/>
            <w:vAlign w:val="center"/>
          </w:tcPr>
          <w:p>
            <w:pPr>
              <w:pStyle w:val="12"/>
            </w:pPr>
            <w:r>
              <w:t>3571.48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220</w:t>
            </w:r>
          </w:p>
        </w:tc>
        <w:tc>
          <w:tcPr>
            <w:tcW w:w="4535" w:type="dxa"/>
            <w:vAlign w:val="center"/>
          </w:tcPr>
          <w:p>
            <w:pPr>
              <w:pStyle w:val="13"/>
            </w:pPr>
            <w:r>
              <w:t>自然资源海洋气象等支出</w:t>
            </w:r>
          </w:p>
        </w:tc>
        <w:tc>
          <w:tcPr>
            <w:tcW w:w="2551" w:type="dxa"/>
            <w:vAlign w:val="center"/>
          </w:tcPr>
          <w:p>
            <w:pPr>
              <w:pStyle w:val="12"/>
            </w:pPr>
            <w:r>
              <w:t>7000.00</w:t>
            </w:r>
          </w:p>
        </w:tc>
        <w:tc>
          <w:tcPr>
            <w:tcW w:w="2551" w:type="dxa"/>
            <w:vAlign w:val="center"/>
          </w:tcPr>
          <w:p>
            <w:pPr>
              <w:pStyle w:val="12"/>
            </w:pPr>
          </w:p>
        </w:tc>
        <w:tc>
          <w:tcPr>
            <w:tcW w:w="2551" w:type="dxa"/>
            <w:vAlign w:val="center"/>
          </w:tcPr>
          <w:p>
            <w:pPr>
              <w:pStyle w:val="12"/>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22001</w:t>
            </w:r>
          </w:p>
        </w:tc>
        <w:tc>
          <w:tcPr>
            <w:tcW w:w="4535" w:type="dxa"/>
            <w:vAlign w:val="center"/>
          </w:tcPr>
          <w:p>
            <w:pPr>
              <w:pStyle w:val="13"/>
            </w:pPr>
            <w:r>
              <w:t>自然资源事务</w:t>
            </w:r>
          </w:p>
        </w:tc>
        <w:tc>
          <w:tcPr>
            <w:tcW w:w="2551" w:type="dxa"/>
            <w:vAlign w:val="center"/>
          </w:tcPr>
          <w:p>
            <w:pPr>
              <w:pStyle w:val="12"/>
            </w:pPr>
            <w:r>
              <w:t>7000.00</w:t>
            </w:r>
          </w:p>
        </w:tc>
        <w:tc>
          <w:tcPr>
            <w:tcW w:w="2551" w:type="dxa"/>
            <w:vAlign w:val="center"/>
          </w:tcPr>
          <w:p>
            <w:pPr>
              <w:pStyle w:val="12"/>
            </w:pPr>
          </w:p>
        </w:tc>
        <w:tc>
          <w:tcPr>
            <w:tcW w:w="2551" w:type="dxa"/>
            <w:vAlign w:val="center"/>
          </w:tcPr>
          <w:p>
            <w:pPr>
              <w:pStyle w:val="12"/>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2200112</w:t>
            </w:r>
          </w:p>
        </w:tc>
        <w:tc>
          <w:tcPr>
            <w:tcW w:w="4535" w:type="dxa"/>
            <w:vAlign w:val="center"/>
          </w:tcPr>
          <w:p>
            <w:pPr>
              <w:pStyle w:val="13"/>
            </w:pPr>
            <w:r>
              <w:t>土地资源储备支出</w:t>
            </w:r>
          </w:p>
        </w:tc>
        <w:tc>
          <w:tcPr>
            <w:tcW w:w="2551" w:type="dxa"/>
            <w:vAlign w:val="center"/>
          </w:tcPr>
          <w:p>
            <w:pPr>
              <w:pStyle w:val="12"/>
            </w:pPr>
            <w:r>
              <w:t>7000.00</w:t>
            </w:r>
          </w:p>
        </w:tc>
        <w:tc>
          <w:tcPr>
            <w:tcW w:w="2551" w:type="dxa"/>
            <w:vAlign w:val="center"/>
          </w:tcPr>
          <w:p>
            <w:pPr>
              <w:pStyle w:val="12"/>
            </w:pPr>
          </w:p>
        </w:tc>
        <w:tc>
          <w:tcPr>
            <w:tcW w:w="2551" w:type="dxa"/>
            <w:vAlign w:val="center"/>
          </w:tcPr>
          <w:p>
            <w:pPr>
              <w:pStyle w:val="12"/>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29.26</w:t>
            </w:r>
          </w:p>
        </w:tc>
        <w:tc>
          <w:tcPr>
            <w:tcW w:w="2551" w:type="dxa"/>
            <w:vAlign w:val="center"/>
          </w:tcPr>
          <w:p>
            <w:pPr>
              <w:pStyle w:val="12"/>
            </w:pPr>
            <w:r>
              <w:t>29.26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29.26</w:t>
            </w:r>
          </w:p>
        </w:tc>
        <w:tc>
          <w:tcPr>
            <w:tcW w:w="2551" w:type="dxa"/>
            <w:vAlign w:val="center"/>
          </w:tcPr>
          <w:p>
            <w:pPr>
              <w:pStyle w:val="12"/>
            </w:pPr>
            <w:r>
              <w:t>29.26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29.26</w:t>
            </w:r>
          </w:p>
        </w:tc>
        <w:tc>
          <w:tcPr>
            <w:tcW w:w="2551" w:type="dxa"/>
            <w:vAlign w:val="center"/>
          </w:tcPr>
          <w:p>
            <w:pPr>
              <w:pStyle w:val="12"/>
            </w:pPr>
            <w:r>
              <w:t>29.26</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318石家庄市井陉矿区财政局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428.09</w:t>
            </w:r>
          </w:p>
        </w:tc>
        <w:tc>
          <w:tcPr>
            <w:tcW w:w="2551" w:type="dxa"/>
            <w:vAlign w:val="center"/>
          </w:tcPr>
          <w:p>
            <w:pPr>
              <w:pStyle w:val="16"/>
            </w:pPr>
            <w:r>
              <w:t>405.47</w:t>
            </w:r>
          </w:p>
        </w:tc>
        <w:tc>
          <w:tcPr>
            <w:tcW w:w="2551" w:type="dxa"/>
            <w:vAlign w:val="center"/>
          </w:tcPr>
          <w:p>
            <w:pPr>
              <w:pStyle w:val="16"/>
            </w:pPr>
            <w:r>
              <w:t>22.62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349.10</w:t>
            </w:r>
          </w:p>
        </w:tc>
        <w:tc>
          <w:tcPr>
            <w:tcW w:w="2551" w:type="dxa"/>
            <w:vAlign w:val="center"/>
          </w:tcPr>
          <w:p>
            <w:pPr>
              <w:pStyle w:val="12"/>
            </w:pPr>
            <w:r>
              <w:t>349.10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103.07</w:t>
            </w:r>
          </w:p>
        </w:tc>
        <w:tc>
          <w:tcPr>
            <w:tcW w:w="2551" w:type="dxa"/>
            <w:vAlign w:val="center"/>
          </w:tcPr>
          <w:p>
            <w:pPr>
              <w:pStyle w:val="12"/>
            </w:pPr>
            <w:r>
              <w:t>103.07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30.50</w:t>
            </w:r>
          </w:p>
        </w:tc>
        <w:tc>
          <w:tcPr>
            <w:tcW w:w="2551" w:type="dxa"/>
            <w:vAlign w:val="center"/>
          </w:tcPr>
          <w:p>
            <w:pPr>
              <w:pStyle w:val="12"/>
            </w:pPr>
            <w:r>
              <w:t>30.50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21.21</w:t>
            </w:r>
          </w:p>
        </w:tc>
        <w:tc>
          <w:tcPr>
            <w:tcW w:w="2551" w:type="dxa"/>
            <w:vAlign w:val="center"/>
          </w:tcPr>
          <w:p>
            <w:pPr>
              <w:pStyle w:val="12"/>
            </w:pPr>
            <w:r>
              <w:t>21.21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35.35</w:t>
            </w:r>
          </w:p>
        </w:tc>
        <w:tc>
          <w:tcPr>
            <w:tcW w:w="2551" w:type="dxa"/>
            <w:vAlign w:val="center"/>
          </w:tcPr>
          <w:p>
            <w:pPr>
              <w:pStyle w:val="12"/>
            </w:pPr>
            <w:r>
              <w:t>35.35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14.69</w:t>
            </w:r>
          </w:p>
        </w:tc>
        <w:tc>
          <w:tcPr>
            <w:tcW w:w="2551" w:type="dxa"/>
            <w:vAlign w:val="center"/>
          </w:tcPr>
          <w:p>
            <w:pPr>
              <w:pStyle w:val="12"/>
            </w:pPr>
            <w:r>
              <w:t>14.69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11.38</w:t>
            </w:r>
          </w:p>
        </w:tc>
        <w:tc>
          <w:tcPr>
            <w:tcW w:w="2551" w:type="dxa"/>
            <w:vAlign w:val="center"/>
          </w:tcPr>
          <w:p>
            <w:pPr>
              <w:pStyle w:val="12"/>
            </w:pPr>
            <w:r>
              <w:t>11.38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1.64</w:t>
            </w:r>
          </w:p>
        </w:tc>
        <w:tc>
          <w:tcPr>
            <w:tcW w:w="2551" w:type="dxa"/>
            <w:vAlign w:val="center"/>
          </w:tcPr>
          <w:p>
            <w:pPr>
              <w:pStyle w:val="12"/>
            </w:pPr>
            <w:r>
              <w:t>1.64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29.26</w:t>
            </w:r>
          </w:p>
        </w:tc>
        <w:tc>
          <w:tcPr>
            <w:tcW w:w="2551" w:type="dxa"/>
            <w:vAlign w:val="center"/>
          </w:tcPr>
          <w:p>
            <w:pPr>
              <w:pStyle w:val="12"/>
            </w:pPr>
            <w:r>
              <w:t>29.26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22.62</w:t>
            </w:r>
          </w:p>
        </w:tc>
        <w:tc>
          <w:tcPr>
            <w:tcW w:w="2551" w:type="dxa"/>
            <w:vAlign w:val="center"/>
          </w:tcPr>
          <w:p>
            <w:pPr>
              <w:pStyle w:val="12"/>
            </w:pPr>
          </w:p>
        </w:tc>
        <w:tc>
          <w:tcPr>
            <w:tcW w:w="2551" w:type="dxa"/>
            <w:vAlign w:val="center"/>
          </w:tcPr>
          <w:p>
            <w:pPr>
              <w:pStyle w:val="12"/>
            </w:pPr>
            <w:r>
              <w:t>22.62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2.76</w:t>
            </w:r>
          </w:p>
        </w:tc>
        <w:tc>
          <w:tcPr>
            <w:tcW w:w="2551" w:type="dxa"/>
            <w:vAlign w:val="center"/>
          </w:tcPr>
          <w:p>
            <w:pPr>
              <w:pStyle w:val="12"/>
            </w:pPr>
          </w:p>
        </w:tc>
        <w:tc>
          <w:tcPr>
            <w:tcW w:w="2551" w:type="dxa"/>
            <w:vAlign w:val="center"/>
          </w:tcPr>
          <w:p>
            <w:pPr>
              <w:pStyle w:val="12"/>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1.04</w:t>
            </w:r>
          </w:p>
        </w:tc>
        <w:tc>
          <w:tcPr>
            <w:tcW w:w="2551" w:type="dxa"/>
            <w:vAlign w:val="center"/>
          </w:tcPr>
          <w:p>
            <w:pPr>
              <w:pStyle w:val="12"/>
            </w:pPr>
          </w:p>
        </w:tc>
        <w:tc>
          <w:tcPr>
            <w:tcW w:w="2551" w:type="dxa"/>
            <w:vAlign w:val="center"/>
          </w:tcPr>
          <w:p>
            <w:pPr>
              <w:pStyle w:val="12"/>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0.04</w:t>
            </w:r>
          </w:p>
        </w:tc>
        <w:tc>
          <w:tcPr>
            <w:tcW w:w="2551" w:type="dxa"/>
            <w:vAlign w:val="center"/>
          </w:tcPr>
          <w:p>
            <w:pPr>
              <w:pStyle w:val="12"/>
            </w:pPr>
          </w:p>
        </w:tc>
        <w:tc>
          <w:tcPr>
            <w:tcW w:w="2551"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5.52</w:t>
            </w:r>
          </w:p>
        </w:tc>
        <w:tc>
          <w:tcPr>
            <w:tcW w:w="2551" w:type="dxa"/>
            <w:vAlign w:val="center"/>
          </w:tcPr>
          <w:p>
            <w:pPr>
              <w:pStyle w:val="12"/>
            </w:pPr>
          </w:p>
        </w:tc>
        <w:tc>
          <w:tcPr>
            <w:tcW w:w="2551" w:type="dxa"/>
            <w:vAlign w:val="center"/>
          </w:tcPr>
          <w:p>
            <w:pPr>
              <w:pStyle w:val="12"/>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3.26</w:t>
            </w:r>
          </w:p>
        </w:tc>
        <w:tc>
          <w:tcPr>
            <w:tcW w:w="2551" w:type="dxa"/>
            <w:vAlign w:val="center"/>
          </w:tcPr>
          <w:p>
            <w:pPr>
              <w:pStyle w:val="12"/>
            </w:pPr>
          </w:p>
        </w:tc>
        <w:tc>
          <w:tcPr>
            <w:tcW w:w="2551" w:type="dxa"/>
            <w:vAlign w:val="center"/>
          </w:tcPr>
          <w:p>
            <w:pPr>
              <w:pStyle w:val="12"/>
            </w:pPr>
            <w:r>
              <w:t>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56.37</w:t>
            </w:r>
          </w:p>
        </w:tc>
        <w:tc>
          <w:tcPr>
            <w:tcW w:w="2551" w:type="dxa"/>
            <w:vAlign w:val="center"/>
          </w:tcPr>
          <w:p>
            <w:pPr>
              <w:pStyle w:val="12"/>
            </w:pPr>
            <w:r>
              <w:t>56.37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56.37</w:t>
            </w:r>
          </w:p>
        </w:tc>
        <w:tc>
          <w:tcPr>
            <w:tcW w:w="2551" w:type="dxa"/>
            <w:vAlign w:val="center"/>
          </w:tcPr>
          <w:p>
            <w:pPr>
              <w:pStyle w:val="12"/>
            </w:pPr>
            <w:r>
              <w:t>56.37</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318石家庄市井陉矿区财政局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318石家庄市井陉矿区财政局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318石家庄市井陉矿区财政局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石家庄市井陉矿区财政局2026年部门预算信息公开情况说明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石家庄市井陉矿区财政局2026年部门预算信息公开情况说明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按照《中华人民共和国预算法》、《地方预决算公开操作规程》和《关于进一步推进预算公开工作的实施意见》规定，现将石家庄市井陉矿区财政局2026年部门预算公开如下：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贯彻落实党中央和省委、市委、区委关于财政工作的方针政策和决策部署，在履行职责过程中坚持和加强党对财现工作的集中统一领导。主要职责是:</w:t>
      </w:r>
    </w:p>
    <w:p>
      <w:pPr>
        <w:pStyle w:val="18"/>
      </w:pPr>
      <w:r>
        <w:t>(一)拟订财税发展规划，政策和改革方案并组织实施分析预测宏观经济形势，参与制定各项宏观经济政策，提出运用税政策实施宏观调控和综合平衡社会财力的建议;拟订区与乡镇、政府与企业的分配政策，完善鼓励公益事业发展的财税政策</w:t>
      </w:r>
    </w:p>
    <w:p>
      <w:pPr>
        <w:pStyle w:val="18"/>
      </w:pPr>
      <w:r>
        <w:t>(二)贯彻执行财政、财务，会计管理的法律、法规。规章并监督执行。</w:t>
      </w:r>
    </w:p>
    <w:p>
      <w:pPr>
        <w:pStyle w:val="18"/>
      </w:pPr>
      <w:r>
        <w:t>(三)负责管理区级各项财政收支。编制年度区级预决算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财政预决算公开。</w:t>
      </w:r>
    </w:p>
    <w:p>
      <w:pPr>
        <w:pStyle w:val="18"/>
      </w:pPr>
      <w:r>
        <w:t>(四)贯彻落实有关税收地方性法规和规章、实施细则和税收政策调整方案。提出上级授权税目税率调整、减免和地方税收政策等重大事项的建议。组织推进税收制度改革。</w:t>
      </w:r>
    </w:p>
    <w:p>
      <w:pPr>
        <w:pStyle w:val="18"/>
      </w:pPr>
      <w:r>
        <w:t>(五)按分工负责政府非税收入管理。负责政府性基金管理，按规定管理行政事业性收费。管理财政票据。贯彻实施彩票管理政策和有关办法，参与管理彩票市场，按规定管理彩票资金。</w:t>
      </w:r>
    </w:p>
    <w:p>
      <w:pPr>
        <w:pStyle w:val="18"/>
      </w:pPr>
      <w:r>
        <w:t>(六)研究制定国库管理制度、国库集中收付制度，指导和监督区级国库业务，按规定开展国库资金现金管理工作。制定政府财务报告编制办法并组织实施。制定政府采购制度并监督管理。</w:t>
      </w:r>
    </w:p>
    <w:p>
      <w:pPr>
        <w:pStyle w:val="18"/>
      </w:pPr>
      <w:r>
        <w:t>(七)拟订政府债务管理制度和办法并组织实施。负责政府债务限额管理，按规定组织政府债券申报、转贷和还本付息等工作。执行国家外债管理政策，管理区政府国外债务。开展对外财经交流。</w:t>
      </w:r>
    </w:p>
    <w:p>
      <w:pPr>
        <w:pStyle w:val="18"/>
      </w:pPr>
      <w:r>
        <w:t>(八)牵头编制国有资产管理情况报告。根据区政府授权逐步履行区级国有金融资本出资人职责。执行国有金融资本管理规章制度。拟订行政事业单位国有资产管理制度并组织实施，制定需要全区统一规定的开支标准和支出政策。</w:t>
      </w:r>
    </w:p>
    <w:p>
      <w:pPr>
        <w:pStyle w:val="18"/>
      </w:pPr>
      <w:r>
        <w:t>(九)负责审核并汇总编制全区国有资本经营预决算草案组织实施国有资本经营预算制度，收取区属企业国有资本收益组织实施企业财务制度。负责财政预算内行政事业单位和社会团体的非贸易外汇管理。</w:t>
      </w:r>
    </w:p>
    <w:p>
      <w:pPr>
        <w:pStyle w:val="18"/>
      </w:pPr>
      <w:r>
        <w:t>(十)负责审核并汇总编制全区社会保险基金预决算草案会同有关部门拟订有关资金(基金)财务管理制度并组织实施。承担社会保险基金财政监管工作。</w:t>
      </w:r>
    </w:p>
    <w:p>
      <w:pPr>
        <w:pStyle w:val="18"/>
      </w:pPr>
      <w:r>
        <w:t>(十一)负责办理和监督区级财政的经济发展支出、区级政府性投资项目的财政拨款，参与拟订区级建设投资的有关政策，制定基建财务管理制度。负责财政评审管理。</w:t>
      </w:r>
    </w:p>
    <w:p>
      <w:pPr>
        <w:pStyle w:val="18"/>
      </w:pPr>
      <w:r>
        <w:t>(十二)负责管理全区会计工作，监督和规范会计行为，组织实施会计制度。</w:t>
      </w:r>
    </w:p>
    <w:p>
      <w:pPr>
        <w:pStyle w:val="18"/>
      </w:pPr>
      <w:r>
        <w:t>(十三)完成区委、区政府交办的其他任务。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石家庄市井陉矿区财政局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石家庄市井陉矿区财政投资评审中心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石家庄市井陉矿区财政集中支付中心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石家庄市井陉矿区项目投资中心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全面贯彻党的二十大、二十届二中全会和中央、省市经济工作会议精神，紧紧围绕省委、市委全会具体部署和要求，坚持稳中求进工作总基调，构建新发展格局，以推动高质量发展为主题，以深化供给侧结构性改革为主线，以满足人民日益增长的美好生活需要为根本目的，落实提质增效的积极财政政策，扎实推进财税改革，着力化解财政风险，保持适度支出强度，增强财政政策可持续性，积极应对形势变化，开源节流、加强统筹、优化配置，推动财政事业行稳致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（一）实现财政收入平稳健康增长</w:t>
      </w:r>
    </w:p>
    <w:p>
      <w:pPr>
        <w:pStyle w:val="23"/>
      </w:pPr>
      <w:r>
        <w:t>绩效目标：精准研判财经形势，坚持依法组织收入，努力完成全年预期目标；持续做好“一引三争”工作，积极向上问计，科学谋划项目，争取上级政策和资金支持取得新突破。</w:t>
      </w:r>
    </w:p>
    <w:p>
      <w:pPr>
        <w:pStyle w:val="23"/>
      </w:pPr>
      <w:r>
        <w:t>绩效指标：全区一般公共预算收入预期增长8%左右，向上争取资金增幅超过全市设区（县）平均水平。</w:t>
      </w:r>
    </w:p>
    <w:p>
      <w:pPr>
        <w:pStyle w:val="23"/>
      </w:pPr>
      <w:r>
        <w:t>（二）财政调控能力进一步增强</w:t>
      </w:r>
    </w:p>
    <w:p>
      <w:pPr>
        <w:pStyle w:val="23"/>
      </w:pPr>
      <w:r>
        <w:t>绩效目标：落实提质增效的积极财政政策，进一步巩固减税降费成果，全力支持受疫情影响企业复工复产；争取地方政府债券和中央直达资金规模，保持适度支出强度，有效扩大政府投资；加强财政政策与信贷、消费、投资和就业等其他宏观经济政策的协调配合，完善政策协同、组合和传导落实机制。</w:t>
      </w:r>
    </w:p>
    <w:p>
      <w:pPr>
        <w:pStyle w:val="23"/>
      </w:pPr>
      <w:r>
        <w:t>绩效指标：财政促进产业发展的政策措施进一步完善，助力经济高质量发展的调控作用充分发挥。</w:t>
      </w:r>
    </w:p>
    <w:p>
      <w:pPr>
        <w:pStyle w:val="23"/>
      </w:pPr>
      <w:r>
        <w:t>（三）民生保障水平进一步提升</w:t>
      </w:r>
    </w:p>
    <w:p>
      <w:pPr>
        <w:pStyle w:val="23"/>
      </w:pPr>
      <w:r>
        <w:t>绩效目标：全面落实各项民生政策，就业、教育、医疗、养老、低保等普惠性、基础性、兜底性民生保障水平持续提高，人民群众获得感、幸福感、安全感不断增强。</w:t>
      </w:r>
    </w:p>
    <w:p>
      <w:pPr>
        <w:pStyle w:val="23"/>
      </w:pPr>
      <w:r>
        <w:t>绩效指标：全区民生支出占比保持在 70%以上，惠民利民实事得到有力保障。</w:t>
      </w:r>
    </w:p>
    <w:p>
      <w:pPr>
        <w:pStyle w:val="23"/>
      </w:pPr>
      <w:r>
        <w:t>（四）政府债务风险进一步降低</w:t>
      </w:r>
    </w:p>
    <w:p>
      <w:pPr>
        <w:pStyle w:val="23"/>
      </w:pPr>
      <w:r>
        <w:t>绩效目标：规范政府债务管理和债券资金使用，确保完成年度化解债务规划任务，坚决遏制新增隐性债务。</w:t>
      </w:r>
    </w:p>
    <w:p>
      <w:pPr>
        <w:pStyle w:val="23"/>
      </w:pPr>
      <w:r>
        <w:t>绩效指标：政府债务不发生违约事件，全年不发生系统性区域性风险。</w:t>
      </w:r>
    </w:p>
    <w:p>
      <w:pPr>
        <w:pStyle w:val="23"/>
      </w:pPr>
      <w:r>
        <w:t>（五）现代财政制度进一步健全</w:t>
      </w:r>
    </w:p>
    <w:p>
      <w:pPr>
        <w:pStyle w:val="23"/>
      </w:pPr>
      <w:r>
        <w:t>绩效目标：深化预算绩效管理改革，建立事前评估、绩效监控、评价结果与预算安排和政策调整的挂钩机制，有效提升预算管理水平和政策实施效果。</w:t>
      </w:r>
    </w:p>
    <w:p>
      <w:pPr>
        <w:pStyle w:val="23"/>
      </w:pPr>
      <w:r>
        <w:t>绩效指标：财政资源配置效率和质量进一步提升，市与县（市、区）财政事权和支出责任划分更加清晰。</w:t>
      </w:r>
    </w:p>
    <w:p>
      <w:pPr>
        <w:pStyle w:val="23"/>
      </w:pPr>
      <w:r>
        <w:t>（六）财政财务管理进一步规范</w:t>
      </w:r>
    </w:p>
    <w:p>
      <w:pPr>
        <w:pStyle w:val="23"/>
      </w:pPr>
      <w:r>
        <w:t>绩效目标：财政预决算公开内容完备、时间及时、科学规范，资金支出更加及时高效、均衡有序，财经纪律得到有效执行。</w:t>
      </w:r>
    </w:p>
    <w:p>
      <w:pPr>
        <w:pStyle w:val="23"/>
      </w:pPr>
      <w:r>
        <w:t>绩效指标：区级财政预决算在法定时限内公开，除涉密单位外，区直部门决算在财政部门批复之日起 20 日内公开，区直部门预决算公开率达到 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提高站位，加强党的领导。坚持把“以政领财、以财辅政”，把党的领导贯穿财政工作各环节和全过程，牢固树立“财”自觉服从服务于“政”的意识，始终确保财政各项工作沿着正确的政治方向前进，坚决把党的路线方针政策、中央、省、市、区委重大决策部署落到实处。</w:t>
      </w:r>
    </w:p>
    <w:p>
      <w:pPr>
        <w:pStyle w:val="24"/>
      </w:pPr>
      <w:r>
        <w:t>（二）解放思想，建设创新财政。始终坚持用党的创新理论武装指导财政实际工作，着力提高驾驭全局、科学决策、引领发展能力，着力破除制约高质量财政建设的体制机制障碍，突出问题导向，创新发展路径，创新政策措施，努力在研究用好政策、提高资金绩效、深化财政改革等方面实现新的突破。</w:t>
      </w:r>
    </w:p>
    <w:p>
      <w:pPr>
        <w:pStyle w:val="24"/>
      </w:pPr>
      <w:r>
        <w:t>（三）恪尽职守，建设实干财政。紧紧围绕市委全会的决策部署，全面对标对表，落实提质增效的积极财政政策， 着力支持三大攻坚战， 着力保障和改善民生， 着力深化财政改革， 真抓实干、攻坚克难，勇于担当、善于作为，推动各项工作落地见效，不断开创“十四五”财政事业发展新局面。</w:t>
      </w:r>
    </w:p>
    <w:p>
      <w:pPr>
        <w:pStyle w:val="24"/>
      </w:pPr>
      <w:r>
        <w:t>（四）规范运作，建设法治财政。认真贯彻实施预算法及其实施条例，始终坚持把依法行政、依法理财作为履职尽责的着力点，强化法治思维，注重运用法治方式解决财政改革发展中的矛盾问题，进一步规范行政决策程序，扎实推进行政权力规范运行，全面推进财政信息公开，主动接受各方监督，不断提升依法治理能力和水平。</w:t>
      </w:r>
    </w:p>
    <w:p>
      <w:pPr>
        <w:pStyle w:val="24"/>
        <w:sectPr>
          <w:pgSz w:w="16840" w:h="11900" w:orient="landscape"/>
          <w:pgMar w:top="1361" w:right="1020" w:bottom="1361" w:left="1020" w:header="720" w:footer="720" w:gutter="0"/>
        </w:sectPr>
      </w:pPr>
      <w:r>
        <w:t>（五）严守纪律，建设廉洁财政。从严落实主体责任，严守政治纪律和政治规矩，认真贯彻落实中央八项规定及其实施细则精神，严格执行党风廉政建设各项规定，坚持勤俭办一切事业，严肃财经纪律，加强制度建设，扎紧织密制度“笼子”，确保财政权力始终在规范的轨道上运行。</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1、存量房计税价格评估费绩效目标表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13010726P00007910021R</w:t>
            </w:r>
          </w:p>
        </w:tc>
        <w:tc>
          <w:tcPr>
            <w:tcW w:w="2835" w:type="dxa"/>
            <w:vAlign w:val="center"/>
          </w:tcPr>
          <w:p>
            <w:pPr>
              <w:pStyle w:val="11"/>
            </w:pPr>
            <w:r>
              <w:t>项目名称</w:t>
            </w:r>
          </w:p>
        </w:tc>
        <w:tc>
          <w:tcPr>
            <w:tcW w:w="6095" w:type="dxa"/>
            <w:gridSpan w:val="3"/>
            <w:vAlign w:val="center"/>
          </w:tcPr>
          <w:p>
            <w:pPr>
              <w:pStyle w:val="13"/>
            </w:pPr>
            <w:r>
              <w:t>存量房计税价格评估费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8.10</w:t>
            </w:r>
          </w:p>
        </w:tc>
        <w:tc>
          <w:tcPr>
            <w:tcW w:w="2835" w:type="dxa"/>
            <w:vAlign w:val="center"/>
          </w:tcPr>
          <w:p>
            <w:pPr>
              <w:pStyle w:val="11"/>
            </w:pPr>
            <w:r>
              <w:t>其中：财政    资金</w:t>
            </w:r>
          </w:p>
        </w:tc>
        <w:tc>
          <w:tcPr>
            <w:tcW w:w="2551" w:type="dxa"/>
            <w:vAlign w:val="center"/>
          </w:tcPr>
          <w:p>
            <w:pPr>
              <w:pStyle w:val="13"/>
            </w:pPr>
            <w:r>
              <w:t>8.10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存量房计税价格评估费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2.00</w:t>
            </w:r>
          </w:p>
        </w:tc>
        <w:tc>
          <w:tcPr>
            <w:tcW w:w="2551" w:type="dxa"/>
            <w:vAlign w:val="center"/>
          </w:tcPr>
          <w:p>
            <w:pPr>
              <w:pStyle w:val="14"/>
            </w:pPr>
            <w:r>
              <w:t>2.00</w:t>
            </w:r>
          </w:p>
        </w:tc>
        <w:tc>
          <w:tcPr>
            <w:tcW w:w="3544" w:type="dxa"/>
            <w:gridSpan w:val="2"/>
            <w:vAlign w:val="center"/>
          </w:tcPr>
          <w:p>
            <w:pPr>
              <w:pStyle w:val="14"/>
            </w:pPr>
            <w:r>
              <w:t>8.10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1.存量房计税价格评估费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存量房计税价格评估报告数量</w:t>
            </w:r>
          </w:p>
        </w:tc>
        <w:tc>
          <w:tcPr>
            <w:tcW w:w="5386" w:type="dxa"/>
            <w:vAlign w:val="center"/>
          </w:tcPr>
          <w:p>
            <w:pPr>
              <w:pStyle w:val="13"/>
            </w:pPr>
            <w:r>
              <w:t>实际完成的存量房</w:t>
            </w:r>
          </w:p>
        </w:tc>
        <w:tc>
          <w:tcPr>
            <w:tcW w:w="2268" w:type="dxa"/>
            <w:vAlign w:val="center"/>
          </w:tcPr>
          <w:p>
            <w:pPr>
              <w:pStyle w:val="13"/>
            </w:pPr>
            <w:r>
              <w:t>≥90大于等于</w:t>
            </w:r>
          </w:p>
        </w:tc>
        <w:tc>
          <w:tcPr>
            <w:tcW w:w="1276" w:type="dxa"/>
            <w:vAlign w:val="center"/>
          </w:tcPr>
          <w:p>
            <w:pPr>
              <w:pStyle w:val="13"/>
            </w:pPr>
            <w:r>
              <w:t>大于等于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评估报告被省有关部门采用或被 </w:t>
            </w:r>
          </w:p>
        </w:tc>
        <w:tc>
          <w:tcPr>
            <w:tcW w:w="5386" w:type="dxa"/>
            <w:vAlign w:val="center"/>
          </w:tcPr>
          <w:p>
            <w:pPr>
              <w:pStyle w:val="13"/>
            </w:pPr>
            <w:r>
              <w:t>评估报告被省有关部门采用或被 省委省政府领导批示采用</w:t>
            </w:r>
          </w:p>
        </w:tc>
        <w:tc>
          <w:tcPr>
            <w:tcW w:w="2268" w:type="dxa"/>
            <w:vAlign w:val="center"/>
          </w:tcPr>
          <w:p>
            <w:pPr>
              <w:pStyle w:val="13"/>
            </w:pPr>
            <w:r>
              <w:t>≥95准确率</w:t>
            </w:r>
          </w:p>
        </w:tc>
        <w:tc>
          <w:tcPr>
            <w:tcW w:w="1276" w:type="dxa"/>
            <w:vAlign w:val="center"/>
          </w:tcPr>
          <w:p>
            <w:pPr>
              <w:pStyle w:val="13"/>
            </w:pPr>
            <w:r>
              <w:t>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评估报告出具时效</w:t>
            </w:r>
          </w:p>
        </w:tc>
        <w:tc>
          <w:tcPr>
            <w:tcW w:w="5386" w:type="dxa"/>
            <w:vAlign w:val="center"/>
          </w:tcPr>
          <w:p>
            <w:pPr>
              <w:pStyle w:val="13"/>
            </w:pPr>
            <w:r>
              <w:t>存量房计税价格评估报告</w:t>
            </w:r>
          </w:p>
        </w:tc>
        <w:tc>
          <w:tcPr>
            <w:tcW w:w="2268" w:type="dxa"/>
            <w:vAlign w:val="center"/>
          </w:tcPr>
          <w:p>
            <w:pPr>
              <w:pStyle w:val="13"/>
            </w:pPr>
            <w:r>
              <w:t>≥100合同</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评估成本控制率</w:t>
            </w:r>
          </w:p>
        </w:tc>
        <w:tc>
          <w:tcPr>
            <w:tcW w:w="5386" w:type="dxa"/>
            <w:vAlign w:val="center"/>
          </w:tcPr>
          <w:p>
            <w:pPr>
              <w:pStyle w:val="13"/>
            </w:pPr>
            <w:r>
              <w:t>评估项目实际总成本与预算成本对比</w:t>
            </w:r>
          </w:p>
        </w:tc>
        <w:tc>
          <w:tcPr>
            <w:tcW w:w="2268" w:type="dxa"/>
            <w:vAlign w:val="center"/>
          </w:tcPr>
          <w:p>
            <w:pPr>
              <w:pStyle w:val="13"/>
            </w:pPr>
            <w:r>
              <w:t>≥90预算内</w:t>
            </w:r>
          </w:p>
        </w:tc>
        <w:tc>
          <w:tcPr>
            <w:tcW w:w="1276" w:type="dxa"/>
            <w:vAlign w:val="center"/>
          </w:tcPr>
          <w:p>
            <w:pPr>
              <w:pStyle w:val="13"/>
            </w:pPr>
            <w:r>
              <w:t>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财政税费增收率</w:t>
            </w:r>
          </w:p>
        </w:tc>
        <w:tc>
          <w:tcPr>
            <w:tcW w:w="5386" w:type="dxa"/>
            <w:vAlign w:val="center"/>
          </w:tcPr>
          <w:p>
            <w:pPr>
              <w:pStyle w:val="13"/>
            </w:pPr>
            <w:r>
              <w:t>存量房计税价格取争议评估后有交化解比例</w:t>
            </w:r>
          </w:p>
        </w:tc>
        <w:tc>
          <w:tcPr>
            <w:tcW w:w="2268" w:type="dxa"/>
            <w:vAlign w:val="center"/>
          </w:tcPr>
          <w:p>
            <w:pPr>
              <w:pStyle w:val="13"/>
            </w:pPr>
            <w:r>
              <w:t>≥90税费收入</w:t>
            </w:r>
          </w:p>
        </w:tc>
        <w:tc>
          <w:tcPr>
            <w:tcW w:w="1276" w:type="dxa"/>
            <w:vAlign w:val="center"/>
          </w:tcPr>
          <w:p>
            <w:pPr>
              <w:pStyle w:val="13"/>
            </w:pPr>
            <w:r>
              <w:t>税费收入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争议化解率</w:t>
            </w:r>
          </w:p>
        </w:tc>
        <w:tc>
          <w:tcPr>
            <w:tcW w:w="5386" w:type="dxa"/>
            <w:vAlign w:val="center"/>
          </w:tcPr>
          <w:p>
            <w:pPr>
              <w:pStyle w:val="13"/>
            </w:pPr>
            <w:r>
              <w:t>促进地方经济发展</w:t>
            </w:r>
          </w:p>
        </w:tc>
        <w:tc>
          <w:tcPr>
            <w:tcW w:w="2268" w:type="dxa"/>
            <w:vAlign w:val="center"/>
          </w:tcPr>
          <w:p>
            <w:pPr>
              <w:pStyle w:val="13"/>
            </w:pPr>
            <w:r>
              <w:t>≥90化解率</w:t>
            </w:r>
          </w:p>
        </w:tc>
        <w:tc>
          <w:tcPr>
            <w:tcW w:w="1276" w:type="dxa"/>
            <w:vAlign w:val="center"/>
          </w:tcPr>
          <w:p>
            <w:pPr>
              <w:pStyle w:val="13"/>
            </w:pPr>
            <w:r>
              <w:t>化解率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纳税人服务满意度</w:t>
            </w:r>
          </w:p>
        </w:tc>
        <w:tc>
          <w:tcPr>
            <w:tcW w:w="2268" w:type="dxa"/>
            <w:vAlign w:val="center"/>
          </w:tcPr>
          <w:p>
            <w:pPr>
              <w:pStyle w:val="13"/>
            </w:pPr>
            <w:r>
              <w:t>≥90公平</w:t>
            </w:r>
          </w:p>
        </w:tc>
        <w:tc>
          <w:tcPr>
            <w:tcW w:w="1276" w:type="dxa"/>
            <w:vAlign w:val="center"/>
          </w:tcPr>
          <w:p>
            <w:pPr>
              <w:pStyle w:val="13"/>
            </w:pPr>
            <w:r>
              <w:t>公平</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2、关于提前下达2025年省级农村财会人员培训资金预算的通知 石财农[2024]65号绩效目标表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13010725P000250101735</w:t>
            </w:r>
          </w:p>
        </w:tc>
        <w:tc>
          <w:tcPr>
            <w:tcW w:w="2835" w:type="dxa"/>
            <w:vAlign w:val="center"/>
          </w:tcPr>
          <w:p>
            <w:pPr>
              <w:pStyle w:val="11"/>
            </w:pPr>
            <w:r>
              <w:t>项目名称</w:t>
            </w:r>
          </w:p>
        </w:tc>
        <w:tc>
          <w:tcPr>
            <w:tcW w:w="6095" w:type="dxa"/>
            <w:gridSpan w:val="3"/>
            <w:vAlign w:val="center"/>
          </w:tcPr>
          <w:p>
            <w:pPr>
              <w:pStyle w:val="13"/>
            </w:pPr>
            <w:r>
              <w:t>关于提前下达2025年省级农村财会人员培训资金预算的通知 石财农[2024]65号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5.48</w:t>
            </w:r>
          </w:p>
        </w:tc>
        <w:tc>
          <w:tcPr>
            <w:tcW w:w="2835" w:type="dxa"/>
            <w:vAlign w:val="center"/>
          </w:tcPr>
          <w:p>
            <w:pPr>
              <w:pStyle w:val="11"/>
            </w:pPr>
            <w:r>
              <w:t>其中：财政    资金</w:t>
            </w:r>
          </w:p>
        </w:tc>
        <w:tc>
          <w:tcPr>
            <w:tcW w:w="2551" w:type="dxa"/>
            <w:vAlign w:val="center"/>
          </w:tcPr>
          <w:p>
            <w:pPr>
              <w:pStyle w:val="13"/>
            </w:pPr>
            <w:r>
              <w:t>5.48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通过对250名农村财会人员开展1次培训，提高财会人员整体技能，提高工作效率。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1.通过对250名农村财会人员开展1次培训，提高财会人员整体技能，提高工作效率。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培训财会人员次数</w:t>
            </w:r>
          </w:p>
        </w:tc>
        <w:tc>
          <w:tcPr>
            <w:tcW w:w="2268" w:type="dxa"/>
            <w:vAlign w:val="center"/>
          </w:tcPr>
          <w:p>
            <w:pPr>
              <w:pStyle w:val="13"/>
            </w:pPr>
            <w:r>
              <w:t>≥1次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培训参与率</w:t>
            </w:r>
          </w:p>
        </w:tc>
        <w:tc>
          <w:tcPr>
            <w:tcW w:w="5386" w:type="dxa"/>
            <w:vAlign w:val="center"/>
          </w:tcPr>
          <w:p>
            <w:pPr>
              <w:pStyle w:val="13"/>
            </w:pPr>
            <w:r>
              <w:t>培训参与率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培训时长</w:t>
            </w:r>
          </w:p>
        </w:tc>
        <w:tc>
          <w:tcPr>
            <w:tcW w:w="5386" w:type="dxa"/>
            <w:vAlign w:val="center"/>
          </w:tcPr>
          <w:p>
            <w:pPr>
              <w:pStyle w:val="13"/>
            </w:pPr>
            <w:r>
              <w:t>组织开展培训时长</w:t>
            </w:r>
          </w:p>
        </w:tc>
        <w:tc>
          <w:tcPr>
            <w:tcW w:w="2268" w:type="dxa"/>
            <w:vAlign w:val="center"/>
          </w:tcPr>
          <w:p>
            <w:pPr>
              <w:pStyle w:val="13"/>
            </w:pPr>
            <w:r>
              <w:t>≥1天</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tc>
        <w:tc>
          <w:tcPr>
            <w:tcW w:w="5386" w:type="dxa"/>
            <w:vAlign w:val="center"/>
          </w:tcPr>
          <w:p>
            <w:pPr>
              <w:pStyle w:val="13"/>
            </w:pPr>
            <w:r>
              <w:t>每名农村财会人员培训成本</w:t>
            </w:r>
          </w:p>
        </w:tc>
        <w:tc>
          <w:tcPr>
            <w:tcW w:w="2268" w:type="dxa"/>
            <w:vAlign w:val="center"/>
          </w:tcPr>
          <w:p>
            <w:pPr>
              <w:pStyle w:val="13"/>
            </w:pPr>
            <w:r>
              <w:t>≤400元</w:t>
            </w:r>
          </w:p>
        </w:tc>
        <w:tc>
          <w:tcPr>
            <w:tcW w:w="1276" w:type="dxa"/>
            <w:vAlign w:val="center"/>
          </w:tcPr>
          <w:p>
            <w:pPr>
              <w:pStyle w:val="13"/>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培训人数</w:t>
            </w:r>
          </w:p>
        </w:tc>
        <w:tc>
          <w:tcPr>
            <w:tcW w:w="5386" w:type="dxa"/>
            <w:vAlign w:val="center"/>
          </w:tcPr>
          <w:p>
            <w:pPr>
              <w:pStyle w:val="13"/>
            </w:pPr>
            <w:r>
              <w:t>参与培训人数</w:t>
            </w:r>
          </w:p>
        </w:tc>
        <w:tc>
          <w:tcPr>
            <w:tcW w:w="2268" w:type="dxa"/>
            <w:vAlign w:val="center"/>
          </w:tcPr>
          <w:p>
            <w:pPr>
              <w:pStyle w:val="13"/>
            </w:pPr>
            <w:r>
              <w:t>≥250人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参训人员满意度</w:t>
            </w:r>
          </w:p>
        </w:tc>
        <w:tc>
          <w:tcPr>
            <w:tcW w:w="5386" w:type="dxa"/>
            <w:vAlign w:val="center"/>
          </w:tcPr>
          <w:p>
            <w:pPr>
              <w:pStyle w:val="13"/>
            </w:pPr>
            <w:r>
              <w:t>财会人员参与培训满意度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3、轨道交通学院项目资金绩效目标表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13010726P00007910004W</w:t>
            </w:r>
          </w:p>
        </w:tc>
        <w:tc>
          <w:tcPr>
            <w:tcW w:w="2835" w:type="dxa"/>
            <w:vAlign w:val="center"/>
          </w:tcPr>
          <w:p>
            <w:pPr>
              <w:pStyle w:val="11"/>
            </w:pPr>
            <w:r>
              <w:t>项目名称</w:t>
            </w:r>
          </w:p>
        </w:tc>
        <w:tc>
          <w:tcPr>
            <w:tcW w:w="6095" w:type="dxa"/>
            <w:gridSpan w:val="3"/>
            <w:vAlign w:val="center"/>
          </w:tcPr>
          <w:p>
            <w:pPr>
              <w:pStyle w:val="13"/>
            </w:pPr>
            <w:r>
              <w:t>轨道交通学院项目资金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7000.00</w:t>
            </w:r>
          </w:p>
        </w:tc>
        <w:tc>
          <w:tcPr>
            <w:tcW w:w="2835" w:type="dxa"/>
            <w:vAlign w:val="center"/>
          </w:tcPr>
          <w:p>
            <w:pPr>
              <w:pStyle w:val="11"/>
            </w:pPr>
            <w:r>
              <w:t>其中：财政    资金</w:t>
            </w:r>
          </w:p>
        </w:tc>
        <w:tc>
          <w:tcPr>
            <w:tcW w:w="2551" w:type="dxa"/>
            <w:vAlign w:val="center"/>
          </w:tcPr>
          <w:p>
            <w:pPr>
              <w:pStyle w:val="13"/>
            </w:pPr>
            <w:r>
              <w:t>7000.00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轨道交通学院项目资金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5970.00</w:t>
            </w:r>
          </w:p>
        </w:tc>
        <w:tc>
          <w:tcPr>
            <w:tcW w:w="2835" w:type="dxa"/>
            <w:vAlign w:val="center"/>
          </w:tcPr>
          <w:p>
            <w:pPr>
              <w:pStyle w:val="14"/>
            </w:pPr>
            <w:r>
              <w:t>7000.00</w:t>
            </w:r>
          </w:p>
        </w:tc>
        <w:tc>
          <w:tcPr>
            <w:tcW w:w="2551" w:type="dxa"/>
            <w:vAlign w:val="center"/>
          </w:tcPr>
          <w:p>
            <w:pPr>
              <w:pStyle w:val="14"/>
            </w:pPr>
            <w:r>
              <w:t>7000.00</w:t>
            </w:r>
          </w:p>
        </w:tc>
        <w:tc>
          <w:tcPr>
            <w:tcW w:w="3544" w:type="dxa"/>
            <w:gridSpan w:val="2"/>
            <w:vAlign w:val="center"/>
          </w:tcPr>
          <w:p>
            <w:pPr>
              <w:pStyle w:val="14"/>
            </w:pPr>
            <w:r>
              <w:t>7000.00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1.轨道交通学院项目，轨道交通学院项目，</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指标体系</w:t>
            </w:r>
          </w:p>
        </w:tc>
        <w:tc>
          <w:tcPr>
            <w:tcW w:w="5386" w:type="dxa"/>
            <w:vAlign w:val="center"/>
          </w:tcPr>
          <w:p>
            <w:pPr>
              <w:pStyle w:val="13"/>
            </w:pPr>
            <w:r>
              <w:t>指标体系</w:t>
            </w:r>
          </w:p>
        </w:tc>
        <w:tc>
          <w:tcPr>
            <w:tcW w:w="2268" w:type="dxa"/>
            <w:vAlign w:val="center"/>
          </w:tcPr>
          <w:p>
            <w:pPr>
              <w:pStyle w:val="13"/>
            </w:pPr>
            <w:r>
              <w:t>≥100根据轨道交通学院项目进展</w:t>
            </w:r>
          </w:p>
        </w:tc>
        <w:tc>
          <w:tcPr>
            <w:tcW w:w="1276" w:type="dxa"/>
            <w:vAlign w:val="center"/>
          </w:tcPr>
          <w:p>
            <w:pPr>
              <w:pStyle w:val="13"/>
            </w:pPr>
            <w:r>
              <w:t>根据轨道交通学院项目进展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≥90根据轨道交通学院项目进展</w:t>
            </w:r>
          </w:p>
        </w:tc>
        <w:tc>
          <w:tcPr>
            <w:tcW w:w="1276" w:type="dxa"/>
            <w:vAlign w:val="center"/>
          </w:tcPr>
          <w:p>
            <w:pPr>
              <w:pStyle w:val="13"/>
            </w:pPr>
            <w:r>
              <w:t>根据轨道交通学院项目进展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≥95根据轨道交通学院项目进展</w:t>
            </w:r>
          </w:p>
        </w:tc>
        <w:tc>
          <w:tcPr>
            <w:tcW w:w="1276" w:type="dxa"/>
            <w:vAlign w:val="center"/>
          </w:tcPr>
          <w:p>
            <w:pPr>
              <w:pStyle w:val="13"/>
            </w:pPr>
            <w:r>
              <w:t>根据轨道交通学院项目进展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≥100根据轨道交通学院项目进展</w:t>
            </w:r>
          </w:p>
        </w:tc>
        <w:tc>
          <w:tcPr>
            <w:tcW w:w="1276" w:type="dxa"/>
            <w:vAlign w:val="center"/>
          </w:tcPr>
          <w:p>
            <w:pPr>
              <w:pStyle w:val="13"/>
            </w:pPr>
            <w:r>
              <w:t>根据轨道交通学院项目进展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≥100根据轨道交通学院项目进展</w:t>
            </w:r>
          </w:p>
        </w:tc>
        <w:tc>
          <w:tcPr>
            <w:tcW w:w="1276" w:type="dxa"/>
            <w:vAlign w:val="center"/>
          </w:tcPr>
          <w:p>
            <w:pPr>
              <w:pStyle w:val="13"/>
            </w:pPr>
            <w:r>
              <w:t>根据轨道交通学院项目进展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w:t>
            </w:r>
          </w:p>
        </w:tc>
        <w:tc>
          <w:tcPr>
            <w:tcW w:w="2268" w:type="dxa"/>
            <w:vAlign w:val="center"/>
          </w:tcPr>
          <w:p>
            <w:pPr>
              <w:pStyle w:val="13"/>
            </w:pPr>
            <w:r>
              <w:t>≥95根据轨道交通学院项目进展</w:t>
            </w:r>
          </w:p>
        </w:tc>
        <w:tc>
          <w:tcPr>
            <w:tcW w:w="1276" w:type="dxa"/>
            <w:vAlign w:val="center"/>
          </w:tcPr>
          <w:p>
            <w:pPr>
              <w:pStyle w:val="13"/>
            </w:pPr>
            <w:r>
              <w:t>根据轨道交通学院项目进展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≥100根据轨道交通学院项目进展</w:t>
            </w:r>
          </w:p>
        </w:tc>
        <w:tc>
          <w:tcPr>
            <w:tcW w:w="1276" w:type="dxa"/>
            <w:vAlign w:val="center"/>
          </w:tcPr>
          <w:p>
            <w:pPr>
              <w:pStyle w:val="13"/>
            </w:pPr>
            <w:r>
              <w:t>根据轨道交通学院项目进展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≥100根据轨道交通学院项目进展</w:t>
            </w:r>
          </w:p>
        </w:tc>
        <w:tc>
          <w:tcPr>
            <w:tcW w:w="1276" w:type="dxa"/>
            <w:vAlign w:val="center"/>
          </w:tcPr>
          <w:p>
            <w:pPr>
              <w:pStyle w:val="13"/>
            </w:pPr>
            <w:r>
              <w:t>根据轨道交通学院项目进展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≥95根据轨道交通学院项目进展</w:t>
            </w:r>
          </w:p>
        </w:tc>
        <w:tc>
          <w:tcPr>
            <w:tcW w:w="1276" w:type="dxa"/>
            <w:vAlign w:val="center"/>
          </w:tcPr>
          <w:p>
            <w:pPr>
              <w:pStyle w:val="13"/>
            </w:pPr>
            <w:r>
              <w:t>根据轨道交通学院项目进展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4、国库部门决算软件费绩效目标表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13010726P00002510106J</w:t>
            </w:r>
          </w:p>
        </w:tc>
        <w:tc>
          <w:tcPr>
            <w:tcW w:w="2835" w:type="dxa"/>
            <w:vAlign w:val="center"/>
          </w:tcPr>
          <w:p>
            <w:pPr>
              <w:pStyle w:val="11"/>
            </w:pPr>
            <w:r>
              <w:t>项目名称</w:t>
            </w:r>
          </w:p>
        </w:tc>
        <w:tc>
          <w:tcPr>
            <w:tcW w:w="6095" w:type="dxa"/>
            <w:gridSpan w:val="3"/>
            <w:vAlign w:val="center"/>
          </w:tcPr>
          <w:p>
            <w:pPr>
              <w:pStyle w:val="13"/>
            </w:pPr>
            <w:r>
              <w:t>国库部门决算软件费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为了保障全区各部门及单位2025年决算顺利编制，提高决算编制质量和效率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0.75</w:t>
            </w:r>
          </w:p>
        </w:tc>
        <w:tc>
          <w:tcPr>
            <w:tcW w:w="2835" w:type="dxa"/>
            <w:vAlign w:val="center"/>
          </w:tcPr>
          <w:p>
            <w:pPr>
              <w:pStyle w:val="14"/>
            </w:pPr>
            <w:r>
              <w:t>1.50</w:t>
            </w:r>
          </w:p>
        </w:tc>
        <w:tc>
          <w:tcPr>
            <w:tcW w:w="2551" w:type="dxa"/>
            <w:vAlign w:val="center"/>
          </w:tcPr>
          <w:p>
            <w:pPr>
              <w:pStyle w:val="14"/>
            </w:pPr>
            <w:r>
              <w:t>2.25</w:t>
            </w:r>
          </w:p>
        </w:tc>
        <w:tc>
          <w:tcPr>
            <w:tcW w:w="3544" w:type="dxa"/>
            <w:gridSpan w:val="2"/>
            <w:vAlign w:val="center"/>
          </w:tcPr>
          <w:p>
            <w:pPr>
              <w:pStyle w:val="14"/>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1.为了保障全区各部门及单位2025年决算顺利编制，提高决算编制质量和效率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软件个数</w:t>
            </w:r>
          </w:p>
        </w:tc>
        <w:tc>
          <w:tcPr>
            <w:tcW w:w="5386" w:type="dxa"/>
            <w:vAlign w:val="center"/>
          </w:tcPr>
          <w:p>
            <w:pPr>
              <w:pStyle w:val="13"/>
            </w:pPr>
            <w:r>
              <w:t>软件运维个数</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软件正常运行率</w:t>
            </w:r>
          </w:p>
        </w:tc>
        <w:tc>
          <w:tcPr>
            <w:tcW w:w="5386" w:type="dxa"/>
            <w:vAlign w:val="center"/>
          </w:tcPr>
          <w:p>
            <w:pPr>
              <w:pStyle w:val="13"/>
            </w:pPr>
            <w:r>
              <w:t>决算软件正常运行率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运行维护期限</w:t>
            </w:r>
          </w:p>
        </w:tc>
        <w:tc>
          <w:tcPr>
            <w:tcW w:w="5386" w:type="dxa"/>
            <w:vAlign w:val="center"/>
          </w:tcPr>
          <w:p>
            <w:pPr>
              <w:pStyle w:val="13"/>
            </w:pPr>
            <w:r>
              <w:t>决算软件运行维护期限</w:t>
            </w:r>
          </w:p>
        </w:tc>
        <w:tc>
          <w:tcPr>
            <w:tcW w:w="2268" w:type="dxa"/>
            <w:vAlign w:val="center"/>
          </w:tcPr>
          <w:p>
            <w:pPr>
              <w:pStyle w:val="13"/>
            </w:pPr>
            <w:r>
              <w:t>年</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w:t>
            </w:r>
          </w:p>
        </w:tc>
        <w:tc>
          <w:tcPr>
            <w:tcW w:w="5386" w:type="dxa"/>
            <w:vAlign w:val="center"/>
          </w:tcPr>
          <w:p>
            <w:pPr>
              <w:pStyle w:val="13"/>
            </w:pPr>
            <w:r>
              <w:t>项目预算总额</w:t>
            </w:r>
          </w:p>
        </w:tc>
        <w:tc>
          <w:tcPr>
            <w:tcW w:w="2268" w:type="dxa"/>
            <w:vAlign w:val="center"/>
          </w:tcPr>
          <w:p>
            <w:pPr>
              <w:pStyle w:val="13"/>
            </w:pPr>
            <w:r>
              <w:t>≤3万元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全区各部门及单位决算编制覆盖率</w:t>
            </w:r>
          </w:p>
        </w:tc>
        <w:tc>
          <w:tcPr>
            <w:tcW w:w="5386" w:type="dxa"/>
            <w:vAlign w:val="center"/>
          </w:tcPr>
          <w:p>
            <w:pPr>
              <w:pStyle w:val="13"/>
            </w:pPr>
            <w:r>
              <w:t>编制部门及单位决算数量占总预算部门及单位数量的比重</w:t>
            </w:r>
          </w:p>
        </w:tc>
        <w:tc>
          <w:tcPr>
            <w:tcW w:w="2268" w:type="dxa"/>
            <w:vAlign w:val="center"/>
          </w:tcPr>
          <w:p>
            <w:pPr>
              <w:pStyle w:val="13"/>
            </w:pPr>
            <w:r>
              <w:t>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全区各部门及单位满意程度</w:t>
            </w:r>
          </w:p>
        </w:tc>
        <w:tc>
          <w:tcPr>
            <w:tcW w:w="5386" w:type="dxa"/>
            <w:vAlign w:val="center"/>
          </w:tcPr>
          <w:p>
            <w:pPr>
              <w:pStyle w:val="13"/>
            </w:pPr>
            <w:r>
              <w:t>全区各部门及单位满意程度</w:t>
            </w:r>
          </w:p>
        </w:tc>
        <w:tc>
          <w:tcPr>
            <w:tcW w:w="2268" w:type="dxa"/>
            <w:vAlign w:val="center"/>
          </w:tcPr>
          <w:p>
            <w:pPr>
              <w:pStyle w:val="13"/>
            </w:pPr>
            <w:r>
              <w:t>≥90</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5、国有资产软件使用费绩效目标表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13010726P00002510104B</w:t>
            </w:r>
          </w:p>
        </w:tc>
        <w:tc>
          <w:tcPr>
            <w:tcW w:w="2835" w:type="dxa"/>
            <w:vAlign w:val="center"/>
          </w:tcPr>
          <w:p>
            <w:pPr>
              <w:pStyle w:val="11"/>
            </w:pPr>
            <w:r>
              <w:t>项目名称</w:t>
            </w:r>
          </w:p>
        </w:tc>
        <w:tc>
          <w:tcPr>
            <w:tcW w:w="6095" w:type="dxa"/>
            <w:gridSpan w:val="3"/>
            <w:vAlign w:val="center"/>
          </w:tcPr>
          <w:p>
            <w:pPr>
              <w:pStyle w:val="13"/>
            </w:pPr>
            <w:r>
              <w:t>国有资产软件使用费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为了保障全区各部门及单位国有资产顺利编报，提高编制质量和效率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w:t>
            </w:r>
          </w:p>
        </w:tc>
        <w:tc>
          <w:tcPr>
            <w:tcW w:w="2835" w:type="dxa"/>
            <w:vAlign w:val="center"/>
          </w:tcPr>
          <w:p>
            <w:pPr>
              <w:pStyle w:val="14"/>
            </w:pPr>
            <w:r>
              <w:t>2.50</w:t>
            </w:r>
          </w:p>
        </w:tc>
        <w:tc>
          <w:tcPr>
            <w:tcW w:w="2551" w:type="dxa"/>
            <w:vAlign w:val="center"/>
          </w:tcPr>
          <w:p>
            <w:pPr>
              <w:pStyle w:val="14"/>
            </w:pPr>
            <w:r>
              <w:t>3.75</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1.为了保障全区各部门及单位国有资产顺利编报，提高编制质量和效率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软件个数</w:t>
            </w:r>
          </w:p>
        </w:tc>
        <w:tc>
          <w:tcPr>
            <w:tcW w:w="5386" w:type="dxa"/>
            <w:vAlign w:val="center"/>
          </w:tcPr>
          <w:p>
            <w:pPr>
              <w:pStyle w:val="13"/>
            </w:pPr>
            <w:r>
              <w:t>软件运维个数</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软件正常运行率</w:t>
            </w:r>
          </w:p>
        </w:tc>
        <w:tc>
          <w:tcPr>
            <w:tcW w:w="5386" w:type="dxa"/>
            <w:vAlign w:val="center"/>
          </w:tcPr>
          <w:p>
            <w:pPr>
              <w:pStyle w:val="13"/>
            </w:pPr>
            <w:r>
              <w:t>决算软件正常运行率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运行维护期限</w:t>
            </w:r>
          </w:p>
        </w:tc>
        <w:tc>
          <w:tcPr>
            <w:tcW w:w="5386" w:type="dxa"/>
            <w:vAlign w:val="center"/>
          </w:tcPr>
          <w:p>
            <w:pPr>
              <w:pStyle w:val="13"/>
            </w:pPr>
            <w:r>
              <w:t>决算软件运行维护期限</w:t>
            </w:r>
          </w:p>
        </w:tc>
        <w:tc>
          <w:tcPr>
            <w:tcW w:w="2268" w:type="dxa"/>
            <w:vAlign w:val="center"/>
          </w:tcPr>
          <w:p>
            <w:pPr>
              <w:pStyle w:val="13"/>
            </w:pPr>
            <w:r>
              <w:t>年</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w:t>
            </w:r>
          </w:p>
        </w:tc>
        <w:tc>
          <w:tcPr>
            <w:tcW w:w="5386" w:type="dxa"/>
            <w:vAlign w:val="center"/>
          </w:tcPr>
          <w:p>
            <w:pPr>
              <w:pStyle w:val="13"/>
            </w:pPr>
            <w:r>
              <w:t>项目预算总额</w:t>
            </w:r>
          </w:p>
        </w:tc>
        <w:tc>
          <w:tcPr>
            <w:tcW w:w="2268" w:type="dxa"/>
            <w:vAlign w:val="center"/>
          </w:tcPr>
          <w:p>
            <w:pPr>
              <w:pStyle w:val="13"/>
            </w:pPr>
            <w:r>
              <w:t>≤3万元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全区各部门及单位决算编制覆盖率</w:t>
            </w:r>
          </w:p>
        </w:tc>
        <w:tc>
          <w:tcPr>
            <w:tcW w:w="5386" w:type="dxa"/>
            <w:vAlign w:val="center"/>
          </w:tcPr>
          <w:p>
            <w:pPr>
              <w:pStyle w:val="13"/>
            </w:pPr>
            <w:r>
              <w:t>编制部门及单位数量占总预算部门及单位数量的比重</w:t>
            </w:r>
          </w:p>
        </w:tc>
        <w:tc>
          <w:tcPr>
            <w:tcW w:w="2268" w:type="dxa"/>
            <w:vAlign w:val="center"/>
          </w:tcPr>
          <w:p>
            <w:pPr>
              <w:pStyle w:val="13"/>
            </w:pPr>
            <w:r>
              <w:t>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全区各部门及单位满意程度</w:t>
            </w:r>
          </w:p>
        </w:tc>
        <w:tc>
          <w:tcPr>
            <w:tcW w:w="5386" w:type="dxa"/>
            <w:vAlign w:val="center"/>
          </w:tcPr>
          <w:p>
            <w:pPr>
              <w:pStyle w:val="13"/>
            </w:pPr>
            <w:r>
              <w:t>全区各部门及单位满意程度</w:t>
            </w:r>
          </w:p>
        </w:tc>
        <w:tc>
          <w:tcPr>
            <w:tcW w:w="2268" w:type="dxa"/>
            <w:vAlign w:val="center"/>
          </w:tcPr>
          <w:p>
            <w:pPr>
              <w:pStyle w:val="13"/>
            </w:pPr>
            <w:r>
              <w:t>≥90</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6、金财工程租赁费绩效目标表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13010726P000025100674</w:t>
            </w:r>
          </w:p>
        </w:tc>
        <w:tc>
          <w:tcPr>
            <w:tcW w:w="2835" w:type="dxa"/>
            <w:vAlign w:val="center"/>
          </w:tcPr>
          <w:p>
            <w:pPr>
              <w:pStyle w:val="11"/>
            </w:pPr>
            <w:r>
              <w:t>项目名称</w:t>
            </w:r>
          </w:p>
        </w:tc>
        <w:tc>
          <w:tcPr>
            <w:tcW w:w="6095" w:type="dxa"/>
            <w:gridSpan w:val="3"/>
            <w:vAlign w:val="center"/>
          </w:tcPr>
          <w:p>
            <w:pPr>
              <w:pStyle w:val="13"/>
            </w:pPr>
            <w:r>
              <w:t>金财工程租赁费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租赁费，租赁费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1.金财工程租赁费，金财工程租赁费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按期完成率（%）</w:t>
            </w:r>
          </w:p>
        </w:tc>
        <w:tc>
          <w:tcPr>
            <w:tcW w:w="5386" w:type="dxa"/>
            <w:vAlign w:val="center"/>
          </w:tcPr>
          <w:p>
            <w:pPr>
              <w:pStyle w:val="13"/>
            </w:pPr>
            <w:r>
              <w:t>按期完成各项工作</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购置质量合格率（%）</w:t>
            </w:r>
          </w:p>
        </w:tc>
        <w:tc>
          <w:tcPr>
            <w:tcW w:w="5386" w:type="dxa"/>
            <w:vAlign w:val="center"/>
          </w:tcPr>
          <w:p>
            <w:pPr>
              <w:pStyle w:val="13"/>
            </w:pPr>
            <w:r>
              <w:t>购置质量合格率（%）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及时拨付率(%)</w:t>
            </w:r>
          </w:p>
        </w:tc>
        <w:tc>
          <w:tcPr>
            <w:tcW w:w="5386" w:type="dxa"/>
            <w:vAlign w:val="center"/>
          </w:tcPr>
          <w:p>
            <w:pPr>
              <w:pStyle w:val="13"/>
            </w:pPr>
            <w:r>
              <w:t>资金及时拨付</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业务保障能力提升情况</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7、居民公共卫生保障项目绩效目标表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13010726P00007910022D</w:t>
            </w:r>
          </w:p>
        </w:tc>
        <w:tc>
          <w:tcPr>
            <w:tcW w:w="2835" w:type="dxa"/>
            <w:vAlign w:val="center"/>
          </w:tcPr>
          <w:p>
            <w:pPr>
              <w:pStyle w:val="11"/>
            </w:pPr>
            <w:r>
              <w:t>项目名称</w:t>
            </w:r>
          </w:p>
        </w:tc>
        <w:tc>
          <w:tcPr>
            <w:tcW w:w="6095" w:type="dxa"/>
            <w:gridSpan w:val="3"/>
            <w:vAlign w:val="center"/>
          </w:tcPr>
          <w:p>
            <w:pPr>
              <w:pStyle w:val="13"/>
            </w:pPr>
            <w:r>
              <w:t>居民公共卫生保障项目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通过对全区居民缴纳社会保险和意外灾害险，保障居民日常生活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2.25</w:t>
            </w:r>
          </w:p>
        </w:tc>
        <w:tc>
          <w:tcPr>
            <w:tcW w:w="2835" w:type="dxa"/>
            <w:vAlign w:val="center"/>
          </w:tcPr>
          <w:p>
            <w:pPr>
              <w:pStyle w:val="14"/>
            </w:pPr>
            <w:r>
              <w:t>5.00</w:t>
            </w:r>
          </w:p>
        </w:tc>
        <w:tc>
          <w:tcPr>
            <w:tcW w:w="2551" w:type="dxa"/>
            <w:vAlign w:val="center"/>
          </w:tcPr>
          <w:p>
            <w:pPr>
              <w:pStyle w:val="14"/>
            </w:pPr>
            <w:r>
              <w:t>7.25</w:t>
            </w:r>
          </w:p>
        </w:tc>
        <w:tc>
          <w:tcPr>
            <w:tcW w:w="3544" w:type="dxa"/>
            <w:gridSpan w:val="2"/>
            <w:vAlign w:val="center"/>
          </w:tcPr>
          <w:p>
            <w:pPr>
              <w:pStyle w:val="14"/>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1.通过对全区居民缴纳社会保险和意外灾害险，保障居民日常生活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享受社会保险补贴人员数量</w:t>
            </w:r>
          </w:p>
        </w:tc>
        <w:tc>
          <w:tcPr>
            <w:tcW w:w="5386" w:type="dxa"/>
            <w:vAlign w:val="center"/>
          </w:tcPr>
          <w:p>
            <w:pPr>
              <w:pStyle w:val="13"/>
            </w:pPr>
            <w:r>
              <w:t>享受社会保险补贴人员数量</w:t>
            </w:r>
          </w:p>
        </w:tc>
        <w:tc>
          <w:tcPr>
            <w:tcW w:w="2268" w:type="dxa"/>
            <w:vAlign w:val="center"/>
          </w:tcPr>
          <w:p>
            <w:pPr>
              <w:pStyle w:val="13"/>
            </w:pPr>
            <w:r>
              <w:t>≥100名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缴纳准确率</w:t>
            </w:r>
          </w:p>
        </w:tc>
        <w:tc>
          <w:tcPr>
            <w:tcW w:w="5386" w:type="dxa"/>
            <w:vAlign w:val="center"/>
          </w:tcPr>
          <w:p>
            <w:pPr>
              <w:pStyle w:val="13"/>
            </w:pPr>
            <w:r>
              <w:t>保险缴纳准确率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缴纳期限</w:t>
            </w:r>
          </w:p>
        </w:tc>
        <w:tc>
          <w:tcPr>
            <w:tcW w:w="5386" w:type="dxa"/>
            <w:vAlign w:val="center"/>
          </w:tcPr>
          <w:p>
            <w:pPr>
              <w:pStyle w:val="13"/>
            </w:pPr>
            <w:r>
              <w:t>保险缴纳期限</w:t>
            </w:r>
          </w:p>
        </w:tc>
        <w:tc>
          <w:tcPr>
            <w:tcW w:w="2268" w:type="dxa"/>
            <w:vAlign w:val="center"/>
          </w:tcPr>
          <w:p>
            <w:pPr>
              <w:pStyle w:val="13"/>
            </w:pPr>
            <w:r>
              <w:t>≥1年</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w:t>
            </w:r>
          </w:p>
        </w:tc>
        <w:tc>
          <w:tcPr>
            <w:tcW w:w="5386" w:type="dxa"/>
            <w:vAlign w:val="center"/>
          </w:tcPr>
          <w:p>
            <w:pPr>
              <w:pStyle w:val="13"/>
            </w:pPr>
            <w:r>
              <w:t>居民健康保健意识和健康知识知晓率</w:t>
            </w:r>
          </w:p>
        </w:tc>
        <w:tc>
          <w:tcPr>
            <w:tcW w:w="2268" w:type="dxa"/>
            <w:vAlign w:val="center"/>
          </w:tcPr>
          <w:p>
            <w:pPr>
              <w:pStyle w:val="13"/>
            </w:pPr>
            <w:r>
              <w:t>≤9万元</w:t>
            </w:r>
          </w:p>
        </w:tc>
        <w:tc>
          <w:tcPr>
            <w:tcW w:w="1276" w:type="dxa"/>
            <w:vAlign w:val="center"/>
          </w:tcPr>
          <w:p>
            <w:pPr>
              <w:pStyle w:val="13"/>
            </w:pPr>
            <w:r>
              <w:t>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提高居民健康素养水平</w:t>
            </w:r>
          </w:p>
        </w:tc>
        <w:tc>
          <w:tcPr>
            <w:tcW w:w="5386" w:type="dxa"/>
            <w:vAlign w:val="center"/>
          </w:tcPr>
          <w:p>
            <w:pPr>
              <w:pStyle w:val="13"/>
            </w:pPr>
            <w:r>
              <w:t>进一步提高居民健康素养水平</w:t>
            </w:r>
          </w:p>
        </w:tc>
        <w:tc>
          <w:tcPr>
            <w:tcW w:w="2268" w:type="dxa"/>
            <w:vAlign w:val="center"/>
          </w:tcPr>
          <w:p>
            <w:pPr>
              <w:pStyle w:val="13"/>
            </w:pPr>
            <w:r>
              <w:t>进一步提高</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居民满意度</w:t>
            </w:r>
          </w:p>
        </w:tc>
        <w:tc>
          <w:tcPr>
            <w:tcW w:w="5386" w:type="dxa"/>
            <w:vAlign w:val="center"/>
          </w:tcPr>
          <w:p>
            <w:pPr>
              <w:pStyle w:val="13"/>
            </w:pPr>
            <w:r>
              <w:t>居民满意度</w:t>
            </w:r>
          </w:p>
        </w:tc>
        <w:tc>
          <w:tcPr>
            <w:tcW w:w="2268" w:type="dxa"/>
            <w:vAlign w:val="center"/>
          </w:tcPr>
          <w:p>
            <w:pPr>
              <w:pStyle w:val="13"/>
            </w:pPr>
            <w:r>
              <w:t>≥95%</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8、网络安全基础设施服务绩效目标表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13010726P00002510103P</w:t>
            </w:r>
          </w:p>
        </w:tc>
        <w:tc>
          <w:tcPr>
            <w:tcW w:w="2835" w:type="dxa"/>
            <w:vAlign w:val="center"/>
          </w:tcPr>
          <w:p>
            <w:pPr>
              <w:pStyle w:val="11"/>
            </w:pPr>
            <w:r>
              <w:t>项目名称</w:t>
            </w:r>
          </w:p>
        </w:tc>
        <w:tc>
          <w:tcPr>
            <w:tcW w:w="6095" w:type="dxa"/>
            <w:gridSpan w:val="3"/>
            <w:vAlign w:val="center"/>
          </w:tcPr>
          <w:p>
            <w:pPr>
              <w:pStyle w:val="13"/>
            </w:pPr>
            <w:r>
              <w:t>网络安全基础设施服务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依照上级文件要求，有效提高财政网络安全运行环境。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1.依照上级文件要求，有效提高财政网络安全运行环境。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运行监测网络运行维护</w:t>
            </w:r>
          </w:p>
        </w:tc>
        <w:tc>
          <w:tcPr>
            <w:tcW w:w="5386" w:type="dxa"/>
            <w:vAlign w:val="center"/>
          </w:tcPr>
          <w:p>
            <w:pPr>
              <w:pStyle w:val="13"/>
            </w:pPr>
            <w:r>
              <w:t>运行监测网络运行维护</w:t>
            </w:r>
          </w:p>
        </w:tc>
        <w:tc>
          <w:tcPr>
            <w:tcW w:w="2268" w:type="dxa"/>
            <w:vAlign w:val="center"/>
          </w:tcPr>
          <w:p>
            <w:pPr>
              <w:pStyle w:val="13"/>
            </w:pPr>
            <w:r>
              <w:t>≤365天数</w:t>
            </w:r>
          </w:p>
        </w:tc>
        <w:tc>
          <w:tcPr>
            <w:tcW w:w="1276" w:type="dxa"/>
            <w:vAlign w:val="center"/>
          </w:tcPr>
          <w:p>
            <w:pPr>
              <w:pStyle w:val="13"/>
            </w:pPr>
            <w:r>
              <w:t>上级要求，施工方案及合同约定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网络信息服务质量情况</w:t>
            </w:r>
          </w:p>
        </w:tc>
        <w:tc>
          <w:tcPr>
            <w:tcW w:w="5386" w:type="dxa"/>
            <w:vAlign w:val="center"/>
          </w:tcPr>
          <w:p>
            <w:pPr>
              <w:pStyle w:val="13"/>
            </w:pPr>
            <w:r>
              <w:t>网络信息服务质量情况</w:t>
            </w:r>
          </w:p>
        </w:tc>
        <w:tc>
          <w:tcPr>
            <w:tcW w:w="2268" w:type="dxa"/>
            <w:vAlign w:val="center"/>
          </w:tcPr>
          <w:p>
            <w:pPr>
              <w:pStyle w:val="13"/>
            </w:pPr>
            <w:r>
              <w:t>≥100%</w:t>
            </w:r>
          </w:p>
        </w:tc>
        <w:tc>
          <w:tcPr>
            <w:tcW w:w="1276" w:type="dxa"/>
            <w:vAlign w:val="center"/>
          </w:tcPr>
          <w:p>
            <w:pPr>
              <w:pStyle w:val="13"/>
            </w:pPr>
            <w:r>
              <w:t>上级要求，施工方案及合同约定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2025年12月31日前</w:t>
            </w:r>
          </w:p>
        </w:tc>
        <w:tc>
          <w:tcPr>
            <w:tcW w:w="1276" w:type="dxa"/>
            <w:vAlign w:val="center"/>
          </w:tcPr>
          <w:p>
            <w:pPr>
              <w:pStyle w:val="13"/>
            </w:pPr>
            <w:r>
              <w:t>上级要求，施工方案及合同约定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成本不超预算</w:t>
            </w:r>
          </w:p>
        </w:tc>
        <w:tc>
          <w:tcPr>
            <w:tcW w:w="2268" w:type="dxa"/>
            <w:vAlign w:val="center"/>
          </w:tcPr>
          <w:p>
            <w:pPr>
              <w:pStyle w:val="13"/>
            </w:pPr>
            <w:r>
              <w:t>≤1万元</w:t>
            </w:r>
          </w:p>
        </w:tc>
        <w:tc>
          <w:tcPr>
            <w:tcW w:w="1276" w:type="dxa"/>
            <w:vAlign w:val="center"/>
          </w:tcPr>
          <w:p>
            <w:pPr>
              <w:pStyle w:val="13"/>
            </w:pPr>
            <w:r>
              <w:t>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保障财政网络安全环境</w:t>
            </w:r>
          </w:p>
        </w:tc>
        <w:tc>
          <w:tcPr>
            <w:tcW w:w="5386" w:type="dxa"/>
            <w:vAlign w:val="center"/>
          </w:tcPr>
          <w:p>
            <w:pPr>
              <w:pStyle w:val="13"/>
            </w:pPr>
            <w:r>
              <w:t>有效提高财政网络安全环境</w:t>
            </w:r>
          </w:p>
        </w:tc>
        <w:tc>
          <w:tcPr>
            <w:tcW w:w="2268" w:type="dxa"/>
            <w:vAlign w:val="center"/>
          </w:tcPr>
          <w:p>
            <w:pPr>
              <w:pStyle w:val="13"/>
            </w:pPr>
            <w:r>
              <w:t>进一步保障</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9、网络等级保护测评绩效目标表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13010726P00002510105Y</w:t>
            </w:r>
          </w:p>
        </w:tc>
        <w:tc>
          <w:tcPr>
            <w:tcW w:w="2835" w:type="dxa"/>
            <w:vAlign w:val="center"/>
          </w:tcPr>
          <w:p>
            <w:pPr>
              <w:pStyle w:val="11"/>
            </w:pPr>
            <w:r>
              <w:t>项目名称</w:t>
            </w:r>
          </w:p>
        </w:tc>
        <w:tc>
          <w:tcPr>
            <w:tcW w:w="6095" w:type="dxa"/>
            <w:gridSpan w:val="3"/>
            <w:vAlign w:val="center"/>
          </w:tcPr>
          <w:p>
            <w:pPr>
              <w:pStyle w:val="13"/>
            </w:pPr>
            <w:r>
              <w:t>网络等级保护测评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网络等级保护测评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w:t>
            </w:r>
          </w:p>
        </w:tc>
        <w:tc>
          <w:tcPr>
            <w:tcW w:w="2835" w:type="dxa"/>
            <w:vAlign w:val="center"/>
          </w:tcPr>
          <w:p>
            <w:pPr>
              <w:pStyle w:val="14"/>
            </w:pPr>
            <w:r>
              <w:t>2.50</w:t>
            </w:r>
          </w:p>
        </w:tc>
        <w:tc>
          <w:tcPr>
            <w:tcW w:w="2551" w:type="dxa"/>
            <w:vAlign w:val="center"/>
          </w:tcPr>
          <w:p>
            <w:pPr>
              <w:pStyle w:val="14"/>
            </w:pPr>
            <w:r>
              <w:t>3.75</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1.为了保障全区各部门及单位2026年网络安全编制质量和效率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软件个数</w:t>
            </w:r>
          </w:p>
        </w:tc>
        <w:tc>
          <w:tcPr>
            <w:tcW w:w="5386" w:type="dxa"/>
            <w:vAlign w:val="center"/>
          </w:tcPr>
          <w:p>
            <w:pPr>
              <w:pStyle w:val="13"/>
            </w:pPr>
            <w:r>
              <w:t>软件运维个数</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软件正常运行率</w:t>
            </w:r>
          </w:p>
        </w:tc>
        <w:tc>
          <w:tcPr>
            <w:tcW w:w="5386" w:type="dxa"/>
            <w:vAlign w:val="center"/>
          </w:tcPr>
          <w:p>
            <w:pPr>
              <w:pStyle w:val="13"/>
            </w:pPr>
            <w:r>
              <w:t>决算软件正常运行率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运行维护期限</w:t>
            </w:r>
          </w:p>
        </w:tc>
        <w:tc>
          <w:tcPr>
            <w:tcW w:w="5386" w:type="dxa"/>
            <w:vAlign w:val="center"/>
          </w:tcPr>
          <w:p>
            <w:pPr>
              <w:pStyle w:val="13"/>
            </w:pPr>
            <w:r>
              <w:t>决算软件运行维护期限</w:t>
            </w:r>
          </w:p>
        </w:tc>
        <w:tc>
          <w:tcPr>
            <w:tcW w:w="2268" w:type="dxa"/>
            <w:vAlign w:val="center"/>
          </w:tcPr>
          <w:p>
            <w:pPr>
              <w:pStyle w:val="13"/>
            </w:pPr>
            <w:r>
              <w:t>年</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w:t>
            </w:r>
          </w:p>
        </w:tc>
        <w:tc>
          <w:tcPr>
            <w:tcW w:w="5386" w:type="dxa"/>
            <w:vAlign w:val="center"/>
          </w:tcPr>
          <w:p>
            <w:pPr>
              <w:pStyle w:val="13"/>
            </w:pPr>
            <w:r>
              <w:t>项目预算总额</w:t>
            </w:r>
          </w:p>
        </w:tc>
        <w:tc>
          <w:tcPr>
            <w:tcW w:w="2268" w:type="dxa"/>
            <w:vAlign w:val="center"/>
          </w:tcPr>
          <w:p>
            <w:pPr>
              <w:pStyle w:val="13"/>
            </w:pPr>
            <w:r>
              <w:t>≤3万元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全区各部门及单位决算编制覆盖率</w:t>
            </w:r>
          </w:p>
        </w:tc>
        <w:tc>
          <w:tcPr>
            <w:tcW w:w="5386" w:type="dxa"/>
            <w:vAlign w:val="center"/>
          </w:tcPr>
          <w:p>
            <w:pPr>
              <w:pStyle w:val="13"/>
            </w:pPr>
            <w:r>
              <w:t>编制部门及单位决算数量占总预算部门及单位数量的比重</w:t>
            </w:r>
          </w:p>
        </w:tc>
        <w:tc>
          <w:tcPr>
            <w:tcW w:w="2268" w:type="dxa"/>
            <w:vAlign w:val="center"/>
          </w:tcPr>
          <w:p>
            <w:pPr>
              <w:pStyle w:val="13"/>
            </w:pPr>
            <w:r>
              <w:t>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全区各部门及单位满意程度</w:t>
            </w:r>
          </w:p>
        </w:tc>
        <w:tc>
          <w:tcPr>
            <w:tcW w:w="5386" w:type="dxa"/>
            <w:vAlign w:val="center"/>
          </w:tcPr>
          <w:p>
            <w:pPr>
              <w:pStyle w:val="13"/>
            </w:pPr>
            <w:r>
              <w:t>全区各部门及单位满意程度</w:t>
            </w:r>
          </w:p>
        </w:tc>
        <w:tc>
          <w:tcPr>
            <w:tcW w:w="2268" w:type="dxa"/>
            <w:vAlign w:val="center"/>
          </w:tcPr>
          <w:p>
            <w:pPr>
              <w:pStyle w:val="13"/>
            </w:pPr>
            <w:r>
              <w:t>≥90</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10、占补平衡指标款绩效目标表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13010726P00022810038L</w:t>
            </w:r>
          </w:p>
        </w:tc>
        <w:tc>
          <w:tcPr>
            <w:tcW w:w="2835" w:type="dxa"/>
            <w:vAlign w:val="center"/>
          </w:tcPr>
          <w:p>
            <w:pPr>
              <w:pStyle w:val="11"/>
            </w:pPr>
            <w:r>
              <w:t>项目名称</w:t>
            </w:r>
          </w:p>
        </w:tc>
        <w:tc>
          <w:tcPr>
            <w:tcW w:w="6095" w:type="dxa"/>
            <w:gridSpan w:val="3"/>
            <w:vAlign w:val="center"/>
          </w:tcPr>
          <w:p>
            <w:pPr>
              <w:pStyle w:val="13"/>
            </w:pPr>
            <w:r>
              <w:t>占补平衡指标款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3566.00</w:t>
            </w:r>
          </w:p>
        </w:tc>
        <w:tc>
          <w:tcPr>
            <w:tcW w:w="2835" w:type="dxa"/>
            <w:vAlign w:val="center"/>
          </w:tcPr>
          <w:p>
            <w:pPr>
              <w:pStyle w:val="11"/>
            </w:pPr>
            <w:r>
              <w:t>其中：财政    资金</w:t>
            </w:r>
          </w:p>
        </w:tc>
        <w:tc>
          <w:tcPr>
            <w:tcW w:w="2551" w:type="dxa"/>
            <w:vAlign w:val="center"/>
          </w:tcPr>
          <w:p>
            <w:pPr>
              <w:pStyle w:val="13"/>
            </w:pPr>
            <w:r>
              <w:t>3566.00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占补平衡指标款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900.00</w:t>
            </w:r>
          </w:p>
        </w:tc>
        <w:tc>
          <w:tcPr>
            <w:tcW w:w="2835" w:type="dxa"/>
            <w:vAlign w:val="center"/>
          </w:tcPr>
          <w:p>
            <w:pPr>
              <w:pStyle w:val="14"/>
            </w:pPr>
            <w:r>
              <w:t>1800.00</w:t>
            </w:r>
          </w:p>
        </w:tc>
        <w:tc>
          <w:tcPr>
            <w:tcW w:w="2551" w:type="dxa"/>
            <w:vAlign w:val="center"/>
          </w:tcPr>
          <w:p>
            <w:pPr>
              <w:pStyle w:val="14"/>
            </w:pPr>
            <w:r>
              <w:t>2700.00</w:t>
            </w:r>
          </w:p>
        </w:tc>
        <w:tc>
          <w:tcPr>
            <w:tcW w:w="3544" w:type="dxa"/>
            <w:gridSpan w:val="2"/>
            <w:vAlign w:val="center"/>
          </w:tcPr>
          <w:p>
            <w:pPr>
              <w:pStyle w:val="14"/>
            </w:pPr>
            <w:r>
              <w:t>3566.00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1.占扑平衡指标款，占扑平衡指标款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指标体系</w:t>
            </w:r>
          </w:p>
        </w:tc>
        <w:tc>
          <w:tcPr>
            <w:tcW w:w="5386" w:type="dxa"/>
            <w:vAlign w:val="center"/>
          </w:tcPr>
          <w:p>
            <w:pPr>
              <w:pStyle w:val="13"/>
            </w:pPr>
            <w:r>
              <w:t>指标体系</w:t>
            </w:r>
          </w:p>
        </w:tc>
        <w:tc>
          <w:tcPr>
            <w:tcW w:w="2268" w:type="dxa"/>
            <w:vAlign w:val="center"/>
          </w:tcPr>
          <w:p>
            <w:pPr>
              <w:pStyle w:val="13"/>
            </w:pPr>
            <w:r>
              <w:t>≥100根据人员按照占地补偿平衡来计算</w:t>
            </w:r>
          </w:p>
        </w:tc>
        <w:tc>
          <w:tcPr>
            <w:tcW w:w="1276" w:type="dxa"/>
            <w:vAlign w:val="center"/>
          </w:tcPr>
          <w:p>
            <w:pPr>
              <w:pStyle w:val="13"/>
            </w:pPr>
            <w:r>
              <w:t>根据人员按照占地补偿平衡来计算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质量达标率</w:t>
            </w:r>
          </w:p>
        </w:tc>
        <w:tc>
          <w:tcPr>
            <w:tcW w:w="2268" w:type="dxa"/>
            <w:vAlign w:val="center"/>
          </w:tcPr>
          <w:p>
            <w:pPr>
              <w:pStyle w:val="13"/>
            </w:pPr>
            <w:r>
              <w:t>≥90根据人员按照占地补偿平衡来计算</w:t>
            </w:r>
          </w:p>
        </w:tc>
        <w:tc>
          <w:tcPr>
            <w:tcW w:w="1276" w:type="dxa"/>
            <w:vAlign w:val="center"/>
          </w:tcPr>
          <w:p>
            <w:pPr>
              <w:pStyle w:val="13"/>
            </w:pPr>
            <w:r>
              <w:t>根据人员按照占地补偿平衡来计算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≥95根据人员按照占地补偿平衡来计算</w:t>
            </w:r>
          </w:p>
        </w:tc>
        <w:tc>
          <w:tcPr>
            <w:tcW w:w="1276" w:type="dxa"/>
            <w:vAlign w:val="center"/>
          </w:tcPr>
          <w:p>
            <w:pPr>
              <w:pStyle w:val="13"/>
            </w:pPr>
            <w:r>
              <w:t>根据人员按照占地补偿平衡来计算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≥100根据人员按照占地补偿平衡来计算</w:t>
            </w:r>
          </w:p>
        </w:tc>
        <w:tc>
          <w:tcPr>
            <w:tcW w:w="1276" w:type="dxa"/>
            <w:vAlign w:val="center"/>
          </w:tcPr>
          <w:p>
            <w:pPr>
              <w:pStyle w:val="13"/>
            </w:pPr>
            <w:r>
              <w:t>根据人员按照占地补偿平衡来计算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≥100根据人员按照占地补偿平衡来计算</w:t>
            </w:r>
          </w:p>
        </w:tc>
        <w:tc>
          <w:tcPr>
            <w:tcW w:w="1276" w:type="dxa"/>
            <w:vAlign w:val="center"/>
          </w:tcPr>
          <w:p>
            <w:pPr>
              <w:pStyle w:val="13"/>
            </w:pPr>
            <w:r>
              <w:t>根据人员按照占地补偿平衡来计算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社会效益</w:t>
            </w:r>
          </w:p>
        </w:tc>
        <w:tc>
          <w:tcPr>
            <w:tcW w:w="2268" w:type="dxa"/>
            <w:vAlign w:val="center"/>
          </w:tcPr>
          <w:p>
            <w:pPr>
              <w:pStyle w:val="13"/>
            </w:pPr>
            <w:r>
              <w:t>≥95根据人员按照占地补偿平衡来计算</w:t>
            </w:r>
          </w:p>
        </w:tc>
        <w:tc>
          <w:tcPr>
            <w:tcW w:w="1276" w:type="dxa"/>
            <w:vAlign w:val="center"/>
          </w:tcPr>
          <w:p>
            <w:pPr>
              <w:pStyle w:val="13"/>
            </w:pPr>
            <w:r>
              <w:t>根据人员按照占地补偿平衡来计算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≥100根据人员按照占地补偿平衡来计算</w:t>
            </w:r>
          </w:p>
        </w:tc>
        <w:tc>
          <w:tcPr>
            <w:tcW w:w="1276" w:type="dxa"/>
            <w:vAlign w:val="center"/>
          </w:tcPr>
          <w:p>
            <w:pPr>
              <w:pStyle w:val="13"/>
            </w:pPr>
            <w:r>
              <w:t>根据人员按照占地补偿平衡来计算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≥100根据人员按照占地补偿平衡来计算</w:t>
            </w:r>
          </w:p>
        </w:tc>
        <w:tc>
          <w:tcPr>
            <w:tcW w:w="1276" w:type="dxa"/>
            <w:vAlign w:val="center"/>
          </w:tcPr>
          <w:p>
            <w:pPr>
              <w:pStyle w:val="13"/>
            </w:pPr>
            <w:r>
              <w:t>根据人员按照占地补偿平衡来计算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≥95根据人员按照占地补偿平衡来计算</w:t>
            </w:r>
          </w:p>
        </w:tc>
        <w:tc>
          <w:tcPr>
            <w:tcW w:w="1276" w:type="dxa"/>
            <w:vAlign w:val="center"/>
          </w:tcPr>
          <w:p>
            <w:pPr>
              <w:pStyle w:val="13"/>
            </w:pPr>
            <w:r>
              <w:t>根据人员按照占地补偿平衡来计算</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11、综合治税系统维护费绩效目标表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13010726P000025101024</w:t>
            </w:r>
          </w:p>
        </w:tc>
        <w:tc>
          <w:tcPr>
            <w:tcW w:w="2835" w:type="dxa"/>
            <w:vAlign w:val="center"/>
          </w:tcPr>
          <w:p>
            <w:pPr>
              <w:pStyle w:val="11"/>
            </w:pPr>
            <w:r>
              <w:t>项目名称</w:t>
            </w:r>
          </w:p>
        </w:tc>
        <w:tc>
          <w:tcPr>
            <w:tcW w:w="6095" w:type="dxa"/>
            <w:gridSpan w:val="3"/>
            <w:vAlign w:val="center"/>
          </w:tcPr>
          <w:p>
            <w:pPr>
              <w:pStyle w:val="13"/>
            </w:pPr>
            <w:r>
              <w:t>综合治税系统维护费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依照上级文件要求，有效提高财政网络安全运行环境。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0.45</w:t>
            </w:r>
          </w:p>
        </w:tc>
        <w:tc>
          <w:tcPr>
            <w:tcW w:w="2835" w:type="dxa"/>
            <w:vAlign w:val="center"/>
          </w:tcPr>
          <w:p>
            <w:pPr>
              <w:pStyle w:val="14"/>
            </w:pPr>
            <w:r>
              <w:t>0.90</w:t>
            </w:r>
          </w:p>
        </w:tc>
        <w:tc>
          <w:tcPr>
            <w:tcW w:w="2551" w:type="dxa"/>
            <w:vAlign w:val="center"/>
          </w:tcPr>
          <w:p>
            <w:pPr>
              <w:pStyle w:val="14"/>
            </w:pPr>
            <w:r>
              <w:t>1.35</w:t>
            </w:r>
          </w:p>
        </w:tc>
        <w:tc>
          <w:tcPr>
            <w:tcW w:w="3544" w:type="dxa"/>
            <w:gridSpan w:val="2"/>
            <w:vAlign w:val="center"/>
          </w:tcPr>
          <w:p>
            <w:pPr>
              <w:pStyle w:val="14"/>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1.依照上级文件要求，有效提高财政网络安全运行环境。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运行监测网络运行维护</w:t>
            </w:r>
          </w:p>
        </w:tc>
        <w:tc>
          <w:tcPr>
            <w:tcW w:w="5386" w:type="dxa"/>
            <w:vAlign w:val="center"/>
          </w:tcPr>
          <w:p>
            <w:pPr>
              <w:pStyle w:val="13"/>
            </w:pPr>
            <w:r>
              <w:t>运行监测网络运行维护</w:t>
            </w:r>
          </w:p>
        </w:tc>
        <w:tc>
          <w:tcPr>
            <w:tcW w:w="2268" w:type="dxa"/>
            <w:vAlign w:val="center"/>
          </w:tcPr>
          <w:p>
            <w:pPr>
              <w:pStyle w:val="13"/>
            </w:pPr>
            <w:r>
              <w:t>≤365天数</w:t>
            </w:r>
          </w:p>
        </w:tc>
        <w:tc>
          <w:tcPr>
            <w:tcW w:w="1276" w:type="dxa"/>
            <w:vAlign w:val="center"/>
          </w:tcPr>
          <w:p>
            <w:pPr>
              <w:pStyle w:val="13"/>
            </w:pPr>
            <w:r>
              <w:t>上级要求，施工方案及合同约定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网络信息服务质量情况</w:t>
            </w:r>
          </w:p>
        </w:tc>
        <w:tc>
          <w:tcPr>
            <w:tcW w:w="5386" w:type="dxa"/>
            <w:vAlign w:val="center"/>
          </w:tcPr>
          <w:p>
            <w:pPr>
              <w:pStyle w:val="13"/>
            </w:pPr>
            <w:r>
              <w:t>网络信息服务质量情况</w:t>
            </w:r>
          </w:p>
        </w:tc>
        <w:tc>
          <w:tcPr>
            <w:tcW w:w="2268" w:type="dxa"/>
            <w:vAlign w:val="center"/>
          </w:tcPr>
          <w:p>
            <w:pPr>
              <w:pStyle w:val="13"/>
            </w:pPr>
            <w:r>
              <w:t>100%</w:t>
            </w:r>
          </w:p>
        </w:tc>
        <w:tc>
          <w:tcPr>
            <w:tcW w:w="1276" w:type="dxa"/>
            <w:vAlign w:val="center"/>
          </w:tcPr>
          <w:p>
            <w:pPr>
              <w:pStyle w:val="13"/>
            </w:pPr>
            <w:r>
              <w:t>上级要求，施工方案及合同约定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1002025年12月31日前</w:t>
            </w:r>
          </w:p>
        </w:tc>
        <w:tc>
          <w:tcPr>
            <w:tcW w:w="1276" w:type="dxa"/>
            <w:vAlign w:val="center"/>
          </w:tcPr>
          <w:p>
            <w:pPr>
              <w:pStyle w:val="13"/>
            </w:pPr>
            <w:r>
              <w:t>上级要求，施工方案及合同约定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成本不超预算</w:t>
            </w:r>
          </w:p>
        </w:tc>
        <w:tc>
          <w:tcPr>
            <w:tcW w:w="2268" w:type="dxa"/>
            <w:vAlign w:val="center"/>
          </w:tcPr>
          <w:p>
            <w:pPr>
              <w:pStyle w:val="13"/>
            </w:pPr>
            <w:r>
              <w:t>≤1万元</w:t>
            </w:r>
          </w:p>
        </w:tc>
        <w:tc>
          <w:tcPr>
            <w:tcW w:w="1276" w:type="dxa"/>
            <w:vAlign w:val="center"/>
          </w:tcPr>
          <w:p>
            <w:pPr>
              <w:pStyle w:val="13"/>
            </w:pPr>
            <w:r>
              <w:t>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保障财政网络安全环境</w:t>
            </w:r>
          </w:p>
        </w:tc>
        <w:tc>
          <w:tcPr>
            <w:tcW w:w="5386" w:type="dxa"/>
            <w:vAlign w:val="center"/>
          </w:tcPr>
          <w:p>
            <w:pPr>
              <w:pStyle w:val="13"/>
            </w:pPr>
            <w:r>
              <w:t>有效提高财政网络安全环境</w:t>
            </w:r>
          </w:p>
        </w:tc>
        <w:tc>
          <w:tcPr>
            <w:tcW w:w="2268" w:type="dxa"/>
            <w:vAlign w:val="center"/>
          </w:tcPr>
          <w:p>
            <w:pPr>
              <w:pStyle w:val="13"/>
            </w:pPr>
            <w:r>
              <w:t>100进一步保障</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≥90%</w:t>
            </w:r>
          </w:p>
        </w:tc>
        <w:tc>
          <w:tcPr>
            <w:tcW w:w="1276" w:type="dxa"/>
            <w:vAlign w:val="center"/>
          </w:tcPr>
          <w:p>
            <w:pPr>
              <w:pStyle w:val="13"/>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12、业务咨询委托费绩效目标表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13010726P00007910027F</w:t>
            </w:r>
          </w:p>
        </w:tc>
        <w:tc>
          <w:tcPr>
            <w:tcW w:w="2835" w:type="dxa"/>
            <w:vAlign w:val="center"/>
          </w:tcPr>
          <w:p>
            <w:pPr>
              <w:pStyle w:val="11"/>
            </w:pPr>
            <w:r>
              <w:t>项目名称</w:t>
            </w:r>
          </w:p>
        </w:tc>
        <w:tc>
          <w:tcPr>
            <w:tcW w:w="6095" w:type="dxa"/>
            <w:gridSpan w:val="3"/>
            <w:vAlign w:val="center"/>
          </w:tcPr>
          <w:p>
            <w:pPr>
              <w:pStyle w:val="13"/>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通过聘请第三方，开展工程评估评审工作，提高工作质量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22.50</w:t>
            </w:r>
          </w:p>
        </w:tc>
        <w:tc>
          <w:tcPr>
            <w:tcW w:w="2835" w:type="dxa"/>
            <w:vAlign w:val="center"/>
          </w:tcPr>
          <w:p>
            <w:pPr>
              <w:pStyle w:val="14"/>
            </w:pPr>
            <w:r>
              <w:t>45.00</w:t>
            </w:r>
          </w:p>
        </w:tc>
        <w:tc>
          <w:tcPr>
            <w:tcW w:w="2551" w:type="dxa"/>
            <w:vAlign w:val="center"/>
          </w:tcPr>
          <w:p>
            <w:pPr>
              <w:pStyle w:val="14"/>
            </w:pPr>
            <w:r>
              <w:t>67.50</w:t>
            </w:r>
          </w:p>
        </w:tc>
        <w:tc>
          <w:tcPr>
            <w:tcW w:w="3544" w:type="dxa"/>
            <w:gridSpan w:val="2"/>
            <w:vAlign w:val="center"/>
          </w:tcPr>
          <w:p>
            <w:pPr>
              <w:pStyle w:val="14"/>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1.通过聘请第三方，开展工程评估评审工作，提高工作质量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委托业务数量</w:t>
            </w:r>
          </w:p>
        </w:tc>
        <w:tc>
          <w:tcPr>
            <w:tcW w:w="5386" w:type="dxa"/>
            <w:vAlign w:val="center"/>
          </w:tcPr>
          <w:p>
            <w:pPr>
              <w:pStyle w:val="13"/>
            </w:pPr>
            <w:r>
              <w:t>业务咨询委托业务数量</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出具报告份数</w:t>
            </w:r>
          </w:p>
        </w:tc>
        <w:tc>
          <w:tcPr>
            <w:tcW w:w="5386" w:type="dxa"/>
            <w:vAlign w:val="center"/>
          </w:tcPr>
          <w:p>
            <w:pPr>
              <w:pStyle w:val="13"/>
            </w:pPr>
            <w:r>
              <w:t>委托业务出具报告份数</w:t>
            </w:r>
          </w:p>
        </w:tc>
        <w:tc>
          <w:tcPr>
            <w:tcW w:w="2268" w:type="dxa"/>
            <w:vAlign w:val="center"/>
          </w:tcPr>
          <w:p>
            <w:pPr>
              <w:pStyle w:val="13"/>
            </w:pPr>
            <w:r>
              <w:t>≥1份</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业务咨询委托工作完成时间</w:t>
            </w:r>
          </w:p>
        </w:tc>
        <w:tc>
          <w:tcPr>
            <w:tcW w:w="2268" w:type="dxa"/>
            <w:vAlign w:val="center"/>
          </w:tcPr>
          <w:p>
            <w:pPr>
              <w:pStyle w:val="13"/>
            </w:pPr>
            <w:r>
              <w:t>2024年12月底前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项目总预算</w:t>
            </w:r>
          </w:p>
        </w:tc>
        <w:tc>
          <w:tcPr>
            <w:tcW w:w="5386" w:type="dxa"/>
            <w:vAlign w:val="center"/>
          </w:tcPr>
          <w:p>
            <w:pPr>
              <w:pStyle w:val="13"/>
            </w:pPr>
            <w:r>
              <w:t>成本与年初预算的比率</w:t>
            </w:r>
          </w:p>
        </w:tc>
        <w:tc>
          <w:tcPr>
            <w:tcW w:w="2268" w:type="dxa"/>
            <w:vAlign w:val="center"/>
          </w:tcPr>
          <w:p>
            <w:pPr>
              <w:pStyle w:val="13"/>
            </w:pPr>
            <w:r>
              <w:t>≤300万元</w:t>
            </w:r>
          </w:p>
        </w:tc>
        <w:tc>
          <w:tcPr>
            <w:tcW w:w="1276" w:type="dxa"/>
            <w:vAlign w:val="center"/>
          </w:tcPr>
          <w:p>
            <w:pPr>
              <w:pStyle w:val="13"/>
            </w:pPr>
            <w:r>
              <w:t>年初预算测算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持续保障专项业务工作高效运转</w:t>
            </w:r>
          </w:p>
        </w:tc>
        <w:tc>
          <w:tcPr>
            <w:tcW w:w="5386" w:type="dxa"/>
            <w:vAlign w:val="center"/>
          </w:tcPr>
          <w:p>
            <w:pPr>
              <w:pStyle w:val="13"/>
            </w:pPr>
            <w:r>
              <w:t>持续保障专项业务工作高效运转</w:t>
            </w:r>
          </w:p>
        </w:tc>
        <w:tc>
          <w:tcPr>
            <w:tcW w:w="2268" w:type="dxa"/>
            <w:vAlign w:val="center"/>
          </w:tcPr>
          <w:p>
            <w:pPr>
              <w:pStyle w:val="13"/>
            </w:pPr>
            <w:r>
              <w:t>进一步保障</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318石家庄市井陉矿区财政局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石家庄市井陉矿区财政局（含所属单位）上年末固定资产金额为0.00万元（详见下表）。本年度拟购置固定资产总额为0.00万元，已按要求列入政府采购预算，详见政府采购预算表。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318石家庄市井陉矿区财政局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CC545C"/>
    <w:rsid w:val="23FA5B2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43</Pages>
  <Words>0</Words>
  <Characters>0</Characters>
  <Lines>0</Lines>
  <Paragraphs>0</Paragraphs>
  <ScaleCrop>false</ScaleCrop>
  <LinksUpToDate>false</LinksUpToDate>
  <CharactersWithSpaces>0</CharactersWithSpaces>
  <Application>WPS Office_10.1.0.6393_F1E327BC-269C-435d-A152-05C5408002CA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2026-02-11T14:30:00Z</dcterms:created>
  <dc:creator>Administrator</dc:creator>
  <cp:lastModifiedBy>Administrator</cp:lastModifiedBy>
  <dcterms:modified xsi:type="dcterms:W3CDTF">2026-02-11T06:46:38Z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2052-10.1.0.6393</vt:lpwstr>
  </property>
</Properties>
</file>