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2FA6AB4">
      <w:pPr>
        <w:pStyle w:val="3"/>
        <w:keepNext w:val="0"/>
        <w:keepLines w:val="0"/>
        <w:pageBreakBefore w:val="0"/>
        <w:widowControl w:val="0"/>
        <w:kinsoku/>
        <w:wordWrap/>
        <w:overflowPunct/>
        <w:topLinePunct w:val="0"/>
        <w:autoSpaceDE/>
        <w:autoSpaceDN/>
        <w:bidi w:val="0"/>
        <w:adjustRightInd/>
        <w:snapToGrid/>
        <w:spacing w:before="0" w:beforeAutospacing="0" w:after="0" w:afterAutospacing="0" w:line="600" w:lineRule="exact"/>
        <w:ind w:left="0" w:firstLine="883" w:firstLineChars="200"/>
        <w:textAlignment w:val="auto"/>
        <w:rPr>
          <w:rFonts w:ascii="Times New Roman" w:hAnsi="Times New Roman" w:cs="Times New Roman"/>
          <w:sz w:val="44"/>
          <w:szCs w:val="44"/>
          <w:lang w:val="en-US" w:eastAsia="zh-CN"/>
        </w:rPr>
      </w:pPr>
      <w:bookmarkStart w:id="1" w:name="_GoBack"/>
      <w:bookmarkEnd w:id="1"/>
    </w:p>
    <w:p w14:paraId="6D80CD20">
      <w:pPr>
        <w:keepNext w:val="0"/>
        <w:keepLines w:val="0"/>
        <w:pageBreakBefore w:val="0"/>
        <w:widowControl w:val="0"/>
        <w:kinsoku/>
        <w:wordWrap/>
        <w:overflowPunct/>
        <w:topLinePunct w:val="0"/>
        <w:autoSpaceDE/>
        <w:autoSpaceDN/>
        <w:bidi w:val="0"/>
        <w:adjustRightInd/>
        <w:snapToGrid/>
        <w:spacing w:beforeAutospacing="0" w:afterAutospacing="0" w:line="600" w:lineRule="exact"/>
        <w:ind w:firstLine="880" w:firstLineChars="200"/>
        <w:textAlignment w:val="auto"/>
        <w:rPr>
          <w:rFonts w:ascii="Times New Roman" w:hAnsi="Times New Roman" w:cs="Times New Roman"/>
          <w:sz w:val="44"/>
          <w:szCs w:val="44"/>
          <w:lang w:val="en-US" w:eastAsia="zh-CN"/>
        </w:rPr>
      </w:pPr>
    </w:p>
    <w:p w14:paraId="66A3A12C">
      <w:pPr>
        <w:keepNext w:val="0"/>
        <w:keepLines w:val="0"/>
        <w:pageBreakBefore w:val="0"/>
        <w:widowControl w:val="0"/>
        <w:kinsoku/>
        <w:wordWrap/>
        <w:overflowPunct/>
        <w:topLinePunct w:val="0"/>
        <w:autoSpaceDE/>
        <w:autoSpaceDN/>
        <w:bidi w:val="0"/>
        <w:adjustRightInd/>
        <w:snapToGrid/>
        <w:spacing w:beforeAutospacing="0" w:afterAutospacing="0" w:line="600" w:lineRule="exact"/>
        <w:ind w:left="0" w:firstLine="0"/>
        <w:jc w:val="center"/>
        <w:textAlignment w:val="auto"/>
        <w:rPr>
          <w:rFonts w:ascii="Times New Roman" w:hAnsi="Times New Roman" w:eastAsia="方正小标宋简体" w:cs="Times New Roman"/>
          <w:sz w:val="44"/>
          <w:szCs w:val="44"/>
          <w:lang w:val="en-US" w:eastAsia="zh-CN"/>
        </w:rPr>
      </w:pPr>
      <w:r>
        <w:rPr>
          <w:rFonts w:ascii="Times New Roman" w:hAnsi="Times New Roman" w:eastAsia="方正小标宋简体" w:cs="Times New Roman"/>
          <w:sz w:val="44"/>
          <w:szCs w:val="44"/>
          <w:lang w:val="en-US" w:eastAsia="zh-CN"/>
        </w:rPr>
        <w:t>石家庄市井陉矿区人民政府</w:t>
      </w:r>
    </w:p>
    <w:p w14:paraId="04D74B8C">
      <w:pPr>
        <w:keepNext w:val="0"/>
        <w:keepLines w:val="0"/>
        <w:pageBreakBefore w:val="0"/>
        <w:widowControl w:val="0"/>
        <w:kinsoku/>
        <w:wordWrap/>
        <w:overflowPunct/>
        <w:topLinePunct w:val="0"/>
        <w:autoSpaceDE/>
        <w:autoSpaceDN/>
        <w:bidi w:val="0"/>
        <w:adjustRightInd/>
        <w:snapToGrid/>
        <w:spacing w:beforeAutospacing="0" w:afterAutospacing="0" w:line="600" w:lineRule="exact"/>
        <w:ind w:left="0" w:firstLine="0"/>
        <w:jc w:val="center"/>
        <w:textAlignment w:val="auto"/>
        <w:rPr>
          <w:rFonts w:ascii="Times New Roman" w:hAnsi="Times New Roman" w:eastAsia="方正小标宋简体" w:cs="Times New Roman"/>
          <w:sz w:val="44"/>
          <w:szCs w:val="44"/>
        </w:rPr>
      </w:pPr>
      <w:r>
        <w:rPr>
          <w:rFonts w:ascii="Times New Roman" w:hAnsi="Times New Roman" w:eastAsia="方正小标宋简体" w:cs="Times New Roman"/>
          <w:sz w:val="44"/>
          <w:szCs w:val="44"/>
        </w:rPr>
        <w:t>关于</w:t>
      </w:r>
      <w:r>
        <w:rPr>
          <w:rFonts w:ascii="Times New Roman" w:hAnsi="Times New Roman" w:eastAsia="方正小标宋简体" w:cs="Times New Roman"/>
          <w:sz w:val="44"/>
          <w:szCs w:val="44"/>
          <w:lang w:val="en-US" w:eastAsia="zh-CN"/>
        </w:rPr>
        <w:t>2025</w:t>
      </w:r>
      <w:r>
        <w:rPr>
          <w:rFonts w:ascii="Times New Roman" w:hAnsi="Times New Roman" w:eastAsia="方正小标宋简体" w:cs="Times New Roman"/>
          <w:sz w:val="44"/>
          <w:szCs w:val="44"/>
        </w:rPr>
        <w:t>年全区总预算及区本级预算执行</w:t>
      </w:r>
    </w:p>
    <w:p w14:paraId="74DC545E">
      <w:pPr>
        <w:keepNext w:val="0"/>
        <w:keepLines w:val="0"/>
        <w:pageBreakBefore w:val="0"/>
        <w:widowControl w:val="0"/>
        <w:kinsoku/>
        <w:wordWrap/>
        <w:overflowPunct/>
        <w:topLinePunct w:val="0"/>
        <w:autoSpaceDE/>
        <w:autoSpaceDN/>
        <w:bidi w:val="0"/>
        <w:adjustRightInd/>
        <w:snapToGrid/>
        <w:spacing w:beforeAutospacing="0" w:afterAutospacing="0" w:line="600" w:lineRule="exact"/>
        <w:ind w:left="0" w:firstLine="0"/>
        <w:jc w:val="center"/>
        <w:textAlignment w:val="auto"/>
        <w:rPr>
          <w:rFonts w:ascii="Times New Roman" w:hAnsi="Times New Roman" w:eastAsia="方正小标宋简体" w:cs="Times New Roman"/>
          <w:sz w:val="44"/>
          <w:szCs w:val="44"/>
        </w:rPr>
      </w:pPr>
      <w:r>
        <w:rPr>
          <w:rFonts w:ascii="Times New Roman" w:hAnsi="Times New Roman" w:eastAsia="方正小标宋简体" w:cs="Times New Roman"/>
          <w:sz w:val="44"/>
          <w:szCs w:val="44"/>
        </w:rPr>
        <w:t>情况和</w:t>
      </w:r>
      <w:r>
        <w:rPr>
          <w:rFonts w:ascii="Times New Roman" w:hAnsi="Times New Roman" w:eastAsia="方正小标宋简体" w:cs="Times New Roman"/>
          <w:sz w:val="44"/>
          <w:szCs w:val="44"/>
          <w:lang w:val="en-US" w:eastAsia="zh-CN"/>
        </w:rPr>
        <w:t>2026</w:t>
      </w:r>
      <w:r>
        <w:rPr>
          <w:rFonts w:ascii="Times New Roman" w:hAnsi="Times New Roman" w:eastAsia="方正小标宋简体" w:cs="Times New Roman"/>
          <w:sz w:val="44"/>
          <w:szCs w:val="44"/>
        </w:rPr>
        <w:t>年全区总预算及区本级</w:t>
      </w:r>
    </w:p>
    <w:p w14:paraId="4A672E8E">
      <w:pPr>
        <w:keepNext w:val="0"/>
        <w:keepLines w:val="0"/>
        <w:pageBreakBefore w:val="0"/>
        <w:widowControl w:val="0"/>
        <w:kinsoku/>
        <w:wordWrap/>
        <w:overflowPunct/>
        <w:topLinePunct w:val="0"/>
        <w:autoSpaceDE/>
        <w:autoSpaceDN/>
        <w:bidi w:val="0"/>
        <w:adjustRightInd/>
        <w:snapToGrid/>
        <w:spacing w:beforeAutospacing="0" w:afterAutospacing="0" w:line="600" w:lineRule="exact"/>
        <w:ind w:left="0" w:firstLine="0"/>
        <w:jc w:val="center"/>
        <w:textAlignment w:val="auto"/>
        <w:rPr>
          <w:rFonts w:ascii="Times New Roman" w:hAnsi="Times New Roman" w:eastAsia="方正小标宋简体" w:cs="Times New Roman"/>
          <w:sz w:val="44"/>
          <w:szCs w:val="44"/>
        </w:rPr>
      </w:pPr>
      <w:r>
        <w:rPr>
          <w:rFonts w:ascii="Times New Roman" w:hAnsi="Times New Roman" w:eastAsia="方正小标宋简体" w:cs="Times New Roman"/>
          <w:sz w:val="44"/>
          <w:szCs w:val="44"/>
        </w:rPr>
        <w:t>预算草案的报告</w:t>
      </w:r>
    </w:p>
    <w:p w14:paraId="4291152A">
      <w:pPr>
        <w:keepNext w:val="0"/>
        <w:keepLines w:val="0"/>
        <w:pageBreakBefore w:val="0"/>
        <w:widowControl w:val="0"/>
        <w:kinsoku/>
        <w:wordWrap/>
        <w:overflowPunct/>
        <w:topLinePunct w:val="0"/>
        <w:autoSpaceDN/>
        <w:bidi w:val="0"/>
        <w:snapToGrid/>
        <w:spacing w:beforeAutospacing="0" w:afterAutospacing="0" w:line="600" w:lineRule="exact"/>
        <w:ind w:left="0" w:firstLine="0"/>
        <w:contextualSpacing/>
        <w:jc w:val="center"/>
        <w:textAlignment w:val="auto"/>
        <w:rPr>
          <w:rFonts w:ascii="Times New Roman" w:hAnsi="Times New Roman" w:eastAsia="楷体_GB2312" w:cs="Times New Roman"/>
          <w:sz w:val="32"/>
          <w:szCs w:val="32"/>
          <w:highlight w:val="yellow"/>
          <w:lang w:eastAsia="zh-CN"/>
        </w:rPr>
      </w:pPr>
      <w:r>
        <w:rPr>
          <w:rFonts w:ascii="Times New Roman" w:hAnsi="Times New Roman" w:eastAsia="楷体_GB2312" w:cs="Times New Roman"/>
          <w:sz w:val="32"/>
          <w:szCs w:val="32"/>
          <w:lang w:eastAsia="zh-CN"/>
        </w:rPr>
        <w:t>——</w:t>
      </w:r>
      <w:r>
        <w:rPr>
          <w:rFonts w:ascii="Times New Roman" w:hAnsi="Times New Roman" w:eastAsia="楷体_GB2312" w:cs="Times New Roman"/>
          <w:sz w:val="32"/>
          <w:szCs w:val="32"/>
          <w:highlight w:val="none"/>
          <w:lang w:eastAsia="zh-CN"/>
        </w:rPr>
        <w:t>202</w:t>
      </w:r>
      <w:r>
        <w:rPr>
          <w:rFonts w:ascii="Times New Roman" w:hAnsi="Times New Roman" w:eastAsia="楷体_GB2312" w:cs="Times New Roman"/>
          <w:sz w:val="32"/>
          <w:szCs w:val="32"/>
          <w:highlight w:val="none"/>
          <w:lang w:val="en-US" w:eastAsia="zh-CN"/>
        </w:rPr>
        <w:t>6</w:t>
      </w:r>
      <w:r>
        <w:rPr>
          <w:rFonts w:ascii="Times New Roman" w:hAnsi="Times New Roman" w:eastAsia="楷体_GB2312" w:cs="Times New Roman"/>
          <w:sz w:val="32"/>
          <w:szCs w:val="32"/>
          <w:highlight w:val="none"/>
          <w:lang w:eastAsia="zh-CN"/>
        </w:rPr>
        <w:t>年</w:t>
      </w:r>
      <w:r>
        <w:rPr>
          <w:rFonts w:ascii="Times New Roman" w:hAnsi="Times New Roman" w:eastAsia="楷体_GB2312" w:cs="Times New Roman"/>
          <w:sz w:val="32"/>
          <w:szCs w:val="32"/>
          <w:highlight w:val="none"/>
          <w:lang w:val="en-US" w:eastAsia="zh-CN"/>
        </w:rPr>
        <w:t>1</w:t>
      </w:r>
      <w:r>
        <w:rPr>
          <w:rFonts w:ascii="Times New Roman" w:hAnsi="Times New Roman" w:eastAsia="楷体_GB2312" w:cs="Times New Roman"/>
          <w:sz w:val="32"/>
          <w:szCs w:val="32"/>
          <w:highlight w:val="none"/>
          <w:lang w:eastAsia="zh-CN"/>
        </w:rPr>
        <w:t>月</w:t>
      </w:r>
      <w:r>
        <w:rPr>
          <w:rFonts w:hint="eastAsia" w:ascii="Times New Roman" w:hAnsi="Times New Roman" w:eastAsia="楷体_GB2312" w:cs="Times New Roman"/>
          <w:sz w:val="32"/>
          <w:szCs w:val="32"/>
          <w:highlight w:val="none"/>
          <w:lang w:val="en-US" w:eastAsia="zh-CN"/>
        </w:rPr>
        <w:t>31</w:t>
      </w:r>
      <w:r>
        <w:rPr>
          <w:rFonts w:ascii="Times New Roman" w:hAnsi="Times New Roman" w:eastAsia="楷体_GB2312" w:cs="Times New Roman"/>
          <w:sz w:val="32"/>
          <w:szCs w:val="32"/>
          <w:highlight w:val="none"/>
          <w:lang w:eastAsia="zh-CN"/>
        </w:rPr>
        <w:t>日在石家庄市井陉矿区</w:t>
      </w:r>
    </w:p>
    <w:p w14:paraId="3CFE9801">
      <w:pPr>
        <w:keepNext w:val="0"/>
        <w:keepLines w:val="0"/>
        <w:pageBreakBefore w:val="0"/>
        <w:widowControl w:val="0"/>
        <w:kinsoku/>
        <w:wordWrap/>
        <w:overflowPunct/>
        <w:topLinePunct w:val="0"/>
        <w:autoSpaceDN/>
        <w:bidi w:val="0"/>
        <w:snapToGrid/>
        <w:spacing w:beforeAutospacing="0" w:afterAutospacing="0" w:line="600" w:lineRule="exact"/>
        <w:ind w:left="0" w:firstLine="0"/>
        <w:contextualSpacing/>
        <w:jc w:val="center"/>
        <w:textAlignment w:val="auto"/>
        <w:rPr>
          <w:rFonts w:ascii="Times New Roman" w:hAnsi="Times New Roman" w:eastAsia="楷体_GB2312" w:cs="Times New Roman"/>
          <w:sz w:val="32"/>
          <w:szCs w:val="32"/>
          <w:highlight w:val="none"/>
          <w:lang w:eastAsia="zh-CN"/>
        </w:rPr>
      </w:pPr>
      <w:r>
        <w:rPr>
          <w:rFonts w:ascii="Times New Roman" w:hAnsi="Times New Roman" w:eastAsia="楷体_GB2312" w:cs="Times New Roman"/>
          <w:sz w:val="32"/>
          <w:szCs w:val="32"/>
          <w:highlight w:val="none"/>
          <w:lang w:eastAsia="zh-CN"/>
        </w:rPr>
        <w:t>第十六届人民代表大会第六次会议上</w:t>
      </w:r>
    </w:p>
    <w:p w14:paraId="13499543">
      <w:pPr>
        <w:keepNext w:val="0"/>
        <w:keepLines w:val="0"/>
        <w:pageBreakBefore w:val="0"/>
        <w:widowControl w:val="0"/>
        <w:kinsoku/>
        <w:wordWrap/>
        <w:overflowPunct/>
        <w:topLinePunct w:val="0"/>
        <w:autoSpaceDN/>
        <w:bidi w:val="0"/>
        <w:snapToGrid/>
        <w:spacing w:beforeAutospacing="0" w:afterAutospacing="0" w:line="600" w:lineRule="exact"/>
        <w:ind w:left="0" w:firstLine="0"/>
        <w:contextualSpacing/>
        <w:jc w:val="center"/>
        <w:textAlignment w:val="auto"/>
        <w:rPr>
          <w:rFonts w:ascii="Times New Roman" w:hAnsi="Times New Roman" w:eastAsia="楷体_GB2312" w:cs="Times New Roman"/>
          <w:sz w:val="32"/>
          <w:szCs w:val="32"/>
          <w:highlight w:val="none"/>
        </w:rPr>
      </w:pPr>
      <w:r>
        <w:rPr>
          <w:rFonts w:ascii="Times New Roman" w:hAnsi="Times New Roman" w:eastAsia="楷体_GB2312" w:cs="Times New Roman"/>
          <w:sz w:val="32"/>
          <w:szCs w:val="32"/>
          <w:highlight w:val="none"/>
          <w:lang w:eastAsia="zh-CN"/>
        </w:rPr>
        <w:t>石家庄市井陉矿区财政局局长</w:t>
      </w:r>
      <w:r>
        <w:rPr>
          <w:rFonts w:ascii="Times New Roman" w:hAnsi="Times New Roman" w:eastAsia="楷体_GB2312" w:cs="Times New Roman"/>
          <w:sz w:val="32"/>
          <w:szCs w:val="32"/>
          <w:highlight w:val="none"/>
          <w:lang w:val="en-US" w:eastAsia="zh-CN"/>
        </w:rPr>
        <w:t xml:space="preserve">  </w:t>
      </w:r>
      <w:r>
        <w:rPr>
          <w:rFonts w:ascii="Times New Roman" w:hAnsi="Times New Roman" w:eastAsia="楷体_GB2312" w:cs="Times New Roman"/>
          <w:sz w:val="32"/>
          <w:szCs w:val="32"/>
          <w:highlight w:val="none"/>
          <w:lang w:eastAsia="zh-CN"/>
        </w:rPr>
        <w:t>王志勇</w:t>
      </w:r>
    </w:p>
    <w:p w14:paraId="702EA041">
      <w:pPr>
        <w:keepNext w:val="0"/>
        <w:keepLines w:val="0"/>
        <w:pageBreakBefore w:val="0"/>
        <w:widowControl w:val="0"/>
        <w:kinsoku/>
        <w:wordWrap/>
        <w:overflowPunct/>
        <w:topLinePunct w:val="0"/>
        <w:autoSpaceDN/>
        <w:bidi w:val="0"/>
        <w:snapToGrid/>
        <w:spacing w:beforeAutospacing="0" w:afterAutospacing="0" w:line="600" w:lineRule="exact"/>
        <w:ind w:left="0" w:firstLine="640" w:firstLineChars="200"/>
        <w:contextualSpacing/>
        <w:textAlignment w:val="auto"/>
        <w:rPr>
          <w:rFonts w:ascii="Times New Roman" w:hAnsi="Times New Roman" w:eastAsia="仿宋_GB2312" w:cs="Times New Roman"/>
          <w:sz w:val="32"/>
          <w:szCs w:val="32"/>
        </w:rPr>
      </w:pPr>
    </w:p>
    <w:p w14:paraId="18D0EF75">
      <w:pPr>
        <w:keepNext w:val="0"/>
        <w:keepLines w:val="0"/>
        <w:pageBreakBefore w:val="0"/>
        <w:widowControl w:val="0"/>
        <w:kinsoku/>
        <w:wordWrap/>
        <w:overflowPunct/>
        <w:topLinePunct w:val="0"/>
        <w:autoSpaceDN/>
        <w:bidi w:val="0"/>
        <w:snapToGrid/>
        <w:spacing w:beforeAutospacing="0" w:afterAutospacing="0" w:line="600" w:lineRule="exact"/>
        <w:contextualSpacing/>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各位代表：</w:t>
      </w:r>
    </w:p>
    <w:p w14:paraId="6815400F">
      <w:pPr>
        <w:keepNext w:val="0"/>
        <w:keepLines w:val="0"/>
        <w:pageBreakBefore w:val="0"/>
        <w:widowControl w:val="0"/>
        <w:kinsoku/>
        <w:wordWrap/>
        <w:overflowPunct/>
        <w:topLinePunct w:val="0"/>
        <w:autoSpaceDN/>
        <w:bidi w:val="0"/>
        <w:snapToGrid/>
        <w:spacing w:beforeAutospacing="0" w:afterAutospacing="0" w:line="600" w:lineRule="exact"/>
        <w:ind w:left="0" w:firstLine="640" w:firstLineChars="200"/>
        <w:contextualSpacing/>
        <w:textAlignment w:val="auto"/>
        <w:rPr>
          <w:rFonts w:ascii="Times New Roman" w:hAnsi="Times New Roman" w:eastAsia="黑体" w:cs="Times New Roman"/>
          <w:bCs/>
          <w:sz w:val="32"/>
          <w:szCs w:val="32"/>
        </w:rPr>
      </w:pPr>
      <w:r>
        <w:rPr>
          <w:rFonts w:ascii="Times New Roman" w:hAnsi="Times New Roman" w:eastAsia="仿宋_GB2312" w:cs="Times New Roman"/>
          <w:sz w:val="32"/>
          <w:szCs w:val="32"/>
          <w:lang w:eastAsia="zh-CN"/>
        </w:rPr>
        <w:t>现在，我代表井陉矿区人民政府向</w:t>
      </w:r>
      <w:r>
        <w:rPr>
          <w:rFonts w:ascii="Times New Roman" w:hAnsi="Times New Roman" w:eastAsia="仿宋_GB2312" w:cs="Times New Roman"/>
          <w:color w:val="010000"/>
          <w:sz w:val="32"/>
          <w:szCs w:val="32"/>
        </w:rPr>
        <w:t>大会报告</w:t>
      </w:r>
      <w:r>
        <w:rPr>
          <w:rFonts w:ascii="Times New Roman" w:hAnsi="Times New Roman" w:eastAsia="仿宋_GB2312" w:cs="Times New Roman"/>
          <w:sz w:val="32"/>
          <w:szCs w:val="32"/>
          <w:lang w:eastAsia="zh-CN"/>
        </w:rPr>
        <w:t>工作</w:t>
      </w:r>
      <w:r>
        <w:rPr>
          <w:rFonts w:ascii="Times New Roman" w:hAnsi="Times New Roman" w:eastAsia="仿宋_GB2312" w:cs="Times New Roman"/>
          <w:sz w:val="32"/>
          <w:szCs w:val="32"/>
        </w:rPr>
        <w:t>，请予以</w:t>
      </w:r>
      <w:r>
        <w:rPr>
          <w:rFonts w:ascii="Times New Roman" w:hAnsi="Times New Roman" w:eastAsia="仿宋_GB2312" w:cs="Times New Roman"/>
          <w:color w:val="010000"/>
          <w:sz w:val="32"/>
          <w:szCs w:val="32"/>
        </w:rPr>
        <w:t>审议，并请</w:t>
      </w:r>
      <w:r>
        <w:rPr>
          <w:rFonts w:ascii="Times New Roman" w:hAnsi="Times New Roman" w:eastAsia="仿宋_GB2312" w:cs="Times New Roman"/>
          <w:color w:val="010000"/>
          <w:sz w:val="32"/>
          <w:szCs w:val="32"/>
          <w:u w:val="none"/>
        </w:rPr>
        <w:t>政协委员和</w:t>
      </w:r>
      <w:r>
        <w:rPr>
          <w:rFonts w:ascii="Times New Roman" w:hAnsi="Times New Roman" w:eastAsia="仿宋_GB2312" w:cs="Times New Roman"/>
          <w:color w:val="010000"/>
          <w:sz w:val="32"/>
          <w:szCs w:val="32"/>
        </w:rPr>
        <w:t>列席会议</w:t>
      </w:r>
      <w:r>
        <w:rPr>
          <w:rFonts w:ascii="Times New Roman" w:hAnsi="Times New Roman" w:eastAsia="仿宋_GB2312" w:cs="Times New Roman"/>
          <w:color w:val="010000"/>
          <w:sz w:val="32"/>
          <w:szCs w:val="32"/>
          <w:lang w:eastAsia="zh-CN"/>
        </w:rPr>
        <w:t>的同志</w:t>
      </w:r>
      <w:r>
        <w:rPr>
          <w:rFonts w:ascii="Times New Roman" w:hAnsi="Times New Roman" w:eastAsia="仿宋_GB2312" w:cs="Times New Roman"/>
          <w:color w:val="010000"/>
          <w:sz w:val="32"/>
          <w:szCs w:val="32"/>
        </w:rPr>
        <w:t>提出意见。</w:t>
      </w:r>
    </w:p>
    <w:p w14:paraId="1BAEC432">
      <w:pPr>
        <w:keepNext w:val="0"/>
        <w:keepLines w:val="0"/>
        <w:pageBreakBefore w:val="0"/>
        <w:widowControl w:val="0"/>
        <w:kinsoku/>
        <w:wordWrap/>
        <w:overflowPunct/>
        <w:topLinePunct w:val="0"/>
        <w:autoSpaceDN/>
        <w:bidi w:val="0"/>
        <w:snapToGrid/>
        <w:spacing w:beforeAutospacing="0" w:afterAutospacing="0" w:line="600" w:lineRule="exact"/>
        <w:ind w:left="0" w:firstLine="640" w:firstLineChars="200"/>
        <w:contextualSpacing/>
        <w:textAlignment w:val="auto"/>
        <w:rPr>
          <w:rFonts w:ascii="Times New Roman" w:hAnsi="Times New Roman" w:eastAsia="黑体" w:cs="Times New Roman"/>
          <w:bCs/>
          <w:sz w:val="32"/>
          <w:szCs w:val="32"/>
        </w:rPr>
      </w:pPr>
      <w:r>
        <w:rPr>
          <w:rFonts w:ascii="Times New Roman" w:hAnsi="Times New Roman" w:eastAsia="黑体" w:cs="Times New Roman"/>
          <w:bCs/>
          <w:sz w:val="32"/>
          <w:szCs w:val="32"/>
        </w:rPr>
        <w:t>一、20</w:t>
      </w:r>
      <w:r>
        <w:rPr>
          <w:rFonts w:ascii="Times New Roman" w:hAnsi="Times New Roman" w:eastAsia="黑体" w:cs="Times New Roman"/>
          <w:bCs/>
          <w:sz w:val="32"/>
          <w:szCs w:val="32"/>
          <w:lang w:val="en-US" w:eastAsia="zh-CN"/>
        </w:rPr>
        <w:t>25</w:t>
      </w:r>
      <w:r>
        <w:rPr>
          <w:rFonts w:ascii="Times New Roman" w:hAnsi="Times New Roman" w:eastAsia="黑体" w:cs="Times New Roman"/>
          <w:bCs/>
          <w:sz w:val="32"/>
          <w:szCs w:val="32"/>
        </w:rPr>
        <w:t>年预算执行情况</w:t>
      </w:r>
    </w:p>
    <w:p w14:paraId="50E330EC">
      <w:pPr>
        <w:keepNext w:val="0"/>
        <w:keepLines w:val="0"/>
        <w:pageBreakBefore w:val="0"/>
        <w:widowControl w:val="0"/>
        <w:kinsoku/>
        <w:wordWrap/>
        <w:overflowPunct/>
        <w:topLinePunct w:val="0"/>
        <w:autoSpaceDE/>
        <w:autoSpaceDN/>
        <w:bidi w:val="0"/>
        <w:adjustRightInd/>
        <w:snapToGrid/>
        <w:spacing w:beforeAutospacing="0" w:afterAutospacing="0" w:line="600" w:lineRule="exact"/>
        <w:ind w:left="0" w:firstLine="640" w:firstLineChars="200"/>
        <w:contextualSpacing/>
        <w:textAlignment w:val="auto"/>
        <w:rPr>
          <w:rFonts w:ascii="Times New Roman" w:hAnsi="Times New Roman" w:eastAsia="仿宋_GB2312" w:cs="Times New Roman"/>
          <w:sz w:val="32"/>
          <w:szCs w:val="32"/>
        </w:rPr>
      </w:pPr>
      <w:r>
        <w:rPr>
          <w:rFonts w:ascii="Times New Roman" w:hAnsi="Times New Roman" w:eastAsia="仿宋_GB2312" w:cs="Times New Roman"/>
          <w:kern w:val="0"/>
          <w:sz w:val="32"/>
          <w:szCs w:val="32"/>
          <w:highlight w:val="none"/>
          <w:u w:val="none"/>
          <w:lang w:val="en-US" w:eastAsia="zh-CN"/>
        </w:rPr>
        <w:t>2025年是“十四五”规划收官之年，也是“十五五”规划谋篇布局之年。今年以来，在区委区政府的坚强领导下，始终</w:t>
      </w:r>
      <w:r>
        <w:rPr>
          <w:rFonts w:ascii="Times New Roman" w:hAnsi="Times New Roman" w:eastAsia="仿宋_GB2312" w:cs="Times New Roman"/>
          <w:sz w:val="32"/>
          <w:szCs w:val="32"/>
          <w:highlight w:val="none"/>
          <w:u w:val="none"/>
          <w:lang w:val="en-US" w:eastAsia="zh-CN"/>
        </w:rPr>
        <w:t>坚持以习近平新时代中国特色社会主义思想为指导，</w:t>
      </w:r>
      <w:r>
        <w:rPr>
          <w:rFonts w:ascii="Times New Roman" w:hAnsi="Times New Roman" w:eastAsia="仿宋_GB2312" w:cs="Times New Roman"/>
          <w:sz w:val="32"/>
          <w:szCs w:val="32"/>
          <w:highlight w:val="none"/>
          <w:u w:val="none"/>
          <w:lang w:eastAsia="zh-CN"/>
        </w:rPr>
        <w:t>全面贯彻党的二十大和二十届</w:t>
      </w:r>
      <w:r>
        <w:rPr>
          <w:rFonts w:hint="eastAsia" w:ascii="Times New Roman" w:hAnsi="Times New Roman" w:eastAsia="仿宋_GB2312" w:cs="Times New Roman"/>
          <w:sz w:val="32"/>
          <w:szCs w:val="32"/>
          <w:highlight w:val="none"/>
          <w:u w:val="none"/>
          <w:lang w:eastAsia="zh-CN"/>
        </w:rPr>
        <w:t>历次</w:t>
      </w:r>
      <w:r>
        <w:rPr>
          <w:rFonts w:ascii="Times New Roman" w:hAnsi="Times New Roman" w:eastAsia="仿宋_GB2312" w:cs="Times New Roman"/>
          <w:sz w:val="32"/>
          <w:szCs w:val="32"/>
          <w:highlight w:val="none"/>
          <w:u w:val="none"/>
          <w:lang w:eastAsia="zh-CN"/>
        </w:rPr>
        <w:t>全会精神，</w:t>
      </w:r>
      <w:r>
        <w:rPr>
          <w:rFonts w:ascii="Times New Roman" w:hAnsi="Times New Roman" w:eastAsia="仿宋_GB2312" w:cs="Times New Roman"/>
          <w:kern w:val="0"/>
          <w:sz w:val="32"/>
          <w:szCs w:val="32"/>
          <w:highlight w:val="none"/>
          <w:u w:val="none"/>
          <w:lang w:val="en-US" w:eastAsia="zh-CN"/>
        </w:rPr>
        <w:t>深入贯彻落实中央、省、市、区经济工作会议精神</w:t>
      </w:r>
      <w:r>
        <w:rPr>
          <w:rFonts w:ascii="Times New Roman" w:hAnsi="Times New Roman" w:eastAsia="仿宋_GB2312" w:cs="Times New Roman"/>
          <w:sz w:val="32"/>
          <w:szCs w:val="32"/>
          <w:highlight w:val="none"/>
          <w:u w:val="none"/>
          <w:lang w:eastAsia="zh-CN"/>
        </w:rPr>
        <w:t>，</w:t>
      </w:r>
      <w:r>
        <w:rPr>
          <w:rFonts w:ascii="Times New Roman" w:hAnsi="Times New Roman" w:eastAsia="仿宋_GB2312" w:cs="Times New Roman"/>
          <w:kern w:val="0"/>
          <w:sz w:val="32"/>
          <w:szCs w:val="32"/>
          <w:highlight w:val="none"/>
          <w:u w:val="none"/>
          <w:lang w:val="en-US" w:eastAsia="zh-CN"/>
        </w:rPr>
        <w:t>坚持稳中求进工作总基调，推动积极的财政政策加力提效，</w:t>
      </w:r>
      <w:r>
        <w:rPr>
          <w:rFonts w:ascii="Times New Roman" w:hAnsi="Times New Roman" w:eastAsia="仿宋_GB2312" w:cs="Times New Roman"/>
          <w:sz w:val="32"/>
          <w:szCs w:val="32"/>
          <w:highlight w:val="none"/>
          <w:u w:val="none"/>
          <w:lang w:val="en-US" w:eastAsia="zh-CN"/>
        </w:rPr>
        <w:t>敢于担当，勇毅前行，扛实扛牢保障“三保”的政治责任，</w:t>
      </w:r>
      <w:r>
        <w:rPr>
          <w:rFonts w:ascii="Times New Roman" w:hAnsi="Times New Roman" w:eastAsia="仿宋_GB2312" w:cs="Times New Roman"/>
          <w:bCs/>
          <w:color w:val="auto"/>
          <w:sz w:val="32"/>
          <w:szCs w:val="32"/>
          <w:highlight w:val="none"/>
          <w:u w:val="none"/>
          <w:lang w:val="en-US" w:eastAsia="zh-CN"/>
        </w:rPr>
        <w:t>兜牢兜紧防范化解重大风险的原则底线，全力</w:t>
      </w:r>
      <w:r>
        <w:rPr>
          <w:rFonts w:ascii="Times New Roman" w:hAnsi="Times New Roman" w:eastAsia="仿宋_GB2312" w:cs="Times New Roman"/>
          <w:sz w:val="32"/>
          <w:szCs w:val="32"/>
          <w:highlight w:val="none"/>
          <w:u w:val="none"/>
          <w:lang w:eastAsia="zh-CN"/>
        </w:rPr>
        <w:t>推动我区经济发展和社会稳定。</w:t>
      </w:r>
    </w:p>
    <w:p w14:paraId="49BDECA0">
      <w:pPr>
        <w:keepNext w:val="0"/>
        <w:keepLines w:val="0"/>
        <w:pageBreakBefore w:val="0"/>
        <w:widowControl w:val="0"/>
        <w:kinsoku/>
        <w:wordWrap/>
        <w:overflowPunct/>
        <w:topLinePunct w:val="0"/>
        <w:autoSpaceDN/>
        <w:bidi w:val="0"/>
        <w:snapToGrid/>
        <w:spacing w:beforeAutospacing="0" w:afterAutospacing="0" w:line="600" w:lineRule="exact"/>
        <w:ind w:left="0" w:firstLine="643" w:firstLineChars="200"/>
        <w:contextualSpacing/>
        <w:textAlignment w:val="auto"/>
        <w:rPr>
          <w:rFonts w:ascii="Times New Roman" w:hAnsi="Times New Roman" w:eastAsia="楷体_GB2312" w:cs="Times New Roman"/>
          <w:b/>
          <w:bCs w:val="0"/>
          <w:sz w:val="32"/>
          <w:szCs w:val="32"/>
          <w:highlight w:val="none"/>
        </w:rPr>
      </w:pPr>
      <w:r>
        <w:rPr>
          <w:rFonts w:ascii="Times New Roman" w:hAnsi="Times New Roman" w:eastAsia="楷体_GB2312" w:cs="Times New Roman"/>
          <w:b/>
          <w:bCs w:val="0"/>
          <w:sz w:val="32"/>
          <w:szCs w:val="32"/>
          <w:highlight w:val="none"/>
        </w:rPr>
        <w:t>（一）一般公共预算执行情况</w:t>
      </w:r>
    </w:p>
    <w:p w14:paraId="42486E2C">
      <w:pPr>
        <w:keepNext w:val="0"/>
        <w:keepLines w:val="0"/>
        <w:pageBreakBefore w:val="0"/>
        <w:widowControl w:val="0"/>
        <w:kinsoku/>
        <w:wordWrap/>
        <w:overflowPunct/>
        <w:topLinePunct w:val="0"/>
        <w:autoSpaceDN/>
        <w:bidi w:val="0"/>
        <w:snapToGrid/>
        <w:spacing w:beforeAutospacing="0" w:afterAutospacing="0" w:line="600" w:lineRule="exact"/>
        <w:ind w:left="0" w:firstLine="643" w:firstLineChars="200"/>
        <w:contextualSpacing/>
        <w:textAlignment w:val="auto"/>
        <w:rPr>
          <w:rFonts w:ascii="Times New Roman" w:hAnsi="Times New Roman" w:eastAsia="仿宋_GB2312" w:cs="Times New Roman"/>
          <w:b/>
          <w:bCs w:val="0"/>
          <w:sz w:val="32"/>
          <w:szCs w:val="32"/>
          <w:highlight w:val="none"/>
        </w:rPr>
      </w:pPr>
      <w:r>
        <w:rPr>
          <w:rFonts w:ascii="Times New Roman" w:hAnsi="Times New Roman" w:eastAsia="仿宋_GB2312" w:cs="Times New Roman"/>
          <w:b/>
          <w:bCs/>
          <w:sz w:val="32"/>
          <w:szCs w:val="32"/>
          <w:highlight w:val="none"/>
        </w:rPr>
        <w:t>1</w:t>
      </w:r>
      <w:r>
        <w:rPr>
          <w:rFonts w:ascii="Times New Roman" w:hAnsi="Times New Roman" w:eastAsia="仿宋_GB2312" w:cs="Times New Roman"/>
          <w:b/>
          <w:bCs/>
          <w:sz w:val="32"/>
          <w:szCs w:val="32"/>
          <w:highlight w:val="none"/>
          <w:lang w:eastAsia="zh-CN"/>
        </w:rPr>
        <w:t>.</w:t>
      </w:r>
      <w:r>
        <w:rPr>
          <w:rFonts w:ascii="Times New Roman" w:hAnsi="Times New Roman" w:eastAsia="仿宋_GB2312" w:cs="Times New Roman"/>
          <w:b/>
          <w:bCs/>
          <w:sz w:val="32"/>
          <w:szCs w:val="32"/>
          <w:highlight w:val="none"/>
        </w:rPr>
        <w:t>全区总预算执行情况</w:t>
      </w:r>
    </w:p>
    <w:p w14:paraId="5999184C">
      <w:pPr>
        <w:keepNext w:val="0"/>
        <w:keepLines w:val="0"/>
        <w:pageBreakBefore w:val="0"/>
        <w:widowControl w:val="0"/>
        <w:kinsoku/>
        <w:wordWrap/>
        <w:overflowPunct/>
        <w:topLinePunct w:val="0"/>
        <w:autoSpaceDN/>
        <w:bidi w:val="0"/>
        <w:snapToGrid/>
        <w:spacing w:beforeAutospacing="0" w:afterAutospacing="0" w:line="600" w:lineRule="exact"/>
        <w:ind w:left="0" w:firstLine="640" w:firstLineChars="200"/>
        <w:contextualSpacing/>
        <w:textAlignment w:val="auto"/>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lang w:val="en-US" w:eastAsia="zh-CN"/>
        </w:rPr>
        <w:t>2025年，</w:t>
      </w:r>
      <w:r>
        <w:rPr>
          <w:rFonts w:ascii="Times New Roman" w:hAnsi="Times New Roman" w:eastAsia="仿宋_GB2312" w:cs="Times New Roman"/>
          <w:sz w:val="32"/>
          <w:szCs w:val="32"/>
          <w:highlight w:val="none"/>
        </w:rPr>
        <w:t>全区</w:t>
      </w:r>
      <w:r>
        <w:rPr>
          <w:rFonts w:ascii="Times New Roman" w:hAnsi="Times New Roman" w:eastAsia="仿宋_GB2312" w:cs="Times New Roman"/>
          <w:sz w:val="32"/>
          <w:szCs w:val="32"/>
          <w:highlight w:val="none"/>
          <w:lang w:eastAsia="zh-CN"/>
        </w:rPr>
        <w:t>一般</w:t>
      </w:r>
      <w:r>
        <w:rPr>
          <w:rFonts w:ascii="Times New Roman" w:hAnsi="Times New Roman" w:eastAsia="仿宋_GB2312" w:cs="Times New Roman"/>
          <w:sz w:val="32"/>
          <w:szCs w:val="32"/>
          <w:highlight w:val="none"/>
        </w:rPr>
        <w:t>公共预算收入完成</w:t>
      </w:r>
      <w:r>
        <w:rPr>
          <w:rFonts w:ascii="Times New Roman" w:hAnsi="Times New Roman" w:eastAsia="仿宋_GB2312" w:cs="Times New Roman"/>
          <w:sz w:val="32"/>
          <w:szCs w:val="32"/>
          <w:highlight w:val="none"/>
          <w:lang w:val="en-US" w:eastAsia="zh-CN"/>
        </w:rPr>
        <w:t>52672</w:t>
      </w:r>
      <w:r>
        <w:rPr>
          <w:rFonts w:ascii="Times New Roman" w:hAnsi="Times New Roman" w:eastAsia="仿宋_GB2312" w:cs="Times New Roman"/>
          <w:sz w:val="32"/>
          <w:szCs w:val="32"/>
          <w:highlight w:val="none"/>
        </w:rPr>
        <w:t>万元，完成</w:t>
      </w:r>
      <w:r>
        <w:rPr>
          <w:rFonts w:ascii="Times New Roman" w:hAnsi="Times New Roman" w:eastAsia="仿宋_GB2312" w:cs="Times New Roman"/>
          <w:sz w:val="32"/>
          <w:szCs w:val="32"/>
          <w:highlight w:val="none"/>
          <w:lang w:eastAsia="zh-CN"/>
        </w:rPr>
        <w:t>调整</w:t>
      </w:r>
      <w:r>
        <w:rPr>
          <w:rFonts w:ascii="Times New Roman" w:hAnsi="Times New Roman" w:eastAsia="仿宋_GB2312" w:cs="Times New Roman"/>
          <w:sz w:val="32"/>
          <w:szCs w:val="32"/>
          <w:highlight w:val="none"/>
        </w:rPr>
        <w:t>预算的</w:t>
      </w:r>
      <w:r>
        <w:rPr>
          <w:rFonts w:ascii="Times New Roman" w:hAnsi="Times New Roman" w:eastAsia="仿宋_GB2312" w:cs="Times New Roman"/>
          <w:sz w:val="32"/>
          <w:szCs w:val="32"/>
          <w:highlight w:val="none"/>
          <w:lang w:val="en-US" w:eastAsia="zh-CN"/>
        </w:rPr>
        <w:t>100.1%，增长</w:t>
      </w:r>
      <w:r>
        <w:rPr>
          <w:rFonts w:hint="eastAsia" w:ascii="Times New Roman" w:hAnsi="Times New Roman" w:eastAsia="仿宋_GB2312" w:cs="Times New Roman"/>
          <w:sz w:val="32"/>
          <w:szCs w:val="32"/>
          <w:highlight w:val="none"/>
          <w:lang w:val="en-US" w:eastAsia="zh-CN"/>
        </w:rPr>
        <w:t>39.1</w:t>
      </w:r>
      <w:r>
        <w:rPr>
          <w:rFonts w:ascii="Times New Roman" w:hAnsi="Times New Roman" w:eastAsia="仿宋_GB2312" w:cs="Times New Roman"/>
          <w:sz w:val="32"/>
          <w:szCs w:val="32"/>
          <w:highlight w:val="none"/>
          <w:lang w:val="en-US" w:eastAsia="zh-CN"/>
        </w:rPr>
        <w:t>%。其中：税收收入完成29097万元；非税收入完成23575万元。全区一般公共预算支出98000万元，完成调整预算的99.8%，比上年增长15.6%。</w:t>
      </w:r>
    </w:p>
    <w:p w14:paraId="61D3DD34">
      <w:pPr>
        <w:keepNext w:val="0"/>
        <w:keepLines w:val="0"/>
        <w:pageBreakBefore w:val="0"/>
        <w:widowControl w:val="0"/>
        <w:kinsoku/>
        <w:wordWrap/>
        <w:overflowPunct/>
        <w:topLinePunct w:val="0"/>
        <w:autoSpaceDN/>
        <w:bidi w:val="0"/>
        <w:snapToGrid/>
        <w:spacing w:beforeAutospacing="0" w:afterAutospacing="0" w:line="600" w:lineRule="exact"/>
        <w:ind w:left="0" w:firstLine="643" w:firstLineChars="200"/>
        <w:contextualSpacing/>
        <w:textAlignment w:val="auto"/>
        <w:rPr>
          <w:rFonts w:ascii="Times New Roman" w:hAnsi="Times New Roman" w:eastAsia="仿宋_GB2312" w:cs="Times New Roman"/>
          <w:b/>
          <w:bCs/>
          <w:sz w:val="32"/>
          <w:szCs w:val="32"/>
          <w:highlight w:val="none"/>
        </w:rPr>
      </w:pPr>
      <w:r>
        <w:rPr>
          <w:rFonts w:ascii="Times New Roman" w:hAnsi="Times New Roman" w:eastAsia="仿宋_GB2312" w:cs="Times New Roman"/>
          <w:b/>
          <w:bCs/>
          <w:sz w:val="32"/>
          <w:szCs w:val="32"/>
          <w:highlight w:val="none"/>
        </w:rPr>
        <w:t>2</w:t>
      </w:r>
      <w:r>
        <w:rPr>
          <w:rFonts w:ascii="Times New Roman" w:hAnsi="Times New Roman" w:eastAsia="仿宋_GB2312" w:cs="Times New Roman"/>
          <w:b/>
          <w:bCs/>
          <w:sz w:val="32"/>
          <w:szCs w:val="32"/>
          <w:highlight w:val="none"/>
          <w:lang w:eastAsia="zh-CN"/>
        </w:rPr>
        <w:t>.</w:t>
      </w:r>
      <w:r>
        <w:rPr>
          <w:rFonts w:ascii="Times New Roman" w:hAnsi="Times New Roman" w:eastAsia="仿宋_GB2312" w:cs="Times New Roman"/>
          <w:b/>
          <w:bCs/>
          <w:sz w:val="32"/>
          <w:szCs w:val="32"/>
          <w:highlight w:val="none"/>
        </w:rPr>
        <w:t>区本级预算执行情况</w:t>
      </w:r>
    </w:p>
    <w:p w14:paraId="59922226">
      <w:pPr>
        <w:keepNext w:val="0"/>
        <w:keepLines w:val="0"/>
        <w:pageBreakBefore w:val="0"/>
        <w:widowControl w:val="0"/>
        <w:kinsoku/>
        <w:wordWrap/>
        <w:overflowPunct/>
        <w:topLinePunct w:val="0"/>
        <w:autoSpaceDN/>
        <w:bidi w:val="0"/>
        <w:snapToGrid/>
        <w:spacing w:beforeAutospacing="0" w:afterAutospacing="0" w:line="600" w:lineRule="exact"/>
        <w:ind w:left="0" w:firstLine="640" w:firstLineChars="200"/>
        <w:contextualSpacing/>
        <w:textAlignment w:val="auto"/>
        <w:rPr>
          <w:rFonts w:ascii="Times New Roman" w:hAnsi="Times New Roman" w:eastAsia="仿宋_GB2312" w:cs="Times New Roman"/>
          <w:sz w:val="32"/>
          <w:szCs w:val="32"/>
          <w:highlight w:val="yellow"/>
          <w:lang w:val="en-US" w:eastAsia="zh-CN"/>
        </w:rPr>
      </w:pPr>
      <w:r>
        <w:rPr>
          <w:rFonts w:ascii="Times New Roman" w:hAnsi="Times New Roman" w:eastAsia="仿宋_GB2312" w:cs="Times New Roman"/>
          <w:sz w:val="32"/>
          <w:szCs w:val="32"/>
          <w:highlight w:val="none"/>
          <w:lang w:val="en-US" w:eastAsia="zh-CN"/>
        </w:rPr>
        <w:t>2025年，区本级一般公共预算收入完成</w:t>
      </w:r>
      <w:r>
        <w:rPr>
          <w:rFonts w:hint="eastAsia" w:ascii="Times New Roman" w:hAnsi="Times New Roman" w:eastAsia="仿宋_GB2312" w:cs="Times New Roman"/>
          <w:sz w:val="32"/>
          <w:szCs w:val="32"/>
          <w:highlight w:val="none"/>
          <w:lang w:val="en-US" w:eastAsia="zh-CN"/>
        </w:rPr>
        <w:t>41671</w:t>
      </w:r>
      <w:r>
        <w:rPr>
          <w:rFonts w:ascii="Times New Roman" w:hAnsi="Times New Roman" w:eastAsia="仿宋_GB2312" w:cs="Times New Roman"/>
          <w:sz w:val="32"/>
          <w:szCs w:val="32"/>
          <w:highlight w:val="none"/>
          <w:lang w:val="en-US" w:eastAsia="zh-CN"/>
        </w:rPr>
        <w:t>万元，完成调整预算的100.6%。区本级一般公共预算支出92407万元，完成调整预算的99.8%。其中：人员经费支出33043万元、公用经费支出1193万元、项目支出58171万元。</w:t>
      </w:r>
    </w:p>
    <w:p w14:paraId="1FD54C1A">
      <w:pPr>
        <w:keepNext w:val="0"/>
        <w:keepLines w:val="0"/>
        <w:pageBreakBefore w:val="0"/>
        <w:widowControl w:val="0"/>
        <w:kinsoku/>
        <w:wordWrap/>
        <w:overflowPunct/>
        <w:topLinePunct w:val="0"/>
        <w:autoSpaceDN/>
        <w:bidi w:val="0"/>
        <w:snapToGrid/>
        <w:spacing w:beforeAutospacing="0" w:afterAutospacing="0" w:line="600" w:lineRule="exact"/>
        <w:ind w:left="0" w:firstLine="643" w:firstLineChars="200"/>
        <w:contextualSpacing/>
        <w:textAlignment w:val="auto"/>
        <w:rPr>
          <w:rFonts w:ascii="Times New Roman" w:hAnsi="Times New Roman" w:eastAsia="仿宋_GB2312" w:cs="Times New Roman"/>
          <w:b/>
          <w:bCs/>
          <w:sz w:val="32"/>
          <w:szCs w:val="32"/>
          <w:highlight w:val="none"/>
        </w:rPr>
      </w:pPr>
      <w:r>
        <w:rPr>
          <w:rFonts w:ascii="Times New Roman" w:hAnsi="Times New Roman" w:eastAsia="仿宋_GB2312" w:cs="Times New Roman"/>
          <w:b/>
          <w:bCs/>
          <w:sz w:val="32"/>
          <w:szCs w:val="32"/>
          <w:highlight w:val="none"/>
        </w:rPr>
        <w:t>3</w:t>
      </w:r>
      <w:r>
        <w:rPr>
          <w:rFonts w:ascii="Times New Roman" w:hAnsi="Times New Roman" w:eastAsia="仿宋_GB2312" w:cs="Times New Roman"/>
          <w:b/>
          <w:bCs/>
          <w:sz w:val="32"/>
          <w:szCs w:val="32"/>
          <w:highlight w:val="none"/>
          <w:lang w:eastAsia="zh-CN"/>
        </w:rPr>
        <w:t>.</w:t>
      </w:r>
      <w:r>
        <w:rPr>
          <w:rFonts w:ascii="Times New Roman" w:hAnsi="Times New Roman" w:eastAsia="仿宋_GB2312" w:cs="Times New Roman"/>
          <w:b/>
          <w:bCs/>
          <w:sz w:val="32"/>
          <w:szCs w:val="32"/>
          <w:highlight w:val="none"/>
        </w:rPr>
        <w:t>乡镇预算执行情况</w:t>
      </w:r>
    </w:p>
    <w:p w14:paraId="36E2F9E9">
      <w:pPr>
        <w:keepNext w:val="0"/>
        <w:keepLines w:val="0"/>
        <w:pageBreakBefore w:val="0"/>
        <w:widowControl w:val="0"/>
        <w:kinsoku/>
        <w:wordWrap/>
        <w:overflowPunct/>
        <w:topLinePunct w:val="0"/>
        <w:autoSpaceDN/>
        <w:bidi w:val="0"/>
        <w:snapToGrid/>
        <w:spacing w:beforeAutospacing="0" w:afterAutospacing="0" w:line="600" w:lineRule="exact"/>
        <w:ind w:left="0" w:firstLine="640" w:firstLineChars="200"/>
        <w:contextualSpacing/>
        <w:textAlignment w:val="auto"/>
        <w:rPr>
          <w:rFonts w:ascii="Times New Roman" w:hAnsi="Times New Roman" w:eastAsia="仿宋_GB2312" w:cs="Times New Roman"/>
          <w:sz w:val="32"/>
          <w:szCs w:val="32"/>
          <w:highlight w:val="none"/>
          <w:lang w:val="en-US" w:eastAsia="zh-CN"/>
        </w:rPr>
      </w:pPr>
      <w:r>
        <w:rPr>
          <w:rFonts w:ascii="Times New Roman" w:hAnsi="Times New Roman" w:eastAsia="仿宋_GB2312" w:cs="Times New Roman"/>
          <w:sz w:val="32"/>
          <w:szCs w:val="32"/>
          <w:highlight w:val="none"/>
          <w:lang w:val="en-US" w:eastAsia="zh-CN"/>
        </w:rPr>
        <w:t>2025年，乡镇一般公共预算收入1100</w:t>
      </w:r>
      <w:r>
        <w:rPr>
          <w:rFonts w:hint="eastAsia" w:ascii="Times New Roman" w:hAnsi="Times New Roman" w:eastAsia="仿宋_GB2312" w:cs="Times New Roman"/>
          <w:sz w:val="32"/>
          <w:szCs w:val="32"/>
          <w:highlight w:val="none"/>
          <w:lang w:val="en-US" w:eastAsia="zh-CN"/>
        </w:rPr>
        <w:t>1</w:t>
      </w:r>
      <w:r>
        <w:rPr>
          <w:rFonts w:ascii="Times New Roman" w:hAnsi="Times New Roman" w:eastAsia="仿宋_GB2312" w:cs="Times New Roman"/>
          <w:sz w:val="32"/>
          <w:szCs w:val="32"/>
          <w:highlight w:val="none"/>
          <w:lang w:val="en-US" w:eastAsia="zh-CN"/>
        </w:rPr>
        <w:t>万元，完成调整预算的98.3%。乡镇一般公共预算支出5593万元，完成调整预算的100%。</w:t>
      </w:r>
    </w:p>
    <w:p w14:paraId="2FC4323B">
      <w:pPr>
        <w:keepNext w:val="0"/>
        <w:keepLines w:val="0"/>
        <w:pageBreakBefore w:val="0"/>
        <w:widowControl w:val="0"/>
        <w:kinsoku/>
        <w:wordWrap/>
        <w:overflowPunct/>
        <w:topLinePunct w:val="0"/>
        <w:autoSpaceDN/>
        <w:bidi w:val="0"/>
        <w:snapToGrid/>
        <w:spacing w:beforeAutospacing="0" w:afterAutospacing="0" w:line="600" w:lineRule="exact"/>
        <w:ind w:left="0" w:firstLine="643" w:firstLineChars="200"/>
        <w:contextualSpacing/>
        <w:textAlignment w:val="auto"/>
        <w:rPr>
          <w:rFonts w:ascii="Times New Roman" w:hAnsi="Times New Roman" w:eastAsia="楷体_GB2312" w:cs="Times New Roman"/>
          <w:b/>
          <w:bCs w:val="0"/>
          <w:sz w:val="32"/>
          <w:szCs w:val="32"/>
          <w:highlight w:val="none"/>
        </w:rPr>
      </w:pPr>
      <w:r>
        <w:rPr>
          <w:rFonts w:ascii="Times New Roman" w:hAnsi="Times New Roman" w:eastAsia="楷体_GB2312" w:cs="Times New Roman"/>
          <w:b/>
          <w:bCs w:val="0"/>
          <w:sz w:val="32"/>
          <w:szCs w:val="32"/>
          <w:highlight w:val="none"/>
        </w:rPr>
        <w:t>（二）政府性基金预算执行情况</w:t>
      </w:r>
    </w:p>
    <w:p w14:paraId="7F679F0A">
      <w:pPr>
        <w:keepNext w:val="0"/>
        <w:keepLines w:val="0"/>
        <w:pageBreakBefore w:val="0"/>
        <w:widowControl w:val="0"/>
        <w:kinsoku/>
        <w:wordWrap/>
        <w:overflowPunct/>
        <w:topLinePunct w:val="0"/>
        <w:autoSpaceDN/>
        <w:bidi w:val="0"/>
        <w:snapToGrid/>
        <w:spacing w:beforeAutospacing="0" w:afterAutospacing="0" w:line="600" w:lineRule="exact"/>
        <w:ind w:left="0" w:firstLine="643" w:firstLineChars="200"/>
        <w:contextualSpacing/>
        <w:textAlignment w:val="auto"/>
        <w:rPr>
          <w:rFonts w:ascii="Times New Roman" w:hAnsi="Times New Roman" w:eastAsia="仿宋_GB2312" w:cs="Times New Roman"/>
          <w:b/>
          <w:bCs/>
          <w:sz w:val="32"/>
          <w:szCs w:val="32"/>
          <w:highlight w:val="none"/>
        </w:rPr>
      </w:pPr>
      <w:r>
        <w:rPr>
          <w:rFonts w:ascii="Times New Roman" w:hAnsi="Times New Roman" w:eastAsia="仿宋_GB2312" w:cs="Times New Roman"/>
          <w:b/>
          <w:bCs/>
          <w:sz w:val="32"/>
          <w:szCs w:val="32"/>
          <w:highlight w:val="none"/>
        </w:rPr>
        <w:t>1</w:t>
      </w:r>
      <w:r>
        <w:rPr>
          <w:rFonts w:ascii="Times New Roman" w:hAnsi="Times New Roman" w:eastAsia="仿宋_GB2312" w:cs="Times New Roman"/>
          <w:b/>
          <w:bCs/>
          <w:sz w:val="32"/>
          <w:szCs w:val="32"/>
          <w:highlight w:val="none"/>
          <w:lang w:eastAsia="zh-CN"/>
        </w:rPr>
        <w:t>.</w:t>
      </w:r>
      <w:r>
        <w:rPr>
          <w:rFonts w:ascii="Times New Roman" w:hAnsi="Times New Roman" w:eastAsia="仿宋_GB2312" w:cs="Times New Roman"/>
          <w:b/>
          <w:bCs/>
          <w:sz w:val="32"/>
          <w:szCs w:val="32"/>
          <w:highlight w:val="none"/>
        </w:rPr>
        <w:t>全区政府性基金预算执行情况</w:t>
      </w:r>
    </w:p>
    <w:p w14:paraId="58E90910">
      <w:pPr>
        <w:keepNext w:val="0"/>
        <w:keepLines w:val="0"/>
        <w:pageBreakBefore w:val="0"/>
        <w:widowControl w:val="0"/>
        <w:kinsoku/>
        <w:wordWrap/>
        <w:overflowPunct/>
        <w:topLinePunct w:val="0"/>
        <w:autoSpaceDN/>
        <w:bidi w:val="0"/>
        <w:snapToGrid/>
        <w:spacing w:beforeAutospacing="0" w:afterAutospacing="0" w:line="600" w:lineRule="exact"/>
        <w:ind w:left="0" w:firstLine="640" w:firstLineChars="200"/>
        <w:contextualSpacing/>
        <w:textAlignment w:val="auto"/>
        <w:rPr>
          <w:rFonts w:ascii="Times New Roman" w:hAnsi="Times New Roman" w:eastAsia="仿宋_GB2312" w:cs="Times New Roman"/>
          <w:sz w:val="32"/>
          <w:szCs w:val="32"/>
          <w:highlight w:val="none"/>
          <w:lang w:val="en-US" w:eastAsia="zh-CN"/>
        </w:rPr>
      </w:pPr>
      <w:r>
        <w:rPr>
          <w:rFonts w:ascii="Times New Roman" w:hAnsi="Times New Roman" w:eastAsia="仿宋_GB2312" w:cs="Times New Roman"/>
          <w:sz w:val="32"/>
          <w:szCs w:val="32"/>
          <w:highlight w:val="none"/>
          <w:lang w:val="en-US" w:eastAsia="zh-CN"/>
        </w:rPr>
        <w:t>2025年，全区政府性基金收入完成10575万元，完成调整预算的96.1%，比上年增长</w:t>
      </w:r>
      <w:r>
        <w:rPr>
          <w:rFonts w:hint="eastAsia" w:ascii="Times New Roman" w:hAnsi="Times New Roman" w:eastAsia="仿宋_GB2312" w:cs="Times New Roman"/>
          <w:sz w:val="32"/>
          <w:szCs w:val="32"/>
          <w:highlight w:val="none"/>
          <w:lang w:val="en-US" w:eastAsia="zh-CN"/>
        </w:rPr>
        <w:t>164.</w:t>
      </w:r>
      <w:r>
        <w:rPr>
          <w:rFonts w:ascii="Times New Roman" w:hAnsi="Times New Roman" w:eastAsia="仿宋_GB2312" w:cs="Times New Roman"/>
          <w:sz w:val="32"/>
          <w:szCs w:val="32"/>
          <w:highlight w:val="none"/>
          <w:lang w:val="en-US" w:eastAsia="zh-CN"/>
        </w:rPr>
        <w:t>5%。政府性基金支出84872万元，完成调整预算的100%，比上年增长61</w:t>
      </w:r>
      <w:r>
        <w:rPr>
          <w:rFonts w:hint="eastAsia" w:ascii="Times New Roman" w:hAnsi="Times New Roman" w:eastAsia="仿宋_GB2312" w:cs="Times New Roman"/>
          <w:sz w:val="32"/>
          <w:szCs w:val="32"/>
          <w:highlight w:val="none"/>
          <w:lang w:val="en-US" w:eastAsia="zh-CN"/>
        </w:rPr>
        <w:t>4.6</w:t>
      </w:r>
      <w:r>
        <w:rPr>
          <w:rFonts w:ascii="Times New Roman" w:hAnsi="Times New Roman" w:eastAsia="仿宋_GB2312" w:cs="Times New Roman"/>
          <w:sz w:val="32"/>
          <w:szCs w:val="32"/>
          <w:highlight w:val="none"/>
          <w:lang w:val="en-US" w:eastAsia="zh-CN"/>
        </w:rPr>
        <w:t>%。增长的主要原因是2025年再融资专项债支出47800万元及政府新增专项债项目支出25505万元。</w:t>
      </w:r>
    </w:p>
    <w:p w14:paraId="5795B823">
      <w:pPr>
        <w:keepNext w:val="0"/>
        <w:keepLines w:val="0"/>
        <w:pageBreakBefore w:val="0"/>
        <w:widowControl w:val="0"/>
        <w:kinsoku/>
        <w:wordWrap/>
        <w:overflowPunct/>
        <w:topLinePunct w:val="0"/>
        <w:autoSpaceDN/>
        <w:bidi w:val="0"/>
        <w:snapToGrid/>
        <w:spacing w:beforeAutospacing="0" w:afterAutospacing="0" w:line="600" w:lineRule="exact"/>
        <w:ind w:left="0" w:firstLine="643" w:firstLineChars="200"/>
        <w:contextualSpacing/>
        <w:textAlignment w:val="auto"/>
        <w:rPr>
          <w:rFonts w:ascii="Times New Roman" w:hAnsi="Times New Roman" w:eastAsia="仿宋_GB2312" w:cs="Times New Roman"/>
          <w:b/>
          <w:bCs/>
          <w:sz w:val="32"/>
          <w:szCs w:val="32"/>
          <w:highlight w:val="none"/>
        </w:rPr>
      </w:pPr>
      <w:r>
        <w:rPr>
          <w:rFonts w:ascii="Times New Roman" w:hAnsi="Times New Roman" w:eastAsia="仿宋_GB2312" w:cs="Times New Roman"/>
          <w:b/>
          <w:bCs/>
          <w:sz w:val="32"/>
          <w:szCs w:val="32"/>
          <w:highlight w:val="none"/>
        </w:rPr>
        <w:t>2</w:t>
      </w:r>
      <w:r>
        <w:rPr>
          <w:rFonts w:ascii="Times New Roman" w:hAnsi="Times New Roman" w:eastAsia="仿宋_GB2312" w:cs="Times New Roman"/>
          <w:b/>
          <w:bCs/>
          <w:sz w:val="32"/>
          <w:szCs w:val="32"/>
          <w:highlight w:val="none"/>
          <w:lang w:eastAsia="zh-CN"/>
        </w:rPr>
        <w:t>.</w:t>
      </w:r>
      <w:r>
        <w:rPr>
          <w:rFonts w:ascii="Times New Roman" w:hAnsi="Times New Roman" w:eastAsia="仿宋_GB2312" w:cs="Times New Roman"/>
          <w:b/>
          <w:bCs/>
          <w:sz w:val="32"/>
          <w:szCs w:val="32"/>
          <w:highlight w:val="none"/>
        </w:rPr>
        <w:t>区本级政府性基金预算执行情况</w:t>
      </w:r>
    </w:p>
    <w:p w14:paraId="7B613E4C">
      <w:pPr>
        <w:keepNext w:val="0"/>
        <w:keepLines w:val="0"/>
        <w:pageBreakBefore w:val="0"/>
        <w:widowControl w:val="0"/>
        <w:kinsoku/>
        <w:wordWrap/>
        <w:overflowPunct/>
        <w:topLinePunct w:val="0"/>
        <w:autoSpaceDN/>
        <w:bidi w:val="0"/>
        <w:snapToGrid/>
        <w:spacing w:beforeAutospacing="0" w:afterAutospacing="0" w:line="600" w:lineRule="exact"/>
        <w:ind w:left="0" w:firstLine="640" w:firstLineChars="200"/>
        <w:contextualSpacing/>
        <w:textAlignment w:val="auto"/>
        <w:rPr>
          <w:rFonts w:ascii="Times New Roman" w:hAnsi="Times New Roman" w:eastAsia="仿宋_GB2312" w:cs="Times New Roman"/>
          <w:sz w:val="32"/>
          <w:szCs w:val="32"/>
          <w:highlight w:val="none"/>
          <w:lang w:val="en-US" w:eastAsia="zh-CN"/>
        </w:rPr>
      </w:pPr>
      <w:r>
        <w:rPr>
          <w:rFonts w:ascii="Times New Roman" w:hAnsi="Times New Roman" w:eastAsia="仿宋_GB2312" w:cs="Times New Roman"/>
          <w:sz w:val="32"/>
          <w:szCs w:val="32"/>
          <w:highlight w:val="none"/>
          <w:lang w:val="en-US" w:eastAsia="zh-CN"/>
        </w:rPr>
        <w:t>2025年，区本级政府性基金收入与全区相同（不再重复）。区本级政府性基金支出81453万元，完成调整预算的100%。</w:t>
      </w:r>
    </w:p>
    <w:p w14:paraId="1C6BD40C">
      <w:pPr>
        <w:keepNext w:val="0"/>
        <w:keepLines w:val="0"/>
        <w:pageBreakBefore w:val="0"/>
        <w:widowControl w:val="0"/>
        <w:kinsoku/>
        <w:wordWrap/>
        <w:overflowPunct/>
        <w:topLinePunct w:val="0"/>
        <w:autoSpaceDN/>
        <w:bidi w:val="0"/>
        <w:snapToGrid/>
        <w:spacing w:beforeAutospacing="0" w:afterAutospacing="0" w:line="600" w:lineRule="exact"/>
        <w:ind w:left="0" w:firstLine="643" w:firstLineChars="200"/>
        <w:contextualSpacing/>
        <w:textAlignment w:val="auto"/>
        <w:rPr>
          <w:rFonts w:ascii="Times New Roman" w:hAnsi="Times New Roman" w:eastAsia="仿宋_GB2312" w:cs="Times New Roman"/>
          <w:b/>
          <w:bCs/>
          <w:sz w:val="32"/>
          <w:szCs w:val="32"/>
          <w:highlight w:val="none"/>
        </w:rPr>
      </w:pPr>
      <w:r>
        <w:rPr>
          <w:rFonts w:ascii="Times New Roman" w:hAnsi="Times New Roman" w:eastAsia="仿宋_GB2312" w:cs="Times New Roman"/>
          <w:b/>
          <w:bCs/>
          <w:sz w:val="32"/>
          <w:szCs w:val="32"/>
          <w:highlight w:val="none"/>
        </w:rPr>
        <w:t>3</w:t>
      </w:r>
      <w:r>
        <w:rPr>
          <w:rFonts w:ascii="Times New Roman" w:hAnsi="Times New Roman" w:eastAsia="仿宋_GB2312" w:cs="Times New Roman"/>
          <w:b/>
          <w:bCs/>
          <w:sz w:val="32"/>
          <w:szCs w:val="32"/>
          <w:highlight w:val="none"/>
          <w:lang w:eastAsia="zh-CN"/>
        </w:rPr>
        <w:t>.</w:t>
      </w:r>
      <w:r>
        <w:rPr>
          <w:rFonts w:ascii="Times New Roman" w:hAnsi="Times New Roman" w:eastAsia="仿宋_GB2312" w:cs="Times New Roman"/>
          <w:b/>
          <w:bCs/>
          <w:sz w:val="32"/>
          <w:szCs w:val="32"/>
          <w:highlight w:val="none"/>
        </w:rPr>
        <w:t>乡镇政府性基金预算执行情况</w:t>
      </w:r>
    </w:p>
    <w:p w14:paraId="07456AB5">
      <w:pPr>
        <w:keepNext w:val="0"/>
        <w:keepLines w:val="0"/>
        <w:pageBreakBefore w:val="0"/>
        <w:widowControl w:val="0"/>
        <w:kinsoku/>
        <w:wordWrap/>
        <w:overflowPunct/>
        <w:topLinePunct w:val="0"/>
        <w:autoSpaceDN/>
        <w:bidi w:val="0"/>
        <w:snapToGrid/>
        <w:spacing w:beforeAutospacing="0" w:afterAutospacing="0" w:line="600" w:lineRule="exact"/>
        <w:ind w:left="0" w:firstLine="640" w:firstLineChars="200"/>
        <w:contextualSpacing/>
        <w:textAlignment w:val="auto"/>
        <w:rPr>
          <w:rFonts w:ascii="Times New Roman" w:hAnsi="Times New Roman" w:eastAsia="仿宋_GB2312" w:cs="Times New Roman"/>
          <w:sz w:val="32"/>
          <w:szCs w:val="32"/>
          <w:highlight w:val="none"/>
          <w:lang w:val="en-US" w:eastAsia="zh-CN"/>
        </w:rPr>
      </w:pPr>
      <w:r>
        <w:rPr>
          <w:rFonts w:ascii="Times New Roman" w:hAnsi="Times New Roman" w:eastAsia="仿宋_GB2312" w:cs="Times New Roman"/>
          <w:sz w:val="32"/>
          <w:szCs w:val="32"/>
          <w:highlight w:val="none"/>
          <w:lang w:val="en-US" w:eastAsia="zh-CN"/>
        </w:rPr>
        <w:t>2025年，乡镇政府性基金支出3419万元，完成调整预算的100%。</w:t>
      </w:r>
    </w:p>
    <w:p w14:paraId="08A3B6E9">
      <w:pPr>
        <w:keepNext w:val="0"/>
        <w:keepLines w:val="0"/>
        <w:pageBreakBefore w:val="0"/>
        <w:widowControl w:val="0"/>
        <w:kinsoku/>
        <w:wordWrap/>
        <w:overflowPunct/>
        <w:topLinePunct w:val="0"/>
        <w:autoSpaceDN/>
        <w:bidi w:val="0"/>
        <w:snapToGrid/>
        <w:spacing w:beforeAutospacing="0" w:afterAutospacing="0" w:line="600" w:lineRule="exact"/>
        <w:ind w:left="0" w:firstLine="643" w:firstLineChars="200"/>
        <w:contextualSpacing/>
        <w:textAlignment w:val="auto"/>
        <w:rPr>
          <w:rFonts w:ascii="Times New Roman" w:hAnsi="Times New Roman" w:eastAsia="楷体_GB2312" w:cs="Times New Roman"/>
          <w:b/>
          <w:bCs w:val="0"/>
          <w:sz w:val="32"/>
          <w:szCs w:val="32"/>
          <w:highlight w:val="none"/>
        </w:rPr>
      </w:pPr>
      <w:r>
        <w:rPr>
          <w:rFonts w:ascii="Times New Roman" w:hAnsi="Times New Roman" w:eastAsia="楷体_GB2312" w:cs="Times New Roman"/>
          <w:b/>
          <w:bCs w:val="0"/>
          <w:sz w:val="32"/>
          <w:szCs w:val="32"/>
          <w:highlight w:val="none"/>
          <w:lang w:eastAsia="zh-CN"/>
        </w:rPr>
        <w:t>（三）</w:t>
      </w:r>
      <w:r>
        <w:rPr>
          <w:rFonts w:ascii="Times New Roman" w:hAnsi="Times New Roman" w:eastAsia="楷体_GB2312" w:cs="Times New Roman"/>
          <w:b/>
          <w:bCs w:val="0"/>
          <w:sz w:val="32"/>
          <w:szCs w:val="32"/>
          <w:highlight w:val="none"/>
        </w:rPr>
        <w:t>国有资本经营预算执行情况</w:t>
      </w:r>
    </w:p>
    <w:p w14:paraId="403C5E93">
      <w:pPr>
        <w:keepNext w:val="0"/>
        <w:keepLines w:val="0"/>
        <w:pageBreakBefore w:val="0"/>
        <w:widowControl w:val="0"/>
        <w:kinsoku/>
        <w:wordWrap/>
        <w:overflowPunct/>
        <w:topLinePunct w:val="0"/>
        <w:autoSpaceDN/>
        <w:bidi w:val="0"/>
        <w:snapToGrid/>
        <w:spacing w:beforeAutospacing="0" w:afterAutospacing="0" w:line="600" w:lineRule="exact"/>
        <w:ind w:left="0" w:firstLine="640" w:firstLineChars="200"/>
        <w:contextualSpacing/>
        <w:textAlignment w:val="auto"/>
        <w:rPr>
          <w:rFonts w:ascii="Times New Roman" w:hAnsi="Times New Roman" w:eastAsia="仿宋_GB2312" w:cs="Times New Roman"/>
          <w:sz w:val="32"/>
          <w:szCs w:val="32"/>
          <w:highlight w:val="yellow"/>
          <w:lang w:val="en-US" w:eastAsia="zh-CN"/>
        </w:rPr>
      </w:pPr>
      <w:r>
        <w:rPr>
          <w:rFonts w:ascii="Times New Roman" w:hAnsi="Times New Roman" w:eastAsia="仿宋_GB2312" w:cs="Times New Roman"/>
          <w:sz w:val="32"/>
          <w:szCs w:val="32"/>
          <w:highlight w:val="none"/>
          <w:lang w:val="en-US" w:eastAsia="zh-CN"/>
        </w:rPr>
        <w:t>2025年，区国有资本经营预算收入0万元，国有资本经营预算支出86万元，全部为上级专项资金。</w:t>
      </w:r>
    </w:p>
    <w:p w14:paraId="486C3850">
      <w:pPr>
        <w:keepNext w:val="0"/>
        <w:keepLines w:val="0"/>
        <w:pageBreakBefore w:val="0"/>
        <w:widowControl w:val="0"/>
        <w:kinsoku/>
        <w:wordWrap/>
        <w:overflowPunct/>
        <w:topLinePunct w:val="0"/>
        <w:autoSpaceDN/>
        <w:bidi w:val="0"/>
        <w:snapToGrid/>
        <w:spacing w:beforeAutospacing="0" w:afterAutospacing="0" w:line="600" w:lineRule="exact"/>
        <w:ind w:left="0" w:firstLine="643" w:firstLineChars="200"/>
        <w:contextualSpacing/>
        <w:textAlignment w:val="auto"/>
        <w:rPr>
          <w:rFonts w:ascii="Times New Roman" w:hAnsi="Times New Roman" w:eastAsia="楷体_GB2312" w:cs="Times New Roman"/>
          <w:b/>
          <w:bCs w:val="0"/>
          <w:sz w:val="32"/>
          <w:szCs w:val="32"/>
          <w:highlight w:val="none"/>
          <w:lang w:eastAsia="zh-CN"/>
        </w:rPr>
      </w:pPr>
      <w:r>
        <w:rPr>
          <w:rFonts w:ascii="Times New Roman" w:hAnsi="Times New Roman" w:eastAsia="楷体_GB2312" w:cs="Times New Roman"/>
          <w:b/>
          <w:bCs w:val="0"/>
          <w:sz w:val="32"/>
          <w:szCs w:val="32"/>
          <w:highlight w:val="none"/>
          <w:lang w:eastAsia="zh-CN"/>
        </w:rPr>
        <w:t>（四）社会保险基金预算执行情况</w:t>
      </w:r>
    </w:p>
    <w:p w14:paraId="5C25A36B">
      <w:pPr>
        <w:keepNext w:val="0"/>
        <w:keepLines w:val="0"/>
        <w:pageBreakBefore w:val="0"/>
        <w:widowControl w:val="0"/>
        <w:kinsoku/>
        <w:wordWrap/>
        <w:overflowPunct/>
        <w:topLinePunct w:val="0"/>
        <w:autoSpaceDN/>
        <w:bidi w:val="0"/>
        <w:snapToGrid/>
        <w:spacing w:beforeAutospacing="0" w:afterAutospacing="0" w:line="600" w:lineRule="exact"/>
        <w:ind w:left="0" w:firstLine="640" w:firstLineChars="200"/>
        <w:contextualSpacing/>
        <w:textAlignment w:val="auto"/>
        <w:rPr>
          <w:rFonts w:ascii="Times New Roman" w:hAnsi="Times New Roman" w:eastAsia="仿宋_GB2312" w:cs="Times New Roman"/>
          <w:sz w:val="32"/>
          <w:szCs w:val="32"/>
          <w:highlight w:val="none"/>
          <w:lang w:val="en-US" w:eastAsia="zh-CN"/>
        </w:rPr>
      </w:pPr>
      <w:r>
        <w:rPr>
          <w:rFonts w:ascii="Times New Roman" w:hAnsi="Times New Roman" w:eastAsia="仿宋_GB2312" w:cs="Times New Roman"/>
          <w:sz w:val="32"/>
          <w:szCs w:val="32"/>
          <w:highlight w:val="none"/>
          <w:lang w:val="en-US" w:eastAsia="zh-CN"/>
        </w:rPr>
        <w:t>2025年，社会保险基金收入14544万元。其中：城乡居民基本养老保险基金收入3088万元，机关事业单位基本养老保险基金收入11456万元。社会保险基金支出13445万元，其中：城乡居民基本养老保险基金支出2225万元，机关事业单位基本养老保险基金支出11220万元。</w:t>
      </w:r>
    </w:p>
    <w:p w14:paraId="595CD89F">
      <w:pPr>
        <w:keepNext w:val="0"/>
        <w:keepLines w:val="0"/>
        <w:pageBreakBefore w:val="0"/>
        <w:widowControl w:val="0"/>
        <w:kinsoku/>
        <w:wordWrap/>
        <w:overflowPunct/>
        <w:topLinePunct w:val="0"/>
        <w:autoSpaceDN/>
        <w:bidi w:val="0"/>
        <w:snapToGrid/>
        <w:spacing w:beforeAutospacing="0" w:afterAutospacing="0" w:line="600" w:lineRule="exact"/>
        <w:ind w:left="0" w:firstLine="643" w:firstLineChars="200"/>
        <w:contextualSpacing/>
        <w:textAlignment w:val="auto"/>
        <w:rPr>
          <w:rFonts w:ascii="Times New Roman" w:hAnsi="Times New Roman" w:eastAsia="楷体_GB2312" w:cs="Times New Roman"/>
          <w:b/>
          <w:bCs w:val="0"/>
          <w:sz w:val="32"/>
          <w:szCs w:val="32"/>
          <w:highlight w:val="none"/>
          <w:lang w:eastAsia="zh-CN"/>
        </w:rPr>
      </w:pPr>
      <w:r>
        <w:rPr>
          <w:rFonts w:ascii="Times New Roman" w:hAnsi="Times New Roman" w:eastAsia="楷体_GB2312" w:cs="Times New Roman"/>
          <w:b/>
          <w:bCs w:val="0"/>
          <w:sz w:val="32"/>
          <w:szCs w:val="32"/>
          <w:highlight w:val="none"/>
          <w:lang w:eastAsia="zh-CN"/>
        </w:rPr>
        <w:t>（五）政府性债务情况</w:t>
      </w:r>
    </w:p>
    <w:p w14:paraId="1E266573">
      <w:pPr>
        <w:keepNext w:val="0"/>
        <w:keepLines w:val="0"/>
        <w:pageBreakBefore w:val="0"/>
        <w:widowControl w:val="0"/>
        <w:kinsoku/>
        <w:wordWrap/>
        <w:overflowPunct/>
        <w:topLinePunct w:val="0"/>
        <w:autoSpaceDN/>
        <w:bidi w:val="0"/>
        <w:snapToGrid/>
        <w:spacing w:beforeAutospacing="0" w:afterAutospacing="0" w:line="600" w:lineRule="exact"/>
        <w:ind w:left="0" w:firstLine="640" w:firstLineChars="200"/>
        <w:contextualSpacing/>
        <w:textAlignment w:val="auto"/>
        <w:rPr>
          <w:rFonts w:ascii="Times New Roman" w:hAnsi="Times New Roman" w:eastAsia="仿宋_GB2312" w:cs="Times New Roman"/>
          <w:sz w:val="32"/>
          <w:szCs w:val="32"/>
          <w:highlight w:val="none"/>
          <w:lang w:val="en-US" w:eastAsia="zh-CN"/>
        </w:rPr>
      </w:pPr>
      <w:r>
        <w:rPr>
          <w:rFonts w:ascii="Times New Roman" w:hAnsi="Times New Roman" w:eastAsia="仿宋_GB2312" w:cs="Times New Roman"/>
          <w:sz w:val="32"/>
          <w:szCs w:val="32"/>
          <w:highlight w:val="none"/>
          <w:lang w:val="en-US" w:eastAsia="zh-CN"/>
        </w:rPr>
        <w:t>2025年我区债务限额</w:t>
      </w:r>
      <w:r>
        <w:rPr>
          <w:rFonts w:hint="eastAsia" w:ascii="Times New Roman" w:hAnsi="Times New Roman" w:eastAsia="仿宋_GB2312" w:cs="Times New Roman"/>
          <w:sz w:val="32"/>
          <w:szCs w:val="32"/>
          <w:highlight w:val="none"/>
          <w:lang w:val="en-US" w:eastAsia="zh-CN"/>
        </w:rPr>
        <w:t>3126</w:t>
      </w:r>
      <w:r>
        <w:rPr>
          <w:rFonts w:ascii="Times New Roman" w:hAnsi="Times New Roman" w:eastAsia="仿宋_GB2312" w:cs="Times New Roman"/>
          <w:sz w:val="32"/>
          <w:szCs w:val="32"/>
          <w:highlight w:val="none"/>
          <w:lang w:val="en-US" w:eastAsia="zh-CN"/>
        </w:rPr>
        <w:t>61万元。其中：一般债务限额45809万元，专项债务限额266852万元。</w:t>
      </w:r>
    </w:p>
    <w:p w14:paraId="6B95B6AA">
      <w:pPr>
        <w:keepNext w:val="0"/>
        <w:keepLines w:val="0"/>
        <w:pageBreakBefore w:val="0"/>
        <w:widowControl w:val="0"/>
        <w:kinsoku/>
        <w:wordWrap/>
        <w:overflowPunct/>
        <w:topLinePunct w:val="0"/>
        <w:autoSpaceDN/>
        <w:bidi w:val="0"/>
        <w:snapToGrid/>
        <w:spacing w:beforeAutospacing="0" w:afterAutospacing="0" w:line="600" w:lineRule="exact"/>
        <w:ind w:left="0" w:firstLine="640" w:firstLineChars="200"/>
        <w:contextualSpacing/>
        <w:textAlignment w:val="auto"/>
        <w:rPr>
          <w:rFonts w:ascii="Times New Roman" w:hAnsi="Times New Roman" w:eastAsia="仿宋_GB2312" w:cs="Times New Roman"/>
          <w:sz w:val="32"/>
          <w:szCs w:val="32"/>
          <w:highlight w:val="yellow"/>
          <w:lang w:val="en-US" w:eastAsia="zh-CN"/>
        </w:rPr>
      </w:pPr>
      <w:r>
        <w:rPr>
          <w:rFonts w:ascii="Times New Roman" w:hAnsi="Times New Roman" w:eastAsia="仿宋_GB2312" w:cs="Times New Roman"/>
          <w:sz w:val="32"/>
          <w:szCs w:val="32"/>
          <w:highlight w:val="none"/>
          <w:lang w:val="en-US" w:eastAsia="zh-CN"/>
        </w:rPr>
        <w:t>2025年我区政府性债务余额311200万元，其中：一般债务44700万元，专项债务266500万元。2025年，新增地方政府专项债券27400万元，主要用于</w:t>
      </w:r>
      <w:r>
        <w:rPr>
          <w:rFonts w:ascii="Times New Roman" w:hAnsi="Times New Roman" w:eastAsia="仿宋_GB2312" w:cs="Times New Roman"/>
          <w:w w:val="100"/>
          <w:sz w:val="32"/>
          <w:szCs w:val="32"/>
          <w:highlight w:val="none"/>
          <w:lang w:val="en-US" w:eastAsia="zh-CN"/>
        </w:rPr>
        <w:t>职业技术教育中心建设项目20000万元和</w:t>
      </w:r>
      <w:r>
        <w:rPr>
          <w:rFonts w:hint="eastAsia" w:ascii="Times New Roman" w:hAnsi="Times New Roman" w:eastAsia="仿宋_GB2312" w:cs="Times New Roman"/>
          <w:w w:val="100"/>
          <w:sz w:val="32"/>
          <w:szCs w:val="32"/>
          <w:highlight w:val="none"/>
          <w:lang w:val="en-US" w:eastAsia="zh-CN"/>
        </w:rPr>
        <w:t>井陉矿区机关事业单位工程款项目</w:t>
      </w:r>
      <w:r>
        <w:rPr>
          <w:rFonts w:ascii="Times New Roman" w:hAnsi="Times New Roman" w:eastAsia="仿宋_GB2312" w:cs="Times New Roman"/>
          <w:w w:val="100"/>
          <w:sz w:val="32"/>
          <w:szCs w:val="32"/>
          <w:highlight w:val="none"/>
          <w:lang w:val="en-US" w:eastAsia="zh-CN"/>
        </w:rPr>
        <w:t>7400万元</w:t>
      </w:r>
      <w:r>
        <w:rPr>
          <w:rFonts w:ascii="Times New Roman" w:hAnsi="Times New Roman" w:eastAsia="仿宋_GB2312" w:cs="Times New Roman"/>
          <w:sz w:val="32"/>
          <w:szCs w:val="32"/>
          <w:highlight w:val="none"/>
          <w:lang w:val="en-US" w:eastAsia="zh-CN"/>
        </w:rPr>
        <w:t>。</w:t>
      </w:r>
    </w:p>
    <w:p w14:paraId="2E7244CF">
      <w:pPr>
        <w:keepNext w:val="0"/>
        <w:keepLines w:val="0"/>
        <w:pageBreakBefore w:val="0"/>
        <w:widowControl w:val="0"/>
        <w:kinsoku/>
        <w:wordWrap/>
        <w:overflowPunct/>
        <w:topLinePunct w:val="0"/>
        <w:autoSpaceDN/>
        <w:bidi w:val="0"/>
        <w:snapToGrid/>
        <w:spacing w:beforeAutospacing="0" w:afterAutospacing="0" w:line="600" w:lineRule="exact"/>
        <w:ind w:left="0" w:firstLine="643" w:firstLineChars="200"/>
        <w:contextualSpacing/>
        <w:textAlignment w:val="auto"/>
        <w:rPr>
          <w:rFonts w:ascii="Times New Roman" w:hAnsi="Times New Roman" w:eastAsia="楷体_GB2312" w:cs="Times New Roman"/>
          <w:b/>
          <w:bCs w:val="0"/>
          <w:sz w:val="32"/>
          <w:szCs w:val="32"/>
          <w:highlight w:val="none"/>
          <w:lang w:val="en-US" w:eastAsia="zh-CN"/>
        </w:rPr>
      </w:pPr>
      <w:r>
        <w:rPr>
          <w:rFonts w:ascii="Times New Roman" w:hAnsi="Times New Roman" w:eastAsia="楷体_GB2312" w:cs="Times New Roman"/>
          <w:b/>
          <w:bCs w:val="0"/>
          <w:sz w:val="32"/>
          <w:szCs w:val="32"/>
          <w:highlight w:val="none"/>
          <w:lang w:val="en-US" w:eastAsia="zh-CN"/>
        </w:rPr>
        <w:t>（六）上级转移支付资金情况</w:t>
      </w:r>
    </w:p>
    <w:p w14:paraId="45B7EDAB">
      <w:pPr>
        <w:keepNext w:val="0"/>
        <w:keepLines w:val="0"/>
        <w:pageBreakBefore w:val="0"/>
        <w:widowControl w:val="0"/>
        <w:kinsoku/>
        <w:wordWrap/>
        <w:overflowPunct/>
        <w:topLinePunct w:val="0"/>
        <w:autoSpaceDN/>
        <w:bidi w:val="0"/>
        <w:snapToGrid/>
        <w:spacing w:beforeAutospacing="0" w:afterAutospacing="0" w:line="600" w:lineRule="exact"/>
        <w:ind w:left="0" w:firstLine="640" w:firstLineChars="200"/>
        <w:contextualSpacing/>
        <w:textAlignment w:val="auto"/>
        <w:rPr>
          <w:rFonts w:ascii="Times New Roman" w:hAnsi="Times New Roman" w:eastAsia="仿宋_GB2312" w:cs="Times New Roman"/>
          <w:color w:val="auto"/>
          <w:sz w:val="32"/>
          <w:szCs w:val="32"/>
          <w:highlight w:val="none"/>
        </w:rPr>
      </w:pPr>
      <w:r>
        <w:rPr>
          <w:rFonts w:ascii="Times New Roman" w:hAnsi="Times New Roman" w:eastAsia="仿宋_GB2312" w:cs="Times New Roman"/>
          <w:color w:val="auto"/>
          <w:sz w:val="32"/>
          <w:szCs w:val="32"/>
          <w:highlight w:val="none"/>
        </w:rPr>
        <w:t>上级财政转移支付资金</w:t>
      </w:r>
      <w:r>
        <w:rPr>
          <w:rFonts w:ascii="Times New Roman" w:hAnsi="Times New Roman" w:eastAsia="仿宋_GB2312" w:cs="Times New Roman"/>
          <w:color w:val="auto"/>
          <w:sz w:val="32"/>
          <w:szCs w:val="32"/>
          <w:highlight w:val="none"/>
          <w:lang w:val="en-US" w:eastAsia="zh-CN"/>
        </w:rPr>
        <w:t>49409</w:t>
      </w:r>
      <w:r>
        <w:rPr>
          <w:rFonts w:ascii="Times New Roman" w:hAnsi="Times New Roman" w:eastAsia="仿宋_GB2312" w:cs="Times New Roman"/>
          <w:color w:val="auto"/>
          <w:sz w:val="32"/>
          <w:szCs w:val="32"/>
          <w:highlight w:val="none"/>
        </w:rPr>
        <w:t>万元</w:t>
      </w:r>
      <w:r>
        <w:rPr>
          <w:rFonts w:ascii="Times New Roman" w:hAnsi="Times New Roman" w:eastAsia="仿宋_GB2312" w:cs="Times New Roman"/>
          <w:color w:val="auto"/>
          <w:sz w:val="32"/>
          <w:szCs w:val="32"/>
          <w:highlight w:val="none"/>
          <w:lang w:eastAsia="zh-CN"/>
        </w:rPr>
        <w:t>，其中：资源枯竭城市转移支付</w:t>
      </w:r>
      <w:r>
        <w:rPr>
          <w:rFonts w:ascii="Times New Roman" w:hAnsi="Times New Roman" w:eastAsia="仿宋_GB2312" w:cs="Times New Roman"/>
          <w:color w:val="auto"/>
          <w:sz w:val="32"/>
          <w:szCs w:val="32"/>
          <w:highlight w:val="none"/>
          <w:lang w:val="en-US" w:eastAsia="zh-CN"/>
        </w:rPr>
        <w:t>10281</w:t>
      </w:r>
      <w:r>
        <w:rPr>
          <w:rFonts w:ascii="Times New Roman" w:hAnsi="Times New Roman" w:eastAsia="仿宋_GB2312" w:cs="Times New Roman"/>
          <w:color w:val="auto"/>
          <w:sz w:val="32"/>
          <w:szCs w:val="32"/>
          <w:highlight w:val="none"/>
        </w:rPr>
        <w:t>万元</w:t>
      </w:r>
      <w:r>
        <w:rPr>
          <w:rFonts w:ascii="Times New Roman" w:hAnsi="Times New Roman" w:eastAsia="仿宋_GB2312" w:cs="Times New Roman"/>
          <w:color w:val="auto"/>
          <w:sz w:val="32"/>
          <w:szCs w:val="32"/>
          <w:highlight w:val="none"/>
          <w:lang w:eastAsia="zh-CN"/>
        </w:rPr>
        <w:t>，</w:t>
      </w:r>
      <w:r>
        <w:rPr>
          <w:rFonts w:ascii="Times New Roman" w:hAnsi="Times New Roman" w:eastAsia="仿宋_GB2312" w:cs="Times New Roman"/>
          <w:color w:val="auto"/>
          <w:sz w:val="32"/>
          <w:szCs w:val="32"/>
          <w:highlight w:val="none"/>
          <w:lang w:val="en-US" w:eastAsia="zh-CN"/>
        </w:rPr>
        <w:t>均衡转移支付13163万元，人口市民化奖励985万元，县级基本财力保障机制奖补资金1250万元，城乡居民基本养老保险、机关事业单位养老保险制度改革、困难群众、退役安置等社会保障转移支付补助资金4400万元，水利发展补助资金、农村综合改革及乡村振兴等农林水转移支付补助资金1727万元，城乡义务教育经费、义务教育薄改等教育转移支付补助资金1691万元，基本公共卫生服务、医疗救助、基本药物制度等医疗卫生转移支付补助资金1455万元，农村公路、国省干线养护等交通运输转移支付补助资金710万元，超长期特别国债转移支付收入950万元，以工代</w:t>
      </w:r>
      <w:r>
        <w:rPr>
          <w:rFonts w:hint="eastAsia" w:ascii="Times New Roman" w:hAnsi="Times New Roman" w:eastAsia="仿宋_GB2312" w:cs="Times New Roman"/>
          <w:color w:val="auto"/>
          <w:sz w:val="32"/>
          <w:szCs w:val="32"/>
          <w:highlight w:val="none"/>
          <w:lang w:val="en-US" w:eastAsia="zh-CN"/>
        </w:rPr>
        <w:t>赈</w:t>
      </w:r>
      <w:r>
        <w:rPr>
          <w:rFonts w:ascii="Times New Roman" w:hAnsi="Times New Roman" w:eastAsia="仿宋_GB2312" w:cs="Times New Roman"/>
          <w:color w:val="auto"/>
          <w:sz w:val="32"/>
          <w:szCs w:val="32"/>
          <w:highlight w:val="none"/>
          <w:lang w:val="en-US" w:eastAsia="zh-CN"/>
        </w:rPr>
        <w:t>中央基建资金360万元等</w:t>
      </w:r>
      <w:r>
        <w:rPr>
          <w:rFonts w:ascii="Times New Roman" w:hAnsi="Times New Roman" w:eastAsia="仿宋_GB2312" w:cs="Times New Roman"/>
          <w:color w:val="auto"/>
          <w:sz w:val="32"/>
          <w:szCs w:val="32"/>
          <w:highlight w:val="none"/>
        </w:rPr>
        <w:t>。</w:t>
      </w:r>
    </w:p>
    <w:p w14:paraId="73DFE176">
      <w:pPr>
        <w:keepNext w:val="0"/>
        <w:keepLines w:val="0"/>
        <w:pageBreakBefore w:val="0"/>
        <w:widowControl w:val="0"/>
        <w:kinsoku/>
        <w:wordWrap/>
        <w:overflowPunct/>
        <w:topLinePunct w:val="0"/>
        <w:autoSpaceDN/>
        <w:bidi w:val="0"/>
        <w:snapToGrid/>
        <w:spacing w:beforeAutospacing="0" w:afterAutospacing="0" w:line="600" w:lineRule="exact"/>
        <w:ind w:left="0" w:firstLine="643" w:firstLineChars="200"/>
        <w:contextualSpacing/>
        <w:textAlignment w:val="auto"/>
        <w:rPr>
          <w:rFonts w:ascii="Times New Roman" w:hAnsi="Times New Roman" w:eastAsia="楷体_GB2312" w:cs="Times New Roman"/>
          <w:b/>
          <w:bCs w:val="0"/>
          <w:sz w:val="32"/>
          <w:szCs w:val="32"/>
          <w:highlight w:val="none"/>
          <w:lang w:val="en-US" w:eastAsia="zh-CN"/>
        </w:rPr>
      </w:pPr>
      <w:r>
        <w:rPr>
          <w:rFonts w:ascii="Times New Roman" w:hAnsi="Times New Roman" w:eastAsia="楷体_GB2312" w:cs="Times New Roman"/>
          <w:b/>
          <w:bCs w:val="0"/>
          <w:sz w:val="32"/>
          <w:szCs w:val="32"/>
          <w:highlight w:val="none"/>
          <w:lang w:val="en-US" w:eastAsia="zh-CN"/>
        </w:rPr>
        <w:t>（七）统筹资金安排情况</w:t>
      </w:r>
    </w:p>
    <w:p w14:paraId="3C5C20EC">
      <w:pPr>
        <w:keepNext w:val="0"/>
        <w:keepLines w:val="0"/>
        <w:pageBreakBefore w:val="0"/>
        <w:widowControl w:val="0"/>
        <w:kinsoku/>
        <w:wordWrap/>
        <w:overflowPunct/>
        <w:topLinePunct w:val="0"/>
        <w:autoSpaceDE/>
        <w:autoSpaceDN/>
        <w:bidi w:val="0"/>
        <w:adjustRightInd/>
        <w:snapToGrid/>
        <w:spacing w:beforeAutospacing="0" w:afterAutospacing="0" w:line="600" w:lineRule="exact"/>
        <w:ind w:left="0" w:firstLine="640" w:firstLineChars="200"/>
        <w:textAlignment w:val="auto"/>
        <w:rPr>
          <w:rFonts w:ascii="Times New Roman" w:hAnsi="Times New Roman" w:eastAsia="仿宋_GB2312" w:cs="Times New Roman"/>
          <w:sz w:val="32"/>
          <w:szCs w:val="32"/>
          <w:highlight w:val="yellow"/>
          <w:lang w:val="en-US" w:eastAsia="zh-CN"/>
        </w:rPr>
      </w:pPr>
      <w:r>
        <w:rPr>
          <w:rFonts w:ascii="Times New Roman" w:hAnsi="Times New Roman" w:eastAsia="仿宋_GB2312" w:cs="Times New Roman"/>
          <w:color w:val="auto"/>
          <w:sz w:val="32"/>
          <w:szCs w:val="32"/>
          <w:highlight w:val="none"/>
        </w:rPr>
        <w:t>结转上年</w:t>
      </w:r>
      <w:r>
        <w:rPr>
          <w:rFonts w:ascii="Times New Roman" w:hAnsi="Times New Roman" w:eastAsia="仿宋_GB2312" w:cs="Times New Roman"/>
          <w:color w:val="auto"/>
          <w:sz w:val="32"/>
          <w:szCs w:val="32"/>
          <w:highlight w:val="none"/>
          <w:lang w:eastAsia="zh-CN"/>
        </w:rPr>
        <w:t>专项</w:t>
      </w:r>
      <w:r>
        <w:rPr>
          <w:rFonts w:ascii="Times New Roman" w:hAnsi="Times New Roman" w:eastAsia="仿宋_GB2312" w:cs="Times New Roman"/>
          <w:color w:val="auto"/>
          <w:sz w:val="32"/>
          <w:szCs w:val="32"/>
          <w:highlight w:val="none"/>
        </w:rPr>
        <w:t>资金</w:t>
      </w:r>
      <w:r>
        <w:rPr>
          <w:rFonts w:ascii="Times New Roman" w:hAnsi="Times New Roman" w:eastAsia="仿宋_GB2312" w:cs="Times New Roman"/>
          <w:color w:val="auto"/>
          <w:sz w:val="32"/>
          <w:szCs w:val="32"/>
          <w:highlight w:val="none"/>
          <w:lang w:val="en-US" w:eastAsia="zh-CN"/>
        </w:rPr>
        <w:t>6845</w:t>
      </w:r>
      <w:r>
        <w:rPr>
          <w:rFonts w:ascii="Times New Roman" w:hAnsi="Times New Roman" w:eastAsia="仿宋_GB2312" w:cs="Times New Roman"/>
          <w:color w:val="auto"/>
          <w:sz w:val="32"/>
          <w:szCs w:val="32"/>
          <w:highlight w:val="none"/>
        </w:rPr>
        <w:t>万元</w:t>
      </w:r>
      <w:r>
        <w:rPr>
          <w:rFonts w:ascii="Times New Roman" w:hAnsi="Times New Roman" w:eastAsia="仿宋_GB2312" w:cs="Times New Roman"/>
          <w:color w:val="auto"/>
          <w:sz w:val="32"/>
          <w:szCs w:val="32"/>
          <w:highlight w:val="none"/>
          <w:lang w:eastAsia="zh-CN"/>
        </w:rPr>
        <w:t>（一般公共预算结转</w:t>
      </w:r>
      <w:r>
        <w:rPr>
          <w:rFonts w:ascii="Times New Roman" w:hAnsi="Times New Roman" w:eastAsia="仿宋_GB2312" w:cs="Times New Roman"/>
          <w:color w:val="auto"/>
          <w:sz w:val="32"/>
          <w:szCs w:val="32"/>
          <w:highlight w:val="none"/>
          <w:lang w:val="en-US" w:eastAsia="zh-CN"/>
        </w:rPr>
        <w:t>2865万元，政府性基金结转3650万元，国有资本经营结转330万元</w:t>
      </w:r>
      <w:r>
        <w:rPr>
          <w:rFonts w:ascii="Times New Roman" w:hAnsi="Times New Roman" w:eastAsia="仿宋_GB2312" w:cs="Times New Roman"/>
          <w:color w:val="auto"/>
          <w:sz w:val="32"/>
          <w:szCs w:val="32"/>
          <w:highlight w:val="none"/>
          <w:lang w:eastAsia="zh-CN"/>
        </w:rPr>
        <w:t>）</w:t>
      </w:r>
      <w:r>
        <w:rPr>
          <w:rFonts w:ascii="Times New Roman" w:hAnsi="Times New Roman" w:eastAsia="仿宋_GB2312" w:cs="Times New Roman"/>
          <w:color w:val="auto"/>
          <w:sz w:val="32"/>
          <w:szCs w:val="32"/>
          <w:highlight w:val="none"/>
        </w:rPr>
        <w:t>，</w:t>
      </w:r>
      <w:r>
        <w:rPr>
          <w:rFonts w:ascii="Times New Roman" w:hAnsi="Times New Roman" w:eastAsia="仿宋_GB2312" w:cs="Times New Roman"/>
          <w:color w:val="auto"/>
          <w:sz w:val="32"/>
          <w:szCs w:val="32"/>
          <w:highlight w:val="none"/>
          <w:u w:val="none"/>
        </w:rPr>
        <w:t>支出</w:t>
      </w:r>
      <w:r>
        <w:rPr>
          <w:rFonts w:ascii="Times New Roman" w:hAnsi="Times New Roman" w:eastAsia="仿宋_GB2312" w:cs="Times New Roman"/>
          <w:color w:val="auto"/>
          <w:sz w:val="32"/>
          <w:szCs w:val="32"/>
          <w:highlight w:val="none"/>
          <w:lang w:eastAsia="zh-CN"/>
        </w:rPr>
        <w:t>共计</w:t>
      </w:r>
      <w:r>
        <w:rPr>
          <w:rFonts w:hint="eastAsia" w:ascii="Times New Roman" w:hAnsi="Times New Roman" w:eastAsia="仿宋_GB2312" w:cs="Times New Roman"/>
          <w:color w:val="auto"/>
          <w:sz w:val="32"/>
          <w:szCs w:val="32"/>
          <w:highlight w:val="none"/>
          <w:u w:val="none"/>
          <w:lang w:val="en-US" w:eastAsia="zh-CN"/>
        </w:rPr>
        <w:t>2818</w:t>
      </w:r>
      <w:r>
        <w:rPr>
          <w:rFonts w:ascii="Times New Roman" w:hAnsi="Times New Roman" w:eastAsia="仿宋_GB2312" w:cs="Times New Roman"/>
          <w:color w:val="auto"/>
          <w:sz w:val="32"/>
          <w:szCs w:val="32"/>
          <w:highlight w:val="none"/>
          <w:u w:val="none"/>
        </w:rPr>
        <w:t>万元；</w:t>
      </w:r>
      <w:r>
        <w:rPr>
          <w:rFonts w:ascii="Times New Roman" w:hAnsi="Times New Roman" w:eastAsia="仿宋_GB2312" w:cs="Times New Roman"/>
          <w:color w:val="auto"/>
          <w:sz w:val="32"/>
          <w:szCs w:val="32"/>
          <w:highlight w:val="none"/>
        </w:rPr>
        <w:t>预备费年初预算</w:t>
      </w:r>
      <w:r>
        <w:rPr>
          <w:rFonts w:ascii="Times New Roman" w:hAnsi="Times New Roman" w:eastAsia="仿宋_GB2312" w:cs="Times New Roman"/>
          <w:color w:val="auto"/>
          <w:sz w:val="32"/>
          <w:szCs w:val="32"/>
          <w:highlight w:val="none"/>
          <w:lang w:val="en-US" w:eastAsia="zh-CN"/>
        </w:rPr>
        <w:t>1500</w:t>
      </w:r>
      <w:r>
        <w:rPr>
          <w:rFonts w:ascii="Times New Roman" w:hAnsi="Times New Roman" w:eastAsia="仿宋_GB2312" w:cs="Times New Roman"/>
          <w:color w:val="auto"/>
          <w:sz w:val="32"/>
          <w:szCs w:val="32"/>
          <w:highlight w:val="none"/>
        </w:rPr>
        <w:t>万元</w:t>
      </w:r>
      <w:r>
        <w:rPr>
          <w:rFonts w:ascii="Times New Roman" w:hAnsi="Times New Roman" w:eastAsia="仿宋_GB2312" w:cs="Times New Roman"/>
          <w:color w:val="auto"/>
          <w:sz w:val="32"/>
          <w:szCs w:val="32"/>
          <w:highlight w:val="none"/>
          <w:lang w:eastAsia="zh-CN"/>
        </w:rPr>
        <w:t>，未支出；预留调资</w:t>
      </w:r>
      <w:r>
        <w:rPr>
          <w:rFonts w:hint="eastAsia" w:ascii="Times New Roman" w:hAnsi="Times New Roman" w:eastAsia="仿宋_GB2312" w:cs="Times New Roman"/>
          <w:color w:val="auto"/>
          <w:sz w:val="32"/>
          <w:szCs w:val="32"/>
          <w:highlight w:val="none"/>
          <w:lang w:val="en-US" w:eastAsia="zh-CN"/>
        </w:rPr>
        <w:t>1950</w:t>
      </w:r>
      <w:r>
        <w:rPr>
          <w:rFonts w:ascii="Times New Roman" w:hAnsi="Times New Roman" w:eastAsia="仿宋_GB2312" w:cs="Times New Roman"/>
          <w:color w:val="auto"/>
          <w:sz w:val="32"/>
          <w:szCs w:val="32"/>
          <w:highlight w:val="none"/>
          <w:lang w:val="en-US" w:eastAsia="zh-CN"/>
        </w:rPr>
        <w:t>万元，</w:t>
      </w:r>
      <w:r>
        <w:rPr>
          <w:rFonts w:ascii="Times New Roman" w:hAnsi="Times New Roman" w:eastAsia="仿宋_GB2312" w:cs="Times New Roman"/>
          <w:color w:val="auto"/>
          <w:sz w:val="32"/>
          <w:szCs w:val="32"/>
          <w:highlight w:val="none"/>
        </w:rPr>
        <w:t>统筹安排使用</w:t>
      </w:r>
      <w:r>
        <w:rPr>
          <w:rFonts w:hint="eastAsia" w:ascii="Times New Roman" w:hAnsi="Times New Roman" w:eastAsia="仿宋_GB2312" w:cs="Times New Roman"/>
          <w:color w:val="auto"/>
          <w:sz w:val="32"/>
          <w:szCs w:val="32"/>
          <w:highlight w:val="none"/>
          <w:lang w:val="en-US" w:eastAsia="zh-CN"/>
        </w:rPr>
        <w:t>1950</w:t>
      </w:r>
      <w:r>
        <w:rPr>
          <w:rFonts w:ascii="Times New Roman" w:hAnsi="Times New Roman" w:eastAsia="仿宋_GB2312" w:cs="Times New Roman"/>
          <w:color w:val="auto"/>
          <w:sz w:val="32"/>
          <w:szCs w:val="32"/>
          <w:highlight w:val="none"/>
        </w:rPr>
        <w:t>万元</w:t>
      </w:r>
      <w:r>
        <w:rPr>
          <w:rFonts w:ascii="Times New Roman" w:hAnsi="Times New Roman" w:eastAsia="仿宋_GB2312" w:cs="Times New Roman"/>
          <w:color w:val="auto"/>
          <w:sz w:val="32"/>
          <w:szCs w:val="32"/>
          <w:highlight w:val="none"/>
          <w:lang w:eastAsia="zh-CN"/>
        </w:rPr>
        <w:t>，</w:t>
      </w:r>
      <w:r>
        <w:rPr>
          <w:rFonts w:ascii="Times New Roman" w:hAnsi="Times New Roman" w:eastAsia="仿宋_GB2312" w:cs="Times New Roman"/>
          <w:color w:val="auto"/>
          <w:sz w:val="32"/>
          <w:szCs w:val="32"/>
          <w:highlight w:val="none"/>
          <w:lang w:val="en-US" w:eastAsia="zh-CN"/>
        </w:rPr>
        <w:t>主要用于抚恤、丧葬费、工资和社保等支出。</w:t>
      </w:r>
    </w:p>
    <w:p w14:paraId="6BDF5BAC">
      <w:pPr>
        <w:keepNext w:val="0"/>
        <w:keepLines w:val="0"/>
        <w:pageBreakBefore w:val="0"/>
        <w:widowControl w:val="0"/>
        <w:kinsoku/>
        <w:wordWrap/>
        <w:overflowPunct/>
        <w:topLinePunct w:val="0"/>
        <w:autoSpaceDN/>
        <w:bidi w:val="0"/>
        <w:snapToGrid/>
        <w:spacing w:beforeAutospacing="0" w:afterAutospacing="0" w:line="600" w:lineRule="exact"/>
        <w:ind w:left="0" w:firstLine="640" w:firstLineChars="200"/>
        <w:contextualSpacing/>
        <w:textAlignment w:val="auto"/>
        <w:rPr>
          <w:rFonts w:ascii="Times New Roman" w:hAnsi="Times New Roman" w:eastAsia="仿宋_GB2312" w:cs="Times New Roman"/>
          <w:sz w:val="32"/>
          <w:szCs w:val="32"/>
          <w:highlight w:val="none"/>
          <w:lang w:val="en-US" w:eastAsia="zh-CN"/>
        </w:rPr>
      </w:pPr>
      <w:r>
        <w:rPr>
          <w:rFonts w:ascii="Times New Roman" w:hAnsi="Times New Roman" w:eastAsia="仿宋_GB2312" w:cs="Times New Roman"/>
          <w:sz w:val="32"/>
          <w:szCs w:val="32"/>
          <w:highlight w:val="none"/>
          <w:lang w:val="en-US" w:eastAsia="zh-CN"/>
        </w:rPr>
        <w:t>上述预算执行情况为年报统计数，决算批复后再向区人大常委会报告。</w:t>
      </w:r>
    </w:p>
    <w:p w14:paraId="1A4659E8">
      <w:pPr>
        <w:keepNext w:val="0"/>
        <w:keepLines w:val="0"/>
        <w:pageBreakBefore w:val="0"/>
        <w:widowControl w:val="0"/>
        <w:kinsoku/>
        <w:wordWrap/>
        <w:overflowPunct/>
        <w:topLinePunct w:val="0"/>
        <w:autoSpaceDN/>
        <w:bidi w:val="0"/>
        <w:snapToGrid/>
        <w:spacing w:beforeAutospacing="0" w:afterAutospacing="0" w:line="600" w:lineRule="exact"/>
        <w:ind w:left="0" w:firstLine="640" w:firstLineChars="200"/>
        <w:contextualSpacing/>
        <w:textAlignment w:val="auto"/>
        <w:rPr>
          <w:rFonts w:ascii="Times New Roman" w:hAnsi="Times New Roman" w:eastAsia="黑体" w:cs="Times New Roman"/>
          <w:bCs/>
          <w:sz w:val="32"/>
          <w:szCs w:val="32"/>
        </w:rPr>
      </w:pPr>
      <w:r>
        <w:rPr>
          <w:rFonts w:ascii="Times New Roman" w:hAnsi="Times New Roman" w:eastAsia="黑体" w:cs="Times New Roman"/>
          <w:bCs/>
          <w:sz w:val="32"/>
          <w:szCs w:val="32"/>
          <w:lang w:eastAsia="zh-CN"/>
        </w:rPr>
        <w:t>二、重大方针政策落实及重点领域项目</w:t>
      </w:r>
      <w:r>
        <w:rPr>
          <w:rFonts w:ascii="Times New Roman" w:hAnsi="Times New Roman" w:eastAsia="黑体" w:cs="Times New Roman"/>
          <w:bCs/>
          <w:sz w:val="32"/>
          <w:szCs w:val="32"/>
        </w:rPr>
        <w:t>的预算执行情况</w:t>
      </w:r>
    </w:p>
    <w:p w14:paraId="207D19FF">
      <w:pPr>
        <w:keepNext w:val="0"/>
        <w:keepLines w:val="0"/>
        <w:pageBreakBefore w:val="0"/>
        <w:widowControl w:val="0"/>
        <w:kinsoku/>
        <w:wordWrap/>
        <w:overflowPunct/>
        <w:topLinePunct w:val="0"/>
        <w:autoSpaceDE/>
        <w:autoSpaceDN/>
        <w:bidi w:val="0"/>
        <w:adjustRightInd/>
        <w:snapToGrid/>
        <w:spacing w:beforeAutospacing="0" w:afterAutospacing="0" w:line="600" w:lineRule="exact"/>
        <w:ind w:left="0" w:firstLine="640" w:firstLineChars="200"/>
        <w:jc w:val="both"/>
        <w:textAlignment w:val="auto"/>
        <w:rPr>
          <w:rFonts w:ascii="Times New Roman" w:hAnsi="Times New Roman" w:eastAsia="仿宋_GB2312" w:cs="Times New Roman"/>
          <w:sz w:val="32"/>
          <w:szCs w:val="32"/>
          <w:highlight w:val="none"/>
          <w:u w:val="none"/>
          <w:lang w:eastAsia="zh-CN"/>
        </w:rPr>
      </w:pPr>
      <w:r>
        <w:rPr>
          <w:rFonts w:ascii="Times New Roman" w:hAnsi="Times New Roman" w:eastAsia="仿宋_GB2312" w:cs="Times New Roman"/>
          <w:kern w:val="0"/>
          <w:sz w:val="32"/>
          <w:szCs w:val="32"/>
          <w:highlight w:val="none"/>
          <w:u w:val="none"/>
          <w:lang w:val="en-US" w:eastAsia="zh-CN"/>
        </w:rPr>
        <w:t>2025年，面对复杂困难的经济形势，按照区委、区政府决策部署，</w:t>
      </w:r>
      <w:r>
        <w:rPr>
          <w:rFonts w:ascii="Times New Roman" w:hAnsi="Times New Roman" w:eastAsia="仿宋_GB2312" w:cs="Times New Roman"/>
          <w:kern w:val="0"/>
          <w:sz w:val="32"/>
          <w:szCs w:val="32"/>
          <w:u w:val="none"/>
          <w:lang w:val="en-US" w:eastAsia="zh-CN"/>
        </w:rPr>
        <w:t>深入贯彻落实十六届人大五次会议《关于井陉矿区2024年全区总预算及区本级预算执行情况和2025年全区总预算及区本级预算（草案）的报告》的决议，强化</w:t>
      </w:r>
      <w:r>
        <w:rPr>
          <w:rFonts w:ascii="Times New Roman" w:hAnsi="Times New Roman" w:eastAsia="仿宋_GB2312" w:cs="Times New Roman"/>
          <w:kern w:val="0"/>
          <w:sz w:val="32"/>
          <w:szCs w:val="32"/>
          <w:highlight w:val="none"/>
          <w:u w:val="none"/>
          <w:lang w:val="en-US" w:eastAsia="zh-CN"/>
        </w:rPr>
        <w:t>预算执行约束，积极推进财政科学、精细化管理，切实增强习惯过紧日子意识，优化财政支出结构，大力压减非急需、非刚性支出，统筹财力解决人民群众急难愁盼问题，确保各项财政工作平稳运行。</w:t>
      </w:r>
    </w:p>
    <w:p w14:paraId="6C82170A">
      <w:pPr>
        <w:keepNext w:val="0"/>
        <w:keepLines w:val="0"/>
        <w:pageBreakBefore w:val="0"/>
        <w:widowControl w:val="0"/>
        <w:kinsoku/>
        <w:wordWrap/>
        <w:overflowPunct/>
        <w:topLinePunct w:val="0"/>
        <w:autoSpaceDE/>
        <w:autoSpaceDN/>
        <w:bidi w:val="0"/>
        <w:adjustRightInd/>
        <w:snapToGrid/>
        <w:spacing w:beforeAutospacing="0" w:afterAutospacing="0" w:line="600" w:lineRule="exact"/>
        <w:ind w:left="0" w:firstLine="643" w:firstLineChars="200"/>
        <w:jc w:val="both"/>
        <w:textAlignment w:val="auto"/>
        <w:rPr>
          <w:rFonts w:ascii="Times New Roman" w:hAnsi="Times New Roman" w:eastAsia="仿宋_GB2312" w:cs="Times New Roman"/>
          <w:b w:val="0"/>
          <w:bCs w:val="0"/>
          <w:color w:val="auto"/>
          <w:sz w:val="32"/>
          <w:szCs w:val="32"/>
          <w:lang w:val="en-US" w:eastAsia="zh-CN"/>
        </w:rPr>
      </w:pPr>
      <w:r>
        <w:rPr>
          <w:rFonts w:ascii="Times New Roman" w:hAnsi="Times New Roman" w:eastAsia="仿宋_GB2312" w:cs="Times New Roman"/>
          <w:b/>
          <w:bCs/>
          <w:sz w:val="32"/>
          <w:szCs w:val="32"/>
        </w:rPr>
        <w:t>——</w:t>
      </w:r>
      <w:r>
        <w:rPr>
          <w:rFonts w:ascii="Times New Roman" w:hAnsi="Times New Roman" w:eastAsia="仿宋_GB2312" w:cs="Times New Roman"/>
          <w:b/>
          <w:bCs/>
          <w:sz w:val="32"/>
          <w:szCs w:val="32"/>
          <w:lang w:val="en-US" w:eastAsia="zh-CN"/>
        </w:rPr>
        <w:t>坚持挖潜增收发展协同壮财源，着力提升财政保障能力</w:t>
      </w:r>
      <w:r>
        <w:rPr>
          <w:rFonts w:ascii="Times New Roman" w:hAnsi="Times New Roman" w:eastAsia="仿宋_GB2312" w:cs="Times New Roman"/>
          <w:b/>
          <w:bCs/>
          <w:sz w:val="32"/>
          <w:szCs w:val="32"/>
          <w:lang w:eastAsia="zh-CN"/>
        </w:rPr>
        <w:t>。</w:t>
      </w:r>
      <w:r>
        <w:rPr>
          <w:rFonts w:ascii="Times New Roman" w:hAnsi="Times New Roman" w:eastAsia="仿宋_GB2312" w:cs="Times New Roman"/>
          <w:b/>
          <w:bCs/>
          <w:color w:val="auto"/>
          <w:sz w:val="32"/>
          <w:szCs w:val="32"/>
          <w:highlight w:val="none"/>
          <w:lang w:val="en-US" w:eastAsia="zh-CN"/>
        </w:rPr>
        <w:t>一是</w:t>
      </w:r>
      <w:r>
        <w:rPr>
          <w:rFonts w:ascii="Times New Roman" w:hAnsi="Times New Roman" w:eastAsia="仿宋_GB2312" w:cs="Times New Roman"/>
          <w:b w:val="0"/>
          <w:bCs w:val="0"/>
          <w:color w:val="auto"/>
          <w:sz w:val="32"/>
          <w:szCs w:val="32"/>
          <w:highlight w:val="none"/>
          <w:lang w:val="en-US" w:eastAsia="zh-CN"/>
        </w:rPr>
        <w:t>充分挖掘税收增长潜力，夯实财源建设基础。一方面时刻关注重点税源，追踪把握税源动态，持续强化税源管控，提升税收分析研判能力。另一方面，强化部门协作，对重点行业企业税收、财政收支等信息进行内部交流，发掘相关数据潜力，形成齐抓共管的工作合力，确保财政收入稳定增长；</w:t>
      </w:r>
      <w:r>
        <w:rPr>
          <w:rFonts w:ascii="Times New Roman" w:hAnsi="Times New Roman" w:eastAsia="仿宋_GB2312" w:cs="Times New Roman"/>
          <w:b/>
          <w:bCs/>
          <w:color w:val="auto"/>
          <w:sz w:val="32"/>
          <w:szCs w:val="32"/>
          <w:highlight w:val="none"/>
          <w:lang w:val="en-US" w:eastAsia="zh-CN"/>
        </w:rPr>
        <w:t>二是</w:t>
      </w:r>
      <w:r>
        <w:rPr>
          <w:rFonts w:ascii="Times New Roman" w:hAnsi="Times New Roman" w:eastAsia="仿宋_GB2312" w:cs="Times New Roman"/>
          <w:b w:val="0"/>
          <w:bCs w:val="0"/>
          <w:color w:val="auto"/>
          <w:sz w:val="32"/>
          <w:szCs w:val="32"/>
          <w:highlight w:val="none"/>
          <w:lang w:val="en-US" w:eastAsia="zh-CN"/>
        </w:rPr>
        <w:t>深入推进国有资产高效管理，加大存量资产盘活力度。进一步完善修订《井陉矿区行政事业单位国有资产处置管理办法》、《井陉矿区行政事业单位国有资产使用管理办法》，制定了《行政事业单位国有资产盘活工作实施方案》，组织区级行政事业单位开展了梳理摸底工作，重点是房屋土地、车辆等低效运转、闲置的资产。</w:t>
      </w:r>
      <w:r>
        <w:rPr>
          <w:rFonts w:ascii="Times New Roman" w:hAnsi="Times New Roman" w:eastAsia="仿宋_GB2312" w:cs="Times New Roman"/>
          <w:b/>
          <w:bCs/>
          <w:color w:val="auto"/>
          <w:sz w:val="32"/>
          <w:szCs w:val="32"/>
          <w:lang w:val="en-US" w:eastAsia="zh-CN"/>
        </w:rPr>
        <w:t>三是</w:t>
      </w:r>
      <w:r>
        <w:rPr>
          <w:rFonts w:ascii="Times New Roman" w:hAnsi="Times New Roman" w:eastAsia="仿宋_GB2312" w:cs="Times New Roman"/>
          <w:b w:val="0"/>
          <w:bCs w:val="0"/>
          <w:sz w:val="32"/>
          <w:szCs w:val="32"/>
        </w:rPr>
        <w:t>积极向上争</w:t>
      </w:r>
      <w:r>
        <w:rPr>
          <w:rFonts w:ascii="Times New Roman" w:hAnsi="Times New Roman" w:eastAsia="仿宋_GB2312" w:cs="Times New Roman"/>
          <w:b w:val="0"/>
          <w:bCs w:val="0"/>
          <w:sz w:val="32"/>
          <w:szCs w:val="32"/>
          <w:lang w:eastAsia="zh-CN"/>
        </w:rPr>
        <w:t>引</w:t>
      </w:r>
      <w:r>
        <w:rPr>
          <w:rFonts w:ascii="Times New Roman" w:hAnsi="Times New Roman" w:eastAsia="仿宋_GB2312" w:cs="Times New Roman"/>
          <w:b w:val="0"/>
          <w:bCs w:val="0"/>
          <w:sz w:val="32"/>
          <w:szCs w:val="32"/>
        </w:rPr>
        <w:t>资金支持</w:t>
      </w:r>
      <w:r>
        <w:rPr>
          <w:rFonts w:ascii="Times New Roman" w:hAnsi="Times New Roman" w:eastAsia="仿宋_GB2312" w:cs="Times New Roman"/>
          <w:b w:val="0"/>
          <w:bCs w:val="0"/>
          <w:sz w:val="32"/>
          <w:szCs w:val="32"/>
          <w:lang w:eastAsia="zh-CN"/>
        </w:rPr>
        <w:t>，</w:t>
      </w:r>
      <w:r>
        <w:rPr>
          <w:rFonts w:ascii="Times New Roman" w:hAnsi="Times New Roman" w:eastAsia="仿宋_GB2312" w:cs="Times New Roman"/>
          <w:b w:val="0"/>
          <w:bCs w:val="0"/>
          <w:sz w:val="32"/>
          <w:szCs w:val="32"/>
          <w:lang w:val="en-US" w:eastAsia="zh-CN"/>
        </w:rPr>
        <w:t>争分夺秒紧抓政策机遇。</w:t>
      </w:r>
      <w:r>
        <w:rPr>
          <w:rFonts w:ascii="Times New Roman" w:hAnsi="Times New Roman" w:eastAsia="仿宋_GB2312" w:cs="Times New Roman"/>
          <w:sz w:val="32"/>
          <w:szCs w:val="32"/>
          <w:highlight w:val="none"/>
          <w:lang w:val="en-US" w:eastAsia="zh-CN"/>
        </w:rPr>
        <w:t>全区共争引上级各类资金124609万元，其中争取上级转移支付资金49409万元，财力性补助资金较上年增长34.7%，有效补充了我区财力，推动了科教文卫等各项事业发展；争取政府新增专项债券资金27400万元，用于职业技术教育中心建设项目和解决机关和全额事业单位工程欠款问题；争取再融资债券1400万元，置换到期的债券资金，缓解偿还到期债券资金压力；争取再融资债券47800万元用于置换存量债务。</w:t>
      </w:r>
      <w:r>
        <w:rPr>
          <w:rFonts w:ascii="Times New Roman" w:hAnsi="Times New Roman" w:eastAsia="仿宋_GB2312" w:cs="Times New Roman"/>
          <w:b/>
          <w:bCs/>
          <w:color w:val="auto"/>
          <w:sz w:val="32"/>
          <w:szCs w:val="32"/>
          <w:highlight w:val="none"/>
          <w:lang w:val="en-US" w:eastAsia="zh-CN"/>
        </w:rPr>
        <w:t>四是</w:t>
      </w:r>
      <w:r>
        <w:rPr>
          <w:rFonts w:ascii="Times New Roman" w:hAnsi="Times New Roman" w:eastAsia="仿宋_GB2312" w:cs="Times New Roman"/>
          <w:b w:val="0"/>
          <w:bCs w:val="0"/>
          <w:sz w:val="32"/>
          <w:szCs w:val="32"/>
          <w:highlight w:val="none"/>
          <w:u w:val="none"/>
          <w:lang w:val="en-US" w:eastAsia="zh-CN"/>
        </w:rPr>
        <w:t>靶向发力精准施策，持续优化营商环境</w:t>
      </w:r>
      <w:r>
        <w:rPr>
          <w:rFonts w:ascii="Times New Roman" w:hAnsi="Times New Roman" w:eastAsia="仿宋_GB2312" w:cs="Times New Roman"/>
          <w:b w:val="0"/>
          <w:bCs w:val="0"/>
          <w:color w:val="auto"/>
          <w:sz w:val="32"/>
          <w:szCs w:val="32"/>
          <w:highlight w:val="none"/>
          <w:lang w:val="en-US" w:eastAsia="zh-CN"/>
        </w:rPr>
        <w:t>。不遗余力落实各项税收优惠政策，确保政策红利精准滴灌市场主体，助力企业减负增能。公开行政事业性收费和政府性基金政策目录，持续加强乱收费源头管理。全面推行政府采购全流程电子化，加强常态化监管，严厉打击违法违规行为，持续营造公平竞争的政府采购市场环境。</w:t>
      </w:r>
    </w:p>
    <w:p w14:paraId="24F453FC">
      <w:pPr>
        <w:keepNext w:val="0"/>
        <w:keepLines w:val="0"/>
        <w:pageBreakBefore w:val="0"/>
        <w:widowControl w:val="0"/>
        <w:kinsoku/>
        <w:wordWrap/>
        <w:overflowPunct/>
        <w:topLinePunct w:val="0"/>
        <w:autoSpaceDE/>
        <w:autoSpaceDN/>
        <w:bidi w:val="0"/>
        <w:adjustRightInd/>
        <w:snapToGrid/>
        <w:spacing w:beforeAutospacing="0" w:afterAutospacing="0" w:line="600" w:lineRule="exact"/>
        <w:ind w:left="0" w:firstLine="643" w:firstLineChars="200"/>
        <w:jc w:val="both"/>
        <w:textAlignment w:val="auto"/>
        <w:rPr>
          <w:rFonts w:ascii="Times New Roman" w:hAnsi="Times New Roman" w:cs="Times New Roman"/>
          <w:lang w:val="en-US" w:eastAsia="zh-CN"/>
        </w:rPr>
      </w:pPr>
      <w:r>
        <w:rPr>
          <w:rFonts w:ascii="Times New Roman" w:hAnsi="Times New Roman" w:eastAsia="仿宋_GB2312" w:cs="Times New Roman"/>
          <w:b/>
          <w:bCs/>
          <w:sz w:val="32"/>
          <w:szCs w:val="32"/>
        </w:rPr>
        <w:t>——</w:t>
      </w:r>
      <w:r>
        <w:rPr>
          <w:rFonts w:ascii="Times New Roman" w:hAnsi="Times New Roman" w:eastAsia="仿宋_GB2312" w:cs="Times New Roman"/>
          <w:b/>
          <w:bCs/>
          <w:sz w:val="32"/>
          <w:szCs w:val="32"/>
          <w:lang w:val="en-US" w:eastAsia="zh-CN"/>
        </w:rPr>
        <w:t>坚持精准赋能资金保障稳经济，着手拉动经济发展引擎</w:t>
      </w:r>
      <w:r>
        <w:rPr>
          <w:rFonts w:ascii="Times New Roman" w:hAnsi="Times New Roman" w:eastAsia="仿宋_GB2312" w:cs="Times New Roman"/>
          <w:b/>
          <w:bCs/>
          <w:sz w:val="32"/>
          <w:szCs w:val="32"/>
          <w:lang w:eastAsia="zh-CN"/>
        </w:rPr>
        <w:t>。</w:t>
      </w:r>
      <w:r>
        <w:rPr>
          <w:rFonts w:ascii="Times New Roman" w:hAnsi="Times New Roman" w:eastAsia="仿宋_GB2312" w:cs="Times New Roman"/>
          <w:b w:val="0"/>
          <w:bCs w:val="0"/>
          <w:sz w:val="32"/>
          <w:szCs w:val="32"/>
          <w:lang w:eastAsia="zh-CN"/>
        </w:rPr>
        <w:t>坚持以经济建设为中心，以推动高质量发展为主题，以新质生产力激发新动能，</w:t>
      </w:r>
      <w:r>
        <w:rPr>
          <w:rFonts w:ascii="Times New Roman" w:hAnsi="Times New Roman" w:eastAsia="仿宋_GB2312" w:cs="Times New Roman"/>
          <w:b w:val="0"/>
          <w:bCs w:val="0"/>
          <w:sz w:val="32"/>
          <w:szCs w:val="32"/>
          <w:lang w:val="en-US" w:eastAsia="zh-CN"/>
        </w:rPr>
        <w:t>为矿区资源枯竭转型升级精准赋能。筹集资金24044万元，用于轨道交通产教融合园区项目前期费用和项目建设；筹集资金3277万元，支持城市乡村建设，用于城乡环卫、园林绿化、道路清扫等；筹集资金322万元，用于支持企业发展、主导产业奖补、知识产权高质量发展等；筹集资金730万元，支持文物保护恢复，促进文化产业和旅游业发展。</w:t>
      </w:r>
    </w:p>
    <w:p w14:paraId="729EFE7D">
      <w:pPr>
        <w:pStyle w:val="3"/>
        <w:keepNext w:val="0"/>
        <w:keepLines w:val="0"/>
        <w:pageBreakBefore w:val="0"/>
        <w:widowControl w:val="0"/>
        <w:kinsoku/>
        <w:wordWrap/>
        <w:overflowPunct/>
        <w:topLinePunct w:val="0"/>
        <w:autoSpaceDE/>
        <w:autoSpaceDN/>
        <w:bidi w:val="0"/>
        <w:adjustRightInd/>
        <w:snapToGrid/>
        <w:spacing w:before="0" w:beforeAutospacing="0" w:after="0" w:afterAutospacing="0" w:line="600" w:lineRule="exact"/>
        <w:ind w:left="0" w:firstLine="643" w:firstLineChars="200"/>
        <w:jc w:val="both"/>
        <w:textAlignment w:val="auto"/>
        <w:rPr>
          <w:rFonts w:ascii="Times New Roman" w:hAnsi="Times New Roman" w:eastAsia="仿宋_GB2312" w:cs="Times New Roman"/>
          <w:b w:val="0"/>
          <w:kern w:val="2"/>
          <w:sz w:val="32"/>
          <w:szCs w:val="32"/>
          <w:lang w:val="en-US" w:eastAsia="zh-CN" w:bidi="ar-SA"/>
        </w:rPr>
      </w:pPr>
      <w:r>
        <w:rPr>
          <w:rFonts w:ascii="Times New Roman" w:hAnsi="Times New Roman" w:eastAsia="仿宋_GB2312" w:cs="Times New Roman"/>
          <w:b/>
          <w:bCs/>
          <w:sz w:val="32"/>
          <w:szCs w:val="32"/>
        </w:rPr>
        <w:t>——</w:t>
      </w:r>
      <w:r>
        <w:rPr>
          <w:rFonts w:ascii="Times New Roman" w:hAnsi="Times New Roman" w:eastAsia="仿宋_GB2312" w:cs="Times New Roman"/>
          <w:b/>
          <w:bCs/>
          <w:sz w:val="32"/>
          <w:szCs w:val="32"/>
          <w:lang w:val="en-US" w:eastAsia="zh-CN"/>
        </w:rPr>
        <w:t>坚持资源统筹集中财力保重点，着重民生福祉稳步提升</w:t>
      </w:r>
      <w:r>
        <w:rPr>
          <w:rFonts w:ascii="Times New Roman" w:hAnsi="Times New Roman" w:eastAsia="仿宋_GB2312" w:cs="Times New Roman"/>
          <w:b/>
          <w:bCs/>
          <w:sz w:val="32"/>
          <w:szCs w:val="32"/>
          <w:highlight w:val="none"/>
          <w:lang w:eastAsia="zh-CN"/>
        </w:rPr>
        <w:t>。</w:t>
      </w:r>
      <w:r>
        <w:rPr>
          <w:rFonts w:ascii="Times New Roman" w:hAnsi="Times New Roman" w:eastAsia="仿宋_GB2312" w:cs="Times New Roman"/>
          <w:b w:val="0"/>
          <w:kern w:val="2"/>
          <w:sz w:val="32"/>
          <w:szCs w:val="32"/>
          <w:highlight w:val="none"/>
          <w:lang w:val="en-US" w:eastAsia="zh-CN" w:bidi="ar-SA"/>
        </w:rPr>
        <w:t>贯彻落实党政机关过“紧日子”要求，深化零基预算改革，切实规范项目支出预算编制。2025年我区“三保”支出需求41213万元，全年“三保”支出43273万元，保障率105％。持续调整优化支出，严禁超标准、超范围列支“三公”经费，2025年三公经费预算安排240万元，全年支出163.55万元。</w:t>
      </w:r>
      <w:r>
        <w:rPr>
          <w:rFonts w:ascii="Times New Roman" w:hAnsi="Times New Roman" w:eastAsia="仿宋_GB2312" w:cs="Times New Roman"/>
          <w:b w:val="0"/>
          <w:bCs w:val="0"/>
          <w:sz w:val="32"/>
          <w:szCs w:val="32"/>
          <w:highlight w:val="none"/>
          <w:lang w:val="en-US" w:eastAsia="zh-CN"/>
        </w:rPr>
        <w:t>严控非重点、非刚性的一般性支出，统筹财力用于教育、社保、文化、科技等重点领域。</w:t>
      </w:r>
      <w:r>
        <w:rPr>
          <w:rFonts w:ascii="Times New Roman" w:hAnsi="Times New Roman" w:eastAsia="仿宋_GB2312" w:cs="Times New Roman"/>
          <w:b w:val="0"/>
          <w:kern w:val="2"/>
          <w:sz w:val="32"/>
          <w:szCs w:val="32"/>
          <w:highlight w:val="none"/>
          <w:lang w:val="en-US" w:eastAsia="zh-CN" w:bidi="ar-SA"/>
        </w:rPr>
        <w:t>2025年，全区民生支出81058万元，占全区一般公共预算支出的81.8%。其中，教育支出19688万元，主要用于落实城乡义务教育保障机制，改善办学条件，支持学前教育、普高教育、中职教育发展等；社会保障和就业支出21091万元，主要用于落实各项城乡社会保障政策、优抚和退役士兵安置等；卫生健康支出4724万元，主要用于基本公共卫生服务、乡镇卫生院和计划生育补助、疫情防控等；城乡社区支出15521万元，主要用于公园养护、环卫市场化运行、城区和乡村保洁绿化、供暖改造、天然气置换等工程；农林水支出4256万元，主要用于美丽乡村建设、农村综合改革、农村社会事业、森林资源培育等公益事业；节能环保支出1101万元，主要用于大气污染治理、大气污染监控点运行、电代煤补贴；交通运输支出4572万元，主要用于公路建设、公路养护等。</w:t>
      </w:r>
    </w:p>
    <w:p w14:paraId="3AC9E12D">
      <w:pPr>
        <w:keepNext w:val="0"/>
        <w:keepLines w:val="0"/>
        <w:pageBreakBefore w:val="0"/>
        <w:widowControl w:val="0"/>
        <w:kinsoku/>
        <w:wordWrap/>
        <w:overflowPunct/>
        <w:topLinePunct w:val="0"/>
        <w:autoSpaceDE/>
        <w:autoSpaceDN/>
        <w:bidi w:val="0"/>
        <w:adjustRightInd/>
        <w:snapToGrid/>
        <w:spacing w:beforeAutospacing="0" w:afterAutospacing="0" w:line="600" w:lineRule="exact"/>
        <w:ind w:left="0" w:firstLine="643" w:firstLineChars="200"/>
        <w:jc w:val="both"/>
        <w:textAlignment w:val="auto"/>
        <w:rPr>
          <w:rFonts w:ascii="Times New Roman" w:hAnsi="Times New Roman" w:eastAsia="仿宋_GB2312" w:cs="Times New Roman"/>
          <w:color w:val="000000"/>
          <w:sz w:val="32"/>
          <w:szCs w:val="32"/>
        </w:rPr>
      </w:pPr>
      <w:r>
        <w:rPr>
          <w:rFonts w:ascii="Times New Roman" w:hAnsi="Times New Roman" w:eastAsia="仿宋_GB2312" w:cs="Times New Roman"/>
          <w:b/>
          <w:bCs/>
          <w:sz w:val="32"/>
          <w:szCs w:val="32"/>
        </w:rPr>
        <w:t>——</w:t>
      </w:r>
      <w:r>
        <w:rPr>
          <w:rFonts w:ascii="Times New Roman" w:hAnsi="Times New Roman" w:eastAsia="仿宋_GB2312" w:cs="Times New Roman"/>
          <w:b/>
          <w:bCs/>
          <w:sz w:val="32"/>
          <w:szCs w:val="32"/>
          <w:lang w:val="en-US" w:eastAsia="zh-CN"/>
        </w:rPr>
        <w:t>坚持</w:t>
      </w:r>
      <w:r>
        <w:rPr>
          <w:rFonts w:ascii="Times New Roman" w:hAnsi="Times New Roman" w:eastAsia="仿宋_GB2312" w:cs="Times New Roman"/>
          <w:b/>
          <w:bCs/>
          <w:color w:val="000000"/>
          <w:sz w:val="32"/>
          <w:szCs w:val="32"/>
          <w:lang w:val="en-US" w:eastAsia="zh-CN"/>
        </w:rPr>
        <w:t>多措并举狠抓绩效促改革，致力推进财政科学管理</w:t>
      </w:r>
      <w:r>
        <w:rPr>
          <w:rFonts w:ascii="Times New Roman" w:hAnsi="Times New Roman" w:eastAsia="仿宋_GB2312" w:cs="Times New Roman"/>
          <w:b/>
          <w:bCs/>
          <w:color w:val="000000"/>
          <w:sz w:val="32"/>
          <w:szCs w:val="32"/>
          <w:lang w:eastAsia="zh-CN"/>
        </w:rPr>
        <w:t>。</w:t>
      </w:r>
      <w:r>
        <w:rPr>
          <w:rFonts w:ascii="Times New Roman" w:hAnsi="Times New Roman" w:eastAsia="仿宋_GB2312" w:cs="Times New Roman"/>
          <w:b/>
          <w:bCs/>
          <w:color w:val="000000"/>
          <w:sz w:val="32"/>
          <w:szCs w:val="32"/>
          <w:highlight w:val="none"/>
          <w:lang w:eastAsia="zh-CN"/>
        </w:rPr>
        <w:t>一是</w:t>
      </w:r>
      <w:r>
        <w:rPr>
          <w:rFonts w:ascii="Times New Roman" w:hAnsi="Times New Roman" w:eastAsia="仿宋_GB2312" w:cs="Times New Roman"/>
          <w:b w:val="0"/>
          <w:bCs w:val="0"/>
          <w:color w:val="000000"/>
          <w:sz w:val="32"/>
          <w:szCs w:val="32"/>
          <w:highlight w:val="none"/>
          <w:lang w:val="en-US" w:eastAsia="zh-CN"/>
        </w:rPr>
        <w:t>持续落实</w:t>
      </w:r>
      <w:r>
        <w:rPr>
          <w:rFonts w:ascii="Times New Roman" w:hAnsi="Times New Roman" w:eastAsia="仿宋_GB2312" w:cs="Times New Roman"/>
          <w:color w:val="000000"/>
          <w:sz w:val="32"/>
          <w:szCs w:val="32"/>
          <w:highlight w:val="none"/>
          <w:lang w:val="en-US" w:eastAsia="zh-CN"/>
        </w:rPr>
        <w:t>进一步</w:t>
      </w:r>
      <w:bookmarkStart w:id="0" w:name="OLE_LINK1"/>
      <w:r>
        <w:rPr>
          <w:rFonts w:ascii="Times New Roman" w:hAnsi="Times New Roman" w:eastAsia="仿宋_GB2312" w:cs="Times New Roman"/>
          <w:color w:val="000000"/>
          <w:sz w:val="32"/>
          <w:szCs w:val="32"/>
          <w:highlight w:val="none"/>
          <w:lang w:val="en-US" w:eastAsia="zh-CN"/>
        </w:rPr>
        <w:t>深化预算管理制度改革</w:t>
      </w:r>
      <w:bookmarkEnd w:id="0"/>
      <w:r>
        <w:rPr>
          <w:rFonts w:ascii="Times New Roman" w:hAnsi="Times New Roman" w:eastAsia="仿宋_GB2312" w:cs="Times New Roman"/>
          <w:color w:val="000000"/>
          <w:sz w:val="32"/>
          <w:szCs w:val="32"/>
          <w:highlight w:val="none"/>
          <w:lang w:val="en-US" w:eastAsia="zh-CN"/>
        </w:rPr>
        <w:t>的意见，坚持量入为出原则，严格落实零基预算制度，打破支出固化僵化格局，合理确定支出预算规模，提升财政效能，提高财政资金的运作效率，实现资源的优化配置；</w:t>
      </w:r>
      <w:r>
        <w:rPr>
          <w:rFonts w:ascii="Times New Roman" w:hAnsi="Times New Roman" w:eastAsia="仿宋_GB2312" w:cs="Times New Roman"/>
          <w:b/>
          <w:bCs/>
          <w:color w:val="000000"/>
          <w:sz w:val="32"/>
          <w:szCs w:val="32"/>
          <w:highlight w:val="none"/>
          <w:lang w:val="en-US" w:eastAsia="zh-CN"/>
        </w:rPr>
        <w:t>二是</w:t>
      </w:r>
      <w:r>
        <w:rPr>
          <w:rFonts w:ascii="Times New Roman" w:hAnsi="Times New Roman" w:eastAsia="仿宋_GB2312" w:cs="Times New Roman"/>
          <w:b w:val="0"/>
          <w:bCs w:val="0"/>
          <w:kern w:val="2"/>
          <w:sz w:val="32"/>
          <w:szCs w:val="32"/>
          <w:highlight w:val="none"/>
          <w:u w:val="none"/>
          <w:lang w:val="en-US" w:eastAsia="zh-CN" w:bidi="ar-SA"/>
        </w:rPr>
        <w:t>严格依法依规评审，修订我区《财政投资评审监督管理办法》，制定《中介机构评审质量考核管理办法》，强化制度约束，提高评审质量。2025年完成评审任务219个，其中结算评审项目200个，预算评审项目3个，招标控制价项目16个，送审金额22566.34万元，审定金额19951.32万元，审减金额2615.02万元，审减率11.59%，有效提升了财政资金使用效益。</w:t>
      </w:r>
      <w:r>
        <w:rPr>
          <w:rFonts w:ascii="Times New Roman" w:hAnsi="Times New Roman" w:eastAsia="仿宋_GB2312" w:cs="Times New Roman"/>
          <w:b/>
          <w:bCs/>
          <w:color w:val="000000"/>
          <w:sz w:val="32"/>
          <w:szCs w:val="32"/>
          <w:highlight w:val="none"/>
          <w:lang w:val="en-US" w:eastAsia="zh-CN"/>
        </w:rPr>
        <w:t>三</w:t>
      </w:r>
      <w:r>
        <w:rPr>
          <w:rFonts w:ascii="Times New Roman" w:hAnsi="Times New Roman" w:eastAsia="仿宋_GB2312" w:cs="Times New Roman"/>
          <w:b/>
          <w:bCs/>
          <w:color w:val="000000"/>
          <w:sz w:val="32"/>
          <w:szCs w:val="32"/>
          <w:highlight w:val="none"/>
          <w:lang w:eastAsia="zh-CN"/>
        </w:rPr>
        <w:t>是</w:t>
      </w:r>
      <w:r>
        <w:rPr>
          <w:rFonts w:ascii="Times New Roman" w:hAnsi="Times New Roman" w:eastAsia="仿宋_GB2312" w:cs="Times New Roman"/>
          <w:b w:val="0"/>
          <w:i w:val="0"/>
          <w:caps w:val="0"/>
          <w:smallCaps w:val="0"/>
          <w:color w:val="000000"/>
          <w:spacing w:val="0"/>
          <w:sz w:val="32"/>
          <w:szCs w:val="32"/>
          <w:highlight w:val="none"/>
          <w:lang w:val="en-US" w:eastAsia="zh-CN"/>
        </w:rPr>
        <w:t>推动政府采购降本增效</w:t>
      </w:r>
      <w:r>
        <w:rPr>
          <w:rFonts w:ascii="Times New Roman" w:hAnsi="Times New Roman" w:eastAsia="仿宋_GB2312" w:cs="Times New Roman"/>
          <w:b w:val="0"/>
          <w:i w:val="0"/>
          <w:caps w:val="0"/>
          <w:smallCaps w:val="0"/>
          <w:color w:val="000000"/>
          <w:spacing w:val="0"/>
          <w:sz w:val="32"/>
          <w:szCs w:val="32"/>
          <w:highlight w:val="none"/>
        </w:rPr>
        <w:t>。</w:t>
      </w:r>
      <w:r>
        <w:rPr>
          <w:rFonts w:ascii="Times New Roman" w:hAnsi="Times New Roman" w:eastAsia="仿宋_GB2312" w:cs="Times New Roman"/>
          <w:b w:val="0"/>
          <w:bCs/>
          <w:color w:val="auto"/>
          <w:sz w:val="32"/>
          <w:szCs w:val="32"/>
          <w:highlight w:val="none"/>
          <w:lang w:val="en-US" w:eastAsia="zh-CN"/>
        </w:rPr>
        <w:t>2025年我区坚持政策领航，强化政府采购方式的审批管理，助力营造公平公正、公开透明的营商环境。</w:t>
      </w:r>
      <w:r>
        <w:rPr>
          <w:rFonts w:ascii="Times New Roman" w:hAnsi="Times New Roman" w:eastAsia="仿宋_GB2312" w:cs="Times New Roman"/>
          <w:b w:val="0"/>
          <w:bCs w:val="0"/>
          <w:color w:val="auto"/>
          <w:sz w:val="32"/>
          <w:szCs w:val="32"/>
          <w:highlight w:val="none"/>
          <w:lang w:val="en-US" w:eastAsia="zh-CN"/>
        </w:rPr>
        <w:t>全年公示政府采购意向公开公告46个，受理完成项目25项，采购预算金额3134.80万元，面向中小企业采购项目金额2646.64万元。</w:t>
      </w:r>
      <w:r>
        <w:rPr>
          <w:rFonts w:ascii="Times New Roman" w:hAnsi="Times New Roman" w:eastAsia="仿宋_GB2312" w:cs="Times New Roman"/>
          <w:kern w:val="0"/>
          <w:sz w:val="32"/>
          <w:szCs w:val="32"/>
          <w:highlight w:val="none"/>
          <w:shd w:val="clear" w:color="auto" w:fill="FFFFFF"/>
          <w:lang w:val="en-US" w:eastAsia="zh-CN"/>
        </w:rPr>
        <w:t>采购项目全部以“双盲”形式评审，实现项目分散评标。扶贫平台采购农副产品年初预留份额13.96万元，实际采购金额16.49万元，超额完成全部预留份额</w:t>
      </w:r>
      <w:r>
        <w:rPr>
          <w:rFonts w:ascii="Times New Roman" w:hAnsi="Times New Roman" w:eastAsia="仿宋_GB2312" w:cs="Times New Roman"/>
          <w:kern w:val="0"/>
          <w:sz w:val="32"/>
          <w:szCs w:val="32"/>
          <w:shd w:val="clear" w:color="auto" w:fill="FFFFFF"/>
          <w:lang w:val="en-US" w:eastAsia="zh-CN"/>
        </w:rPr>
        <w:t>。坚持整治护航，扎实开展“四类”违法违规行为专项整治工作，进一步规范政府采购市场秩序。</w:t>
      </w:r>
      <w:r>
        <w:rPr>
          <w:rFonts w:ascii="Times New Roman" w:hAnsi="Times New Roman" w:eastAsia="仿宋_GB2312" w:cs="Times New Roman"/>
          <w:b/>
          <w:bCs/>
          <w:color w:val="000000"/>
          <w:sz w:val="32"/>
          <w:szCs w:val="32"/>
          <w:highlight w:val="none"/>
          <w:lang w:val="en-US" w:eastAsia="zh-CN"/>
        </w:rPr>
        <w:t>四是</w:t>
      </w:r>
      <w:r>
        <w:rPr>
          <w:rFonts w:ascii="Times New Roman" w:hAnsi="Times New Roman" w:eastAsia="仿宋_GB2312" w:cs="Times New Roman"/>
          <w:color w:val="000000"/>
          <w:sz w:val="32"/>
          <w:szCs w:val="32"/>
          <w:lang w:val="en-US" w:eastAsia="zh-CN"/>
        </w:rPr>
        <w:t>深入推进预算绩效管理，提升财政资金使用效益。</w:t>
      </w:r>
      <w:r>
        <w:rPr>
          <w:rFonts w:ascii="Times New Roman" w:hAnsi="Times New Roman" w:eastAsia="仿宋_GB2312" w:cs="Times New Roman"/>
          <w:color w:val="auto"/>
          <w:sz w:val="32"/>
          <w:szCs w:val="32"/>
          <w:highlight w:val="none"/>
          <w:lang w:val="en-US" w:eastAsia="zh-CN"/>
        </w:rPr>
        <w:t>按照全覆盖原则对预算项目完成了预算绩效自评工作，并对电力局退休人员经费、井陉矿区供热设施分离改造项目开展事前绩效评价，做到“花钱必问效，无效必问责”预算绩效管理理念，促进了财政资金的合理配置，推动财政资金聚力提效。</w:t>
      </w:r>
    </w:p>
    <w:p w14:paraId="06BC82EE">
      <w:pPr>
        <w:keepNext w:val="0"/>
        <w:keepLines w:val="0"/>
        <w:pageBreakBefore w:val="0"/>
        <w:widowControl w:val="0"/>
        <w:kinsoku/>
        <w:wordWrap/>
        <w:overflowPunct/>
        <w:topLinePunct w:val="0"/>
        <w:autoSpaceDE/>
        <w:autoSpaceDN/>
        <w:bidi w:val="0"/>
        <w:adjustRightInd/>
        <w:snapToGrid/>
        <w:spacing w:beforeAutospacing="0" w:afterAutospacing="0" w:line="600" w:lineRule="exact"/>
        <w:ind w:left="0" w:firstLine="643" w:firstLineChars="200"/>
        <w:contextualSpacing/>
        <w:textAlignment w:val="auto"/>
        <w:rPr>
          <w:rFonts w:ascii="Times New Roman" w:hAnsi="Times New Roman" w:eastAsia="仿宋_GB2312" w:cs="Times New Roman"/>
          <w:sz w:val="32"/>
          <w:szCs w:val="32"/>
          <w:lang w:val="en-US" w:eastAsia="zh-CN"/>
        </w:rPr>
      </w:pPr>
      <w:r>
        <w:rPr>
          <w:rFonts w:ascii="Times New Roman" w:hAnsi="Times New Roman" w:eastAsia="仿宋_GB2312" w:cs="Times New Roman"/>
          <w:b/>
          <w:bCs/>
          <w:sz w:val="32"/>
          <w:szCs w:val="32"/>
        </w:rPr>
        <w:t>——</w:t>
      </w:r>
      <w:r>
        <w:rPr>
          <w:rFonts w:ascii="Times New Roman" w:hAnsi="Times New Roman" w:eastAsia="仿宋_GB2312" w:cs="Times New Roman"/>
          <w:b/>
          <w:bCs/>
          <w:sz w:val="32"/>
          <w:szCs w:val="32"/>
          <w:lang w:val="en-US" w:eastAsia="zh-CN"/>
        </w:rPr>
        <w:t>坚持债务底线持续筑牢防风险，强力构筑安全坚实屏障</w:t>
      </w:r>
      <w:r>
        <w:rPr>
          <w:rFonts w:ascii="Times New Roman" w:hAnsi="Times New Roman" w:eastAsia="仿宋_GB2312" w:cs="Times New Roman"/>
          <w:b/>
          <w:bCs/>
          <w:sz w:val="32"/>
          <w:szCs w:val="32"/>
          <w:lang w:eastAsia="zh-CN"/>
        </w:rPr>
        <w:t>。</w:t>
      </w:r>
      <w:r>
        <w:rPr>
          <w:rFonts w:ascii="Times New Roman" w:hAnsi="Times New Roman" w:eastAsia="仿宋_GB2312" w:cs="Times New Roman"/>
          <w:b w:val="0"/>
          <w:bCs w:val="0"/>
          <w:sz w:val="32"/>
          <w:szCs w:val="32"/>
          <w:lang w:eastAsia="zh-CN"/>
        </w:rPr>
        <w:t>深入贯彻落实上级有关防范和化解地方政府债务重大风险的决策部署，坚持远近结合、堵疏并举、标本兼治，建立同高质量发展相适应的政府债务管理机制，积极有序化解地方政府债务风险，</w:t>
      </w:r>
      <w:r>
        <w:rPr>
          <w:rFonts w:ascii="Times New Roman" w:hAnsi="Times New Roman" w:eastAsia="仿宋_GB2312" w:cs="Times New Roman"/>
          <w:b w:val="0"/>
          <w:bCs w:val="0"/>
          <w:sz w:val="32"/>
          <w:szCs w:val="32"/>
          <w:lang w:val="en-US" w:eastAsia="zh-CN"/>
        </w:rPr>
        <w:t>深入落实一揽子化债方案，牢牢守住不发生系统性风险的底线。加强风险源头管控，将不新增隐性债务作为“铁的纪律”，强化还本付息监控力度，及时兑付不发生偿债风险，2025年我区政府债券</w:t>
      </w:r>
      <w:r>
        <w:rPr>
          <w:rFonts w:ascii="Times New Roman" w:hAnsi="Times New Roman" w:eastAsia="仿宋_GB2312" w:cs="Times New Roman"/>
          <w:b w:val="0"/>
          <w:bCs w:val="0"/>
          <w:sz w:val="32"/>
          <w:szCs w:val="32"/>
          <w:highlight w:val="none"/>
          <w:lang w:val="en-US" w:eastAsia="zh-CN"/>
        </w:rPr>
        <w:t>还本付息共计10010万元，其中：一般债券付息1522万元；专项债券还本1600万元（通过申请再融资债券偿还1400万元）、专项债券付息6888万元。</w:t>
      </w:r>
      <w:r>
        <w:rPr>
          <w:rFonts w:ascii="Times New Roman" w:hAnsi="Times New Roman" w:eastAsia="仿宋_GB2312" w:cs="Times New Roman"/>
          <w:b w:val="0"/>
          <w:bCs w:val="0"/>
          <w:sz w:val="32"/>
          <w:szCs w:val="32"/>
          <w:lang w:val="en-US" w:eastAsia="zh-CN"/>
        </w:rPr>
        <w:t>持续加强预算管理，切实提升地方政府债务风险防控能力，为经济高质量发展和提高财政可持续性奠定坚实基础。</w:t>
      </w:r>
    </w:p>
    <w:p w14:paraId="67FF9C7F">
      <w:pPr>
        <w:keepNext w:val="0"/>
        <w:keepLines w:val="0"/>
        <w:pageBreakBefore w:val="0"/>
        <w:widowControl w:val="0"/>
        <w:kinsoku/>
        <w:wordWrap/>
        <w:overflowPunct/>
        <w:topLinePunct w:val="0"/>
        <w:autoSpaceDE/>
        <w:autoSpaceDN/>
        <w:bidi w:val="0"/>
        <w:adjustRightInd/>
        <w:snapToGrid/>
        <w:spacing w:beforeAutospacing="0" w:afterAutospacing="0" w:line="600" w:lineRule="exact"/>
        <w:ind w:left="0" w:firstLine="640" w:firstLineChars="200"/>
        <w:contextualSpacing/>
        <w:textAlignment w:val="auto"/>
        <w:rPr>
          <w:rFonts w:ascii="Times New Roman" w:hAnsi="Times New Roman" w:eastAsia="仿宋_GB2312" w:cs="Times New Roman"/>
          <w:b w:val="0"/>
          <w:bCs w:val="0"/>
          <w:sz w:val="32"/>
          <w:szCs w:val="32"/>
          <w:highlight w:val="none"/>
          <w:lang w:val="en-US" w:eastAsia="zh-CN"/>
        </w:rPr>
      </w:pPr>
      <w:r>
        <w:rPr>
          <w:rFonts w:ascii="Times New Roman" w:hAnsi="Times New Roman" w:eastAsia="仿宋_GB2312" w:cs="Times New Roman"/>
          <w:b w:val="0"/>
          <w:bCs w:val="0"/>
          <w:sz w:val="32"/>
          <w:szCs w:val="32"/>
          <w:highlight w:val="none"/>
          <w:lang w:val="en-US" w:eastAsia="zh-CN"/>
        </w:rPr>
        <w:t>2025年是“十四五”规划的收官之年。回望过去的五年，面对财政形势日益艰难的困境，全区上下攻坚克难、砥砺前行，财政事业发展取得新突破。一是资产盘活成效显著。五年间，国有资产（资源）有偿使用收入分别由2021年的11830万元增加到2025年的21046万元，年均增长15.6%。二是支出结构持续优化。五年间，民生支出占比由2021年的74.12%提高到2025年的81.79%，年均增长1.53%。三是厉行节约过紧日子。五年间，三公经费支出从2021年的212万元下降至2025年的164万元，年均降幅4.5%。会议费和培训费支出分别从2021年的76万元和77万元下降至2025年的28万元和14万元，年均降幅分别为9.6%和12.6%。五年来，财政改革不断深化，制度体系不断完善，财会监督不断强化，财政理念不断优化，支出方式不断创新，财政管理更加科学，财政政策更加积极，财经纪律更加严肃。</w:t>
      </w:r>
    </w:p>
    <w:p w14:paraId="7F43F12B">
      <w:pPr>
        <w:keepNext w:val="0"/>
        <w:keepLines w:val="0"/>
        <w:pageBreakBefore w:val="0"/>
        <w:widowControl w:val="0"/>
        <w:kinsoku/>
        <w:wordWrap/>
        <w:overflowPunct/>
        <w:topLinePunct w:val="0"/>
        <w:autoSpaceDE/>
        <w:autoSpaceDN/>
        <w:bidi w:val="0"/>
        <w:adjustRightInd/>
        <w:snapToGrid/>
        <w:spacing w:beforeAutospacing="0" w:afterAutospacing="0" w:line="600" w:lineRule="exact"/>
        <w:ind w:left="0" w:firstLine="640" w:firstLineChars="200"/>
        <w:contextualSpacing/>
        <w:textAlignment w:val="auto"/>
        <w:rPr>
          <w:rFonts w:ascii="Times New Roman" w:hAnsi="Times New Roman" w:eastAsia="仿宋_GB2312" w:cs="Times New Roman"/>
          <w:b w:val="0"/>
          <w:bCs w:val="0"/>
          <w:sz w:val="32"/>
          <w:szCs w:val="32"/>
          <w:highlight w:val="none"/>
          <w:lang w:val="en-US" w:eastAsia="zh-CN"/>
        </w:rPr>
      </w:pPr>
      <w:r>
        <w:rPr>
          <w:rFonts w:ascii="Times New Roman" w:hAnsi="Times New Roman" w:eastAsia="仿宋_GB2312" w:cs="Times New Roman"/>
          <w:b w:val="0"/>
          <w:bCs w:val="0"/>
          <w:sz w:val="32"/>
          <w:szCs w:val="32"/>
          <w:highlight w:val="none"/>
          <w:lang w:val="en-US" w:eastAsia="zh-CN"/>
        </w:rPr>
        <w:t>在总结“十四五”成绩的同时，我们也清醒地看到，当前和今后一个时期，财政始终处于紧平衡状态，收支矛盾十分突出。五年间，一般公共预算收入从2021年的53667万元下降至2025年的52672万元，年均降幅为0.37%</w:t>
      </w:r>
      <w:r>
        <w:rPr>
          <w:rFonts w:hint="eastAsia" w:ascii="Times New Roman" w:hAnsi="Times New Roman" w:eastAsia="仿宋_GB2312" w:cs="Times New Roman"/>
          <w:b w:val="0"/>
          <w:bCs w:val="0"/>
          <w:sz w:val="32"/>
          <w:szCs w:val="32"/>
          <w:highlight w:val="none"/>
          <w:lang w:val="en-US" w:eastAsia="zh-CN"/>
        </w:rPr>
        <w:t>。其中税收占比从2021年的64%下降至2025年的55%，年均降幅1.8%</w:t>
      </w:r>
      <w:r>
        <w:rPr>
          <w:rFonts w:ascii="Times New Roman" w:hAnsi="Times New Roman" w:eastAsia="仿宋_GB2312" w:cs="Times New Roman"/>
          <w:b w:val="0"/>
          <w:bCs w:val="0"/>
          <w:sz w:val="32"/>
          <w:szCs w:val="32"/>
          <w:highlight w:val="none"/>
          <w:lang w:val="en-US" w:eastAsia="zh-CN"/>
        </w:rPr>
        <w:t>；国有土地使用权出让收入从2021年的23904万元下降至2025年的9281万元，年均降幅12.24%；</w:t>
      </w:r>
      <w:r>
        <w:rPr>
          <w:rFonts w:hint="eastAsia" w:ascii="Times New Roman" w:hAnsi="Times New Roman" w:eastAsia="仿宋_GB2312" w:cs="Times New Roman"/>
          <w:b w:val="0"/>
          <w:bCs w:val="0"/>
          <w:sz w:val="32"/>
          <w:szCs w:val="32"/>
          <w:highlight w:val="none"/>
          <w:lang w:val="en-US" w:eastAsia="zh-CN"/>
        </w:rPr>
        <w:t>依靠上级下达的财力转移支付资金弥补区级支出从2021年的20505万元增加到2025年的32983万元，年均增长12%；在编人员工资类的各项支出从2021年31963万元增加至2025年35176万元，年均增长2%；</w:t>
      </w:r>
      <w:r>
        <w:rPr>
          <w:rFonts w:ascii="Times New Roman" w:hAnsi="Times New Roman" w:eastAsia="仿宋_GB2312" w:cs="Times New Roman"/>
          <w:b w:val="0"/>
          <w:bCs w:val="0"/>
          <w:sz w:val="32"/>
          <w:szCs w:val="32"/>
          <w:highlight w:val="none"/>
          <w:lang w:val="en-US" w:eastAsia="zh-CN"/>
        </w:rPr>
        <w:t>政府债券付息支出从2021年的5824万元增加至2025年的8410万元，年均增长8.88%。与此同时在“十四五”即将收官、“十五五”新程待启的关键时点，</w:t>
      </w:r>
      <w:r>
        <w:rPr>
          <w:rFonts w:hint="eastAsia" w:ascii="Times New Roman" w:hAnsi="Times New Roman" w:eastAsia="仿宋_GB2312" w:cs="Times New Roman"/>
          <w:b w:val="0"/>
          <w:bCs w:val="0"/>
          <w:sz w:val="32"/>
          <w:szCs w:val="32"/>
          <w:highlight w:val="none"/>
          <w:lang w:val="en-US" w:eastAsia="zh-CN"/>
        </w:rPr>
        <w:t>中央经济工作会议</w:t>
      </w:r>
      <w:r>
        <w:rPr>
          <w:rFonts w:ascii="Times New Roman" w:hAnsi="Times New Roman" w:eastAsia="仿宋_GB2312" w:cs="Times New Roman"/>
          <w:b w:val="0"/>
          <w:bCs w:val="0"/>
          <w:sz w:val="32"/>
          <w:szCs w:val="32"/>
          <w:highlight w:val="none"/>
          <w:lang w:val="en-US" w:eastAsia="zh-CN"/>
        </w:rPr>
        <w:t>首次提出</w:t>
      </w:r>
      <w:r>
        <w:rPr>
          <w:rFonts w:hint="eastAsia" w:ascii="Times New Roman" w:hAnsi="Times New Roman" w:eastAsia="仿宋_GB2312" w:cs="Times New Roman"/>
          <w:b w:val="0"/>
          <w:bCs w:val="0"/>
          <w:sz w:val="32"/>
          <w:szCs w:val="32"/>
          <w:highlight w:val="none"/>
          <w:lang w:val="en-US" w:eastAsia="zh-CN"/>
        </w:rPr>
        <w:t>重视</w:t>
      </w:r>
      <w:r>
        <w:rPr>
          <w:rFonts w:ascii="Times New Roman" w:hAnsi="Times New Roman" w:eastAsia="仿宋_GB2312" w:cs="Times New Roman"/>
          <w:b w:val="0"/>
          <w:bCs w:val="0"/>
          <w:sz w:val="32"/>
          <w:szCs w:val="32"/>
          <w:highlight w:val="none"/>
          <w:lang w:val="en-US" w:eastAsia="zh-CN"/>
        </w:rPr>
        <w:t>解决地方财政困难，更加印证了当前财政形势异常艰难。一方面，预算管理中存在统筹力度不足、政府过紧日子意识仍需逐步增强、预算约束不够有力、资源配置使用效率有待提高等问题，影响了财政资源统筹和可持续性。另一方面，近年来土地收入“断崖式”下滑、税收增长乏力导致财政收入端萎缩，支出端教育、社保等重点刚性支出只增不减，化债压力持续攀升等进一步加剧了财政运行压力。这些问题，既是社会各界关注的热点，也是财政工作的重点和难点。接下来，我们将紧紧围绕中央、省、市、区的重大决策部署，贯彻落实好更加积极有效的财政政策，优化财政支出结构，强化重点领域财力保障，用足用好中央预算内投资、超长期特别国债、地方政府专项债券等资金，增强地方自主财力，坚持党政机关过紧日子，兜牢兜实基层“三保”底线，防范化解重大债务风险，确保财政可持续。</w:t>
      </w:r>
    </w:p>
    <w:p w14:paraId="0665ACE1">
      <w:pPr>
        <w:keepNext w:val="0"/>
        <w:keepLines w:val="0"/>
        <w:pageBreakBefore w:val="0"/>
        <w:widowControl w:val="0"/>
        <w:kinsoku/>
        <w:wordWrap/>
        <w:overflowPunct/>
        <w:topLinePunct w:val="0"/>
        <w:autoSpaceDN/>
        <w:bidi w:val="0"/>
        <w:snapToGrid/>
        <w:spacing w:beforeAutospacing="0" w:afterAutospacing="0" w:line="600" w:lineRule="exact"/>
        <w:ind w:left="0" w:firstLine="640" w:firstLineChars="200"/>
        <w:contextualSpacing/>
        <w:textAlignment w:val="auto"/>
        <w:rPr>
          <w:rFonts w:ascii="Times New Roman" w:hAnsi="Times New Roman" w:eastAsia="黑体" w:cs="Times New Roman"/>
          <w:bCs/>
          <w:sz w:val="32"/>
          <w:szCs w:val="32"/>
          <w:lang w:eastAsia="zh-CN"/>
        </w:rPr>
      </w:pPr>
      <w:r>
        <w:rPr>
          <w:rFonts w:ascii="Times New Roman" w:hAnsi="Times New Roman" w:eastAsia="黑体" w:cs="Times New Roman"/>
          <w:bCs/>
          <w:sz w:val="32"/>
          <w:szCs w:val="32"/>
          <w:lang w:eastAsia="zh-CN"/>
        </w:rPr>
        <w:t>三、202</w:t>
      </w:r>
      <w:r>
        <w:rPr>
          <w:rFonts w:ascii="Times New Roman" w:hAnsi="Times New Roman" w:eastAsia="黑体" w:cs="Times New Roman"/>
          <w:bCs/>
          <w:sz w:val="32"/>
          <w:szCs w:val="32"/>
          <w:lang w:val="en-US" w:eastAsia="zh-CN"/>
        </w:rPr>
        <w:t>6</w:t>
      </w:r>
      <w:r>
        <w:rPr>
          <w:rFonts w:ascii="Times New Roman" w:hAnsi="Times New Roman" w:eastAsia="黑体" w:cs="Times New Roman"/>
          <w:bCs/>
          <w:sz w:val="32"/>
          <w:szCs w:val="32"/>
          <w:lang w:eastAsia="zh-CN"/>
        </w:rPr>
        <w:t>年预算安排情况</w:t>
      </w:r>
    </w:p>
    <w:p w14:paraId="5F2CC653">
      <w:pPr>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left="0" w:firstLine="640" w:firstLineChars="200"/>
        <w:jc w:val="left"/>
        <w:textAlignment w:val="auto"/>
        <w:rPr>
          <w:rFonts w:ascii="Times New Roman" w:hAnsi="Times New Roman" w:eastAsia="黑体" w:cs="Times New Roman"/>
          <w:bCs/>
          <w:sz w:val="32"/>
          <w:szCs w:val="32"/>
          <w:lang w:val="en-US" w:eastAsia="zh-CN"/>
        </w:rPr>
      </w:pPr>
      <w:r>
        <w:rPr>
          <w:rFonts w:ascii="Times New Roman" w:hAnsi="Times New Roman" w:eastAsia="仿宋_GB2312" w:cs="Times New Roman"/>
          <w:sz w:val="32"/>
          <w:szCs w:val="32"/>
          <w:highlight w:val="none"/>
          <w:u w:val="none"/>
          <w:lang w:val="en-US" w:eastAsia="zh-CN"/>
        </w:rPr>
        <w:t>2026年是“十五五”规划的开局之年，做好财政工作至关重要。</w:t>
      </w:r>
      <w:r>
        <w:rPr>
          <w:rFonts w:ascii="Times New Roman" w:hAnsi="Times New Roman" w:eastAsia="仿宋_GB2312" w:cs="Times New Roman"/>
          <w:sz w:val="32"/>
          <w:szCs w:val="32"/>
          <w:lang w:val="en-US" w:eastAsia="zh-CN"/>
        </w:rPr>
        <w:t>根据全区经济运行形势，2026年预算安</w:t>
      </w:r>
      <w:r>
        <w:rPr>
          <w:rFonts w:ascii="Times New Roman" w:hAnsi="Times New Roman" w:eastAsia="仿宋_GB2312" w:cs="Times New Roman"/>
          <w:sz w:val="32"/>
          <w:szCs w:val="32"/>
        </w:rPr>
        <w:t>排和财政工作的指导思想是：</w:t>
      </w:r>
      <w:r>
        <w:rPr>
          <w:rFonts w:ascii="Times New Roman" w:hAnsi="Times New Roman" w:eastAsia="黑体" w:cs="Times New Roman"/>
          <w:bCs/>
          <w:sz w:val="32"/>
          <w:szCs w:val="32"/>
          <w:lang w:val="en-US" w:eastAsia="zh-CN"/>
        </w:rPr>
        <w:t>坚持以习近平新时代中国特色社会主义思想为指导，全面贯彻党的二十大和二十届历次全会精神，深入贯彻落实</w:t>
      </w:r>
      <w:r>
        <w:rPr>
          <w:rFonts w:hint="eastAsia" w:ascii="Times New Roman" w:hAnsi="Times New Roman" w:eastAsia="黑体" w:cs="Times New Roman"/>
          <w:bCs/>
          <w:sz w:val="32"/>
          <w:szCs w:val="32"/>
          <w:lang w:val="en-US" w:eastAsia="zh-CN"/>
        </w:rPr>
        <w:t>习近平总书记</w:t>
      </w:r>
      <w:r>
        <w:rPr>
          <w:rFonts w:ascii="Times New Roman" w:hAnsi="Times New Roman" w:eastAsia="黑体" w:cs="Times New Roman"/>
          <w:bCs/>
          <w:sz w:val="32"/>
          <w:szCs w:val="32"/>
          <w:lang w:val="en-US" w:eastAsia="zh-CN"/>
        </w:rPr>
        <w:t>视察河北、视察石家庄重要讲话和重要指示精神，认真落实各级经济工作会议决策部署和全国财政工作会议精神，按照</w:t>
      </w:r>
      <w:r>
        <w:rPr>
          <w:rFonts w:ascii="Times New Roman" w:hAnsi="Times New Roman" w:eastAsia="黑体" w:cs="Times New Roman"/>
          <w:bCs/>
          <w:sz w:val="32"/>
          <w:szCs w:val="32"/>
          <w:highlight w:val="none"/>
          <w:lang w:val="en-US" w:eastAsia="zh-CN"/>
        </w:rPr>
        <w:t>区委十二届十一次全会要</w:t>
      </w:r>
      <w:r>
        <w:rPr>
          <w:rFonts w:ascii="Times New Roman" w:hAnsi="Times New Roman" w:eastAsia="黑体" w:cs="Times New Roman"/>
          <w:bCs/>
          <w:sz w:val="32"/>
          <w:szCs w:val="32"/>
          <w:lang w:val="en-US" w:eastAsia="zh-CN"/>
        </w:rPr>
        <w:t>求，坚持稳中求进工作总基调，以推动高质量发展为主题，完整准确全面贯彻新发展理念，深入推进财政科学管理，强化财政资源和预算统筹，加强重点领域财力保障，优化财政支出结构。进一步深化财税体制改革，落实落细零基预算改革，坚持党政机关过紧日子不动摇，切实兜牢基层“三保”底线，防范化解重点领域风险，全面推动高质量财政建设，为实现“十五五”良好开局、奋力推动资源型城市高质量转型发展提供财力支撑。</w:t>
      </w:r>
    </w:p>
    <w:p w14:paraId="20B32574">
      <w:pPr>
        <w:keepNext w:val="0"/>
        <w:keepLines w:val="0"/>
        <w:pageBreakBefore w:val="0"/>
        <w:widowControl/>
        <w:kinsoku/>
        <w:wordWrap/>
        <w:overflowPunct/>
        <w:topLinePunct w:val="0"/>
        <w:autoSpaceDE w:val="0"/>
        <w:autoSpaceDN/>
        <w:bidi w:val="0"/>
        <w:adjustRightInd w:val="0"/>
        <w:snapToGrid/>
        <w:spacing w:beforeAutospacing="0" w:afterAutospacing="0" w:line="600" w:lineRule="exact"/>
        <w:ind w:left="0" w:firstLine="640" w:firstLineChars="200"/>
        <w:jc w:val="left"/>
        <w:textAlignment w:val="auto"/>
        <w:rPr>
          <w:rFonts w:ascii="Times New Roman" w:hAnsi="Times New Roman" w:eastAsia="仿宋_GB2312" w:cs="Times New Roman"/>
          <w:sz w:val="32"/>
          <w:szCs w:val="32"/>
          <w:highlight w:val="none"/>
          <w:lang w:val="en-US" w:eastAsia="zh-CN"/>
        </w:rPr>
      </w:pPr>
      <w:r>
        <w:rPr>
          <w:rFonts w:ascii="Times New Roman" w:hAnsi="Times New Roman" w:eastAsia="仿宋_GB2312" w:cs="Times New Roman"/>
          <w:sz w:val="32"/>
          <w:szCs w:val="32"/>
          <w:highlight w:val="none"/>
        </w:rPr>
        <w:t>根据上述</w:t>
      </w:r>
      <w:r>
        <w:rPr>
          <w:rFonts w:ascii="Times New Roman" w:hAnsi="Times New Roman" w:eastAsia="仿宋_GB2312" w:cs="Times New Roman"/>
          <w:sz w:val="32"/>
          <w:szCs w:val="32"/>
          <w:highlight w:val="none"/>
          <w:lang w:val="en-US" w:eastAsia="zh-CN"/>
        </w:rPr>
        <w:t>指导思想，2026年财政工作总体思路是厉行节俭，有保有压，精准施策，有效供给。预算安排坚持以下基本原则：</w:t>
      </w:r>
    </w:p>
    <w:p w14:paraId="40D95782">
      <w:pPr>
        <w:keepNext w:val="0"/>
        <w:keepLines w:val="0"/>
        <w:pageBreakBefore w:val="0"/>
        <w:kinsoku/>
        <w:wordWrap/>
        <w:overflowPunct/>
        <w:topLinePunct w:val="0"/>
        <w:autoSpaceDE w:val="0"/>
        <w:autoSpaceDN/>
        <w:bidi w:val="0"/>
        <w:snapToGrid/>
        <w:spacing w:line="600" w:lineRule="exact"/>
        <w:ind w:left="0" w:right="-86" w:rightChars="-41" w:firstLine="643" w:firstLineChars="200"/>
        <w:textAlignment w:val="auto"/>
        <w:rPr>
          <w:rFonts w:hint="eastAsia" w:ascii="仿宋" w:hAnsi="仿宋" w:eastAsia="仿宋" w:cs="仿宋"/>
          <w:kern w:val="0"/>
          <w:sz w:val="32"/>
          <w:szCs w:val="32"/>
          <w:shd w:val="clear" w:color="auto" w:fill="auto"/>
          <w:lang w:eastAsia="zh-CN"/>
        </w:rPr>
      </w:pPr>
      <w:r>
        <w:rPr>
          <w:rFonts w:eastAsia="方正楷体_GBK"/>
          <w:b/>
          <w:bCs/>
          <w:kern w:val="0"/>
          <w:sz w:val="32"/>
          <w:szCs w:val="32"/>
          <w:shd w:val="clear" w:color="auto" w:fill="auto"/>
        </w:rPr>
        <w:t>——</w:t>
      </w:r>
      <w:r>
        <w:rPr>
          <w:rFonts w:hint="eastAsia" w:ascii="楷体_GB2312" w:hAnsi="楷体_GB2312" w:eastAsia="楷体_GB2312"/>
          <w:b/>
          <w:bCs/>
          <w:kern w:val="0"/>
          <w:sz w:val="32"/>
          <w:szCs w:val="32"/>
          <w:shd w:val="clear" w:color="auto" w:fill="auto"/>
          <w:lang w:eastAsia="zh-CN"/>
        </w:rPr>
        <w:t>厉行节约</w:t>
      </w:r>
      <w:r>
        <w:rPr>
          <w:rFonts w:ascii="楷体_GB2312" w:hAnsi="楷体_GB2312" w:eastAsia="楷体_GB2312"/>
          <w:b/>
          <w:bCs/>
          <w:kern w:val="0"/>
          <w:sz w:val="32"/>
          <w:szCs w:val="32"/>
          <w:shd w:val="clear" w:color="auto" w:fill="auto"/>
        </w:rPr>
        <w:t>。</w:t>
      </w:r>
      <w:r>
        <w:rPr>
          <w:rFonts w:hint="eastAsia" w:ascii="仿宋" w:hAnsi="仿宋" w:eastAsia="仿宋" w:cs="仿宋"/>
          <w:kern w:val="0"/>
          <w:sz w:val="32"/>
          <w:szCs w:val="32"/>
          <w:shd w:val="clear" w:color="auto" w:fill="auto"/>
          <w:lang w:eastAsia="zh-CN"/>
        </w:rPr>
        <w:t>坚持党政机关习惯过紧日子，贯彻落实《党政机关厉行节约反对浪费条例》，将艰苦奋斗、勤俭节约作为预算支出安排的基本方针，从紧安排项目支出，大力压减非急需、非刚性支出，把有限的财政资金用在刀刃上、紧要处。从严控制一般性支出和“三公”经费，严格执行开支范围和标准，规范政府购买服务预算管理，严格控制竞争性领域财政投入，严格控制政府性楼堂馆所建设，严格控制和执行资产配置标准。</w:t>
      </w:r>
    </w:p>
    <w:p w14:paraId="605FDCD7">
      <w:pPr>
        <w:keepNext w:val="0"/>
        <w:keepLines w:val="0"/>
        <w:pageBreakBefore w:val="0"/>
        <w:kinsoku/>
        <w:wordWrap/>
        <w:overflowPunct/>
        <w:topLinePunct w:val="0"/>
        <w:autoSpaceDE w:val="0"/>
        <w:autoSpaceDN/>
        <w:bidi w:val="0"/>
        <w:snapToGrid/>
        <w:spacing w:line="600" w:lineRule="exact"/>
        <w:ind w:left="0" w:right="-86" w:rightChars="-41" w:firstLine="643" w:firstLineChars="200"/>
        <w:textAlignment w:val="auto"/>
        <w:rPr>
          <w:rFonts w:hint="eastAsia" w:ascii="仿宋" w:hAnsi="仿宋" w:eastAsia="仿宋" w:cs="仿宋"/>
          <w:kern w:val="0"/>
          <w:sz w:val="32"/>
          <w:szCs w:val="32"/>
          <w:shd w:val="clear" w:color="auto" w:fill="auto"/>
          <w:lang w:eastAsia="zh-CN"/>
        </w:rPr>
      </w:pPr>
      <w:r>
        <w:rPr>
          <w:rFonts w:eastAsia="方正楷体_GBK"/>
          <w:b/>
          <w:bCs/>
          <w:kern w:val="0"/>
          <w:sz w:val="32"/>
          <w:szCs w:val="32"/>
          <w:shd w:val="clear" w:color="auto" w:fill="auto"/>
        </w:rPr>
        <w:t>——</w:t>
      </w:r>
      <w:r>
        <w:rPr>
          <w:rFonts w:hint="eastAsia" w:ascii="楷体_GB2312" w:hAnsi="楷体_GB2312" w:eastAsia="楷体_GB2312"/>
          <w:b/>
          <w:bCs/>
          <w:kern w:val="0"/>
          <w:sz w:val="32"/>
          <w:szCs w:val="32"/>
          <w:shd w:val="clear" w:color="auto" w:fill="auto"/>
          <w:lang w:eastAsia="zh-CN"/>
        </w:rPr>
        <w:t>零基预算。</w:t>
      </w:r>
      <w:r>
        <w:rPr>
          <w:rFonts w:hint="eastAsia" w:ascii="仿宋" w:hAnsi="仿宋" w:eastAsia="仿宋" w:cs="仿宋"/>
          <w:kern w:val="0"/>
          <w:sz w:val="32"/>
          <w:szCs w:val="32"/>
          <w:shd w:val="clear" w:color="auto" w:fill="auto"/>
          <w:lang w:eastAsia="zh-CN"/>
        </w:rPr>
        <w:t>强化零基预算理念，打破基数概念和支出固化格局，预算编制从实际需求出发，根据项目分类及轻重缓急、绩效目标、财力可能等，重新评估论证，科学核定支出。实行项目全生命周期管理。未纳入项目库的项目原则上不安排预算。入库项目需经过充分论证和审核排序。</w:t>
      </w:r>
    </w:p>
    <w:p w14:paraId="5550F384">
      <w:pPr>
        <w:keepNext w:val="0"/>
        <w:keepLines w:val="0"/>
        <w:pageBreakBefore w:val="0"/>
        <w:widowControl/>
        <w:kinsoku/>
        <w:wordWrap/>
        <w:overflowPunct/>
        <w:topLinePunct w:val="0"/>
        <w:autoSpaceDE w:val="0"/>
        <w:autoSpaceDN/>
        <w:bidi w:val="0"/>
        <w:adjustRightInd w:val="0"/>
        <w:snapToGrid/>
        <w:spacing w:line="600" w:lineRule="exact"/>
        <w:ind w:left="0" w:firstLine="643" w:firstLineChars="200"/>
        <w:jc w:val="left"/>
        <w:textAlignment w:val="auto"/>
        <w:rPr>
          <w:rFonts w:hint="eastAsia" w:ascii="仿宋" w:hAnsi="仿宋" w:eastAsia="仿宋" w:cs="仿宋"/>
          <w:kern w:val="0"/>
          <w:sz w:val="32"/>
          <w:szCs w:val="32"/>
          <w:shd w:val="clear" w:color="auto" w:fill="auto"/>
        </w:rPr>
      </w:pPr>
      <w:r>
        <w:rPr>
          <w:rFonts w:eastAsia="方正楷体_GBK"/>
          <w:b/>
          <w:bCs/>
          <w:kern w:val="0"/>
          <w:sz w:val="32"/>
          <w:szCs w:val="32"/>
          <w:shd w:val="clear" w:color="auto" w:fill="auto"/>
        </w:rPr>
        <w:t>——</w:t>
      </w:r>
      <w:r>
        <w:rPr>
          <w:rFonts w:ascii="楷体_GB2312" w:hAnsi="楷体_GB2312" w:eastAsia="楷体_GB2312"/>
          <w:b/>
          <w:bCs/>
          <w:kern w:val="0"/>
          <w:sz w:val="32"/>
          <w:szCs w:val="32"/>
          <w:shd w:val="clear" w:color="auto" w:fill="auto"/>
        </w:rPr>
        <w:t>依法理财。</w:t>
      </w:r>
      <w:r>
        <w:rPr>
          <w:rFonts w:hint="eastAsia" w:ascii="仿宋" w:hAnsi="仿宋" w:eastAsia="仿宋" w:cs="仿宋"/>
          <w:kern w:val="0"/>
          <w:sz w:val="32"/>
          <w:szCs w:val="32"/>
          <w:shd w:val="clear" w:color="auto" w:fill="auto"/>
        </w:rPr>
        <w:t>全面落实《</w:t>
      </w:r>
      <w:r>
        <w:rPr>
          <w:rFonts w:hint="eastAsia" w:ascii="仿宋" w:hAnsi="仿宋" w:eastAsia="仿宋" w:cs="仿宋"/>
          <w:kern w:val="0"/>
          <w:sz w:val="32"/>
          <w:szCs w:val="32"/>
          <w:shd w:val="clear" w:color="auto" w:fill="auto"/>
          <w:lang w:eastAsia="zh-CN"/>
        </w:rPr>
        <w:t>中华人民共和国</w:t>
      </w:r>
      <w:r>
        <w:rPr>
          <w:rFonts w:hint="eastAsia" w:ascii="仿宋" w:hAnsi="仿宋" w:eastAsia="仿宋" w:cs="仿宋"/>
          <w:kern w:val="0"/>
          <w:sz w:val="32"/>
          <w:szCs w:val="32"/>
          <w:shd w:val="clear" w:color="auto" w:fill="auto"/>
        </w:rPr>
        <w:t>预算法》</w:t>
      </w:r>
      <w:r>
        <w:rPr>
          <w:rFonts w:hint="eastAsia" w:ascii="仿宋" w:hAnsi="仿宋" w:eastAsia="仿宋" w:cs="仿宋"/>
          <w:kern w:val="0"/>
          <w:sz w:val="32"/>
          <w:szCs w:val="32"/>
          <w:shd w:val="clear" w:color="auto" w:fill="auto"/>
          <w:lang w:eastAsia="zh-CN"/>
        </w:rPr>
        <w:t>《中华人民共和国预算法实施条例》</w:t>
      </w:r>
      <w:r>
        <w:rPr>
          <w:rFonts w:hint="eastAsia" w:ascii="仿宋" w:hAnsi="仿宋" w:eastAsia="仿宋" w:cs="仿宋"/>
          <w:kern w:val="0"/>
          <w:sz w:val="32"/>
          <w:szCs w:val="32"/>
          <w:shd w:val="clear" w:color="auto" w:fill="auto"/>
        </w:rPr>
        <w:t>等法律法规以及中央和省、市</w:t>
      </w:r>
      <w:r>
        <w:rPr>
          <w:rFonts w:hint="eastAsia" w:ascii="仿宋" w:hAnsi="仿宋" w:eastAsia="仿宋" w:cs="仿宋"/>
          <w:kern w:val="0"/>
          <w:sz w:val="32"/>
          <w:szCs w:val="32"/>
          <w:shd w:val="clear" w:color="auto" w:fill="auto"/>
          <w:lang w:eastAsia="zh-CN"/>
        </w:rPr>
        <w:t>、区</w:t>
      </w:r>
      <w:r>
        <w:rPr>
          <w:rFonts w:hint="eastAsia" w:ascii="仿宋" w:hAnsi="仿宋" w:eastAsia="仿宋" w:cs="仿宋"/>
          <w:kern w:val="0"/>
          <w:sz w:val="32"/>
          <w:szCs w:val="32"/>
          <w:shd w:val="clear" w:color="auto" w:fill="auto"/>
        </w:rPr>
        <w:t>各项政策要求，</w:t>
      </w:r>
      <w:r>
        <w:rPr>
          <w:rFonts w:hint="eastAsia" w:ascii="仿宋" w:hAnsi="仿宋" w:eastAsia="仿宋" w:cs="仿宋"/>
          <w:kern w:val="0"/>
          <w:sz w:val="32"/>
          <w:szCs w:val="32"/>
          <w:shd w:val="clear" w:color="auto" w:fill="auto"/>
          <w:lang w:eastAsia="zh-CN"/>
        </w:rPr>
        <w:t>规范理财行为。</w:t>
      </w:r>
      <w:r>
        <w:rPr>
          <w:rFonts w:hint="eastAsia" w:ascii="仿宋" w:hAnsi="仿宋" w:eastAsia="仿宋" w:cs="仿宋"/>
          <w:kern w:val="0"/>
          <w:sz w:val="32"/>
          <w:szCs w:val="32"/>
          <w:shd w:val="clear" w:color="auto" w:fill="auto"/>
        </w:rPr>
        <w:t>继续完善政府预算</w:t>
      </w:r>
      <w:r>
        <w:rPr>
          <w:rFonts w:hint="eastAsia" w:ascii="仿宋" w:hAnsi="仿宋" w:eastAsia="仿宋" w:cs="仿宋"/>
          <w:kern w:val="0"/>
          <w:sz w:val="32"/>
          <w:szCs w:val="32"/>
          <w:shd w:val="clear" w:color="auto" w:fill="auto"/>
          <w:lang w:eastAsia="zh-CN"/>
        </w:rPr>
        <w:t>管理</w:t>
      </w:r>
      <w:r>
        <w:rPr>
          <w:rFonts w:hint="eastAsia" w:ascii="仿宋" w:hAnsi="仿宋" w:eastAsia="仿宋" w:cs="仿宋"/>
          <w:kern w:val="0"/>
          <w:sz w:val="32"/>
          <w:szCs w:val="32"/>
          <w:shd w:val="clear" w:color="auto" w:fill="auto"/>
        </w:rPr>
        <w:t>体系，改进预算管理与控制方式，加强财政收支管理，</w:t>
      </w:r>
      <w:r>
        <w:rPr>
          <w:rFonts w:ascii="仿宋" w:hAnsi="仿宋" w:eastAsia="仿宋" w:cs="仿宋"/>
          <w:kern w:val="0"/>
          <w:sz w:val="32"/>
          <w:szCs w:val="32"/>
          <w:shd w:val="clear" w:color="auto" w:fill="auto"/>
        </w:rPr>
        <w:t>严格执行支</w:t>
      </w:r>
      <w:r>
        <w:rPr>
          <w:rFonts w:hint="eastAsia" w:ascii="仿宋" w:hAnsi="仿宋" w:eastAsia="仿宋" w:cs="仿宋"/>
          <w:kern w:val="0"/>
          <w:sz w:val="32"/>
          <w:szCs w:val="32"/>
          <w:shd w:val="clear" w:color="auto" w:fill="auto"/>
          <w:lang w:eastAsia="zh-CN"/>
        </w:rPr>
        <w:t>出标准和</w:t>
      </w:r>
      <w:r>
        <w:rPr>
          <w:rFonts w:ascii="仿宋" w:hAnsi="仿宋" w:eastAsia="仿宋" w:cs="仿宋"/>
          <w:kern w:val="0"/>
          <w:sz w:val="32"/>
          <w:szCs w:val="32"/>
          <w:shd w:val="clear" w:color="auto" w:fill="auto"/>
        </w:rPr>
        <w:t>范围</w:t>
      </w:r>
      <w:r>
        <w:rPr>
          <w:rFonts w:hint="eastAsia" w:ascii="仿宋" w:hAnsi="仿宋" w:eastAsia="仿宋" w:cs="仿宋"/>
          <w:kern w:val="0"/>
          <w:sz w:val="32"/>
          <w:szCs w:val="32"/>
          <w:shd w:val="clear" w:color="auto" w:fill="auto"/>
        </w:rPr>
        <w:t>，硬化预算刚性约束，加强资金监督管理，</w:t>
      </w:r>
      <w:r>
        <w:rPr>
          <w:rFonts w:hint="eastAsia" w:ascii="仿宋" w:hAnsi="仿宋" w:eastAsia="仿宋" w:cs="仿宋"/>
          <w:kern w:val="0"/>
          <w:sz w:val="32"/>
          <w:szCs w:val="32"/>
          <w:shd w:val="clear" w:color="auto" w:fill="auto"/>
          <w:lang w:eastAsia="zh-CN"/>
        </w:rPr>
        <w:t>按照政府信息公开要求，及时、准确、完整地公开预算信息，提高预算透明度，主动接受人大、审计、社会和舆论监督。</w:t>
      </w:r>
    </w:p>
    <w:p w14:paraId="0B02C627">
      <w:pPr>
        <w:keepNext w:val="0"/>
        <w:keepLines w:val="0"/>
        <w:pageBreakBefore w:val="0"/>
        <w:widowControl/>
        <w:kinsoku/>
        <w:wordWrap/>
        <w:overflowPunct/>
        <w:topLinePunct w:val="0"/>
        <w:autoSpaceDE w:val="0"/>
        <w:autoSpaceDN/>
        <w:bidi w:val="0"/>
        <w:adjustRightInd w:val="0"/>
        <w:snapToGrid/>
        <w:spacing w:line="600" w:lineRule="exact"/>
        <w:ind w:left="0" w:firstLine="643" w:firstLineChars="200"/>
        <w:jc w:val="left"/>
        <w:textAlignment w:val="auto"/>
        <w:rPr>
          <w:rFonts w:hint="eastAsia" w:ascii="仿宋" w:hAnsi="仿宋" w:eastAsia="仿宋" w:cs="仿宋"/>
          <w:kern w:val="0"/>
          <w:sz w:val="32"/>
          <w:szCs w:val="32"/>
          <w:shd w:val="clear" w:color="auto" w:fill="auto"/>
        </w:rPr>
      </w:pPr>
      <w:r>
        <w:rPr>
          <w:rFonts w:eastAsia="方正楷体_GBK"/>
          <w:b/>
          <w:bCs/>
          <w:kern w:val="0"/>
          <w:sz w:val="32"/>
          <w:szCs w:val="32"/>
          <w:shd w:val="clear" w:color="auto" w:fill="auto"/>
        </w:rPr>
        <w:t>——</w:t>
      </w:r>
      <w:r>
        <w:rPr>
          <w:rFonts w:hint="eastAsia" w:eastAsia="楷体_GB2312"/>
          <w:b/>
          <w:bCs/>
          <w:sz w:val="32"/>
          <w:szCs w:val="32"/>
          <w:shd w:val="clear" w:color="auto" w:fill="auto"/>
          <w:lang w:eastAsia="zh-CN"/>
        </w:rPr>
        <w:t>强化</w:t>
      </w:r>
      <w:r>
        <w:rPr>
          <w:rFonts w:hint="eastAsia" w:eastAsia="楷体_GB2312"/>
          <w:b/>
          <w:bCs/>
          <w:sz w:val="32"/>
          <w:szCs w:val="32"/>
          <w:shd w:val="clear" w:color="auto" w:fill="auto"/>
        </w:rPr>
        <w:t>统筹。</w:t>
      </w:r>
      <w:r>
        <w:rPr>
          <w:rFonts w:hint="eastAsia" w:ascii="仿宋" w:hAnsi="仿宋" w:eastAsia="仿宋" w:cs="仿宋"/>
          <w:kern w:val="0"/>
          <w:sz w:val="32"/>
          <w:szCs w:val="32"/>
          <w:shd w:val="clear" w:color="auto" w:fill="auto"/>
        </w:rPr>
        <w:t>加大政府预算统筹力度，</w:t>
      </w:r>
      <w:r>
        <w:rPr>
          <w:rFonts w:hint="eastAsia" w:ascii="仿宋" w:hAnsi="仿宋" w:eastAsia="仿宋" w:cs="仿宋"/>
          <w:i w:val="0"/>
          <w:caps w:val="0"/>
          <w:smallCaps w:val="0"/>
          <w:color w:val="000000"/>
          <w:spacing w:val="0"/>
          <w:kern w:val="0"/>
          <w:sz w:val="32"/>
          <w:szCs w:val="32"/>
          <w:shd w:val="clear" w:color="auto" w:fill="auto"/>
          <w:lang w:val="en-US" w:eastAsia="zh-CN"/>
        </w:rPr>
        <w:t>将本级收入、上级补助、调入资金、政府债务收入，以及清理盘活的存量资金资产等全部纳入政府预算范围。</w:t>
      </w:r>
      <w:r>
        <w:rPr>
          <w:rFonts w:hint="eastAsia" w:ascii="仿宋" w:hAnsi="仿宋" w:eastAsia="仿宋" w:cs="仿宋"/>
          <w:kern w:val="0"/>
          <w:sz w:val="32"/>
          <w:szCs w:val="32"/>
          <w:shd w:val="clear" w:color="auto" w:fill="auto"/>
        </w:rPr>
        <w:t>加强部门预算收入统筹安排，</w:t>
      </w:r>
      <w:r>
        <w:rPr>
          <w:rFonts w:hint="eastAsia" w:ascii="仿宋" w:hAnsi="仿宋" w:eastAsia="仿宋" w:cs="仿宋"/>
          <w:i w:val="0"/>
          <w:caps w:val="0"/>
          <w:smallCaps w:val="0"/>
          <w:color w:val="000000"/>
          <w:spacing w:val="0"/>
          <w:kern w:val="0"/>
          <w:sz w:val="32"/>
          <w:szCs w:val="32"/>
          <w:shd w:val="clear" w:color="auto" w:fill="auto"/>
          <w:lang w:val="en-US" w:eastAsia="zh-CN"/>
        </w:rPr>
        <w:t>各部门和单位要依法依规将取得的各类收入全部纳入部门或单位预算。</w:t>
      </w:r>
      <w:r>
        <w:rPr>
          <w:rFonts w:hint="eastAsia" w:ascii="仿宋" w:hAnsi="仿宋" w:eastAsia="仿宋" w:cs="仿宋"/>
          <w:kern w:val="0"/>
          <w:sz w:val="32"/>
          <w:szCs w:val="32"/>
          <w:shd w:val="clear" w:color="auto" w:fill="auto"/>
        </w:rPr>
        <w:t>强化存量资源统筹使用，盘活财政存量资金，强化资产配置与资产使用、处置的统筹管理。</w:t>
      </w:r>
    </w:p>
    <w:p w14:paraId="1F646E81">
      <w:pPr>
        <w:keepNext w:val="0"/>
        <w:keepLines w:val="0"/>
        <w:pageBreakBefore w:val="0"/>
        <w:widowControl/>
        <w:kinsoku/>
        <w:wordWrap/>
        <w:overflowPunct/>
        <w:topLinePunct w:val="0"/>
        <w:autoSpaceDE w:val="0"/>
        <w:autoSpaceDN/>
        <w:bidi w:val="0"/>
        <w:adjustRightInd w:val="0"/>
        <w:snapToGrid/>
        <w:spacing w:line="600" w:lineRule="exact"/>
        <w:ind w:left="0" w:firstLine="643" w:firstLineChars="200"/>
        <w:jc w:val="left"/>
        <w:textAlignment w:val="auto"/>
        <w:rPr>
          <w:rFonts w:hint="eastAsia" w:ascii="仿宋" w:hAnsi="仿宋" w:eastAsia="仿宋" w:cs="仿宋"/>
          <w:sz w:val="32"/>
          <w:szCs w:val="32"/>
          <w:highlight w:val="none"/>
        </w:rPr>
      </w:pPr>
      <w:r>
        <w:rPr>
          <w:rFonts w:eastAsia="楷体_GB2312"/>
          <w:b/>
          <w:bCs/>
          <w:kern w:val="0"/>
          <w:sz w:val="32"/>
          <w:szCs w:val="32"/>
          <w:shd w:val="clear" w:color="auto" w:fill="auto"/>
        </w:rPr>
        <w:t>——</w:t>
      </w:r>
      <w:r>
        <w:rPr>
          <w:rFonts w:ascii="楷体_GB2312" w:hAnsi="楷体_GB2312" w:eastAsia="楷体_GB2312"/>
          <w:b/>
          <w:bCs/>
          <w:kern w:val="0"/>
          <w:sz w:val="32"/>
          <w:szCs w:val="32"/>
          <w:shd w:val="clear" w:color="auto" w:fill="auto"/>
        </w:rPr>
        <w:t>讲求绩效。</w:t>
      </w:r>
      <w:r>
        <w:rPr>
          <w:rFonts w:hint="eastAsia" w:ascii="仿宋" w:hAnsi="仿宋" w:eastAsia="仿宋" w:cs="仿宋"/>
          <w:sz w:val="32"/>
          <w:szCs w:val="32"/>
          <w:highlight w:val="none"/>
          <w:lang w:eastAsia="zh-CN"/>
        </w:rPr>
        <w:t>将绩效理念和方法深度融入预算编制全过程。落实部门预算和单位绩效管理主体责任，各部门和单位要科学设定部门整体绩效目标、专项资金绩效目标和预算项目绩效目标，突出核心产出和效果，未按要求设定绩效目标或审核未通过的，不予安排预算。对拟新出台的政策和新申请预算的项目要开展事前绩效评估，评估结果作为申请预算的必要条件。强化绩效评价结果和预算安排的有机衔接，坚决削减无效、低效支出。</w:t>
      </w:r>
    </w:p>
    <w:p w14:paraId="5CE4FF53">
      <w:pPr>
        <w:keepNext w:val="0"/>
        <w:keepLines w:val="0"/>
        <w:pageBreakBefore w:val="0"/>
        <w:widowControl/>
        <w:kinsoku/>
        <w:wordWrap/>
        <w:overflowPunct/>
        <w:topLinePunct w:val="0"/>
        <w:autoSpaceDE w:val="0"/>
        <w:autoSpaceDN/>
        <w:bidi w:val="0"/>
        <w:adjustRightInd w:val="0"/>
        <w:snapToGrid/>
        <w:spacing w:line="600" w:lineRule="exact"/>
        <w:ind w:left="0" w:firstLine="643" w:firstLineChars="200"/>
        <w:jc w:val="left"/>
        <w:textAlignment w:val="auto"/>
        <w:rPr>
          <w:rFonts w:hint="eastAsia" w:ascii="仿宋" w:hAnsi="仿宋" w:eastAsia="仿宋" w:cs="仿宋"/>
          <w:kern w:val="0"/>
          <w:sz w:val="32"/>
          <w:szCs w:val="32"/>
          <w:shd w:val="clear" w:color="auto" w:fill="auto"/>
        </w:rPr>
      </w:pPr>
      <w:r>
        <w:rPr>
          <w:rFonts w:eastAsia="方正楷体_GBK"/>
          <w:b/>
          <w:bCs/>
          <w:kern w:val="0"/>
          <w:sz w:val="32"/>
          <w:szCs w:val="32"/>
          <w:shd w:val="clear" w:color="auto" w:fill="auto"/>
        </w:rPr>
        <w:t>——</w:t>
      </w:r>
      <w:r>
        <w:rPr>
          <w:rFonts w:hint="eastAsia" w:ascii="楷体_GB2312" w:hAnsi="楷体_GB2312" w:eastAsia="楷体_GB2312"/>
          <w:b/>
          <w:bCs/>
          <w:kern w:val="0"/>
          <w:sz w:val="32"/>
          <w:szCs w:val="32"/>
          <w:shd w:val="clear" w:color="auto" w:fill="auto"/>
          <w:lang w:eastAsia="zh-CN"/>
        </w:rPr>
        <w:t>保障重点</w:t>
      </w:r>
      <w:r>
        <w:rPr>
          <w:rFonts w:ascii="楷体_GB2312" w:hAnsi="楷体_GB2312" w:eastAsia="楷体_GB2312"/>
          <w:b/>
          <w:bCs/>
          <w:kern w:val="0"/>
          <w:sz w:val="32"/>
          <w:szCs w:val="32"/>
          <w:shd w:val="clear" w:color="auto" w:fill="auto"/>
        </w:rPr>
        <w:t>。</w:t>
      </w:r>
      <w:r>
        <w:rPr>
          <w:rFonts w:hint="eastAsia" w:ascii="仿宋" w:hAnsi="仿宋" w:eastAsia="仿宋" w:cs="仿宋"/>
          <w:i w:val="0"/>
          <w:caps w:val="0"/>
          <w:smallCaps w:val="0"/>
          <w:color w:val="000000"/>
          <w:spacing w:val="0"/>
          <w:kern w:val="0"/>
          <w:sz w:val="32"/>
          <w:szCs w:val="32"/>
          <w:shd w:val="clear" w:color="auto" w:fill="auto"/>
          <w:lang w:val="en-US" w:eastAsia="zh-CN"/>
        </w:rPr>
        <w:t>预算安排要统筹兼顾、突出重点，深入贯彻党的路线方针政策，将落实区委、区政府决策部署作为首要任务。优化项目支出安排，</w:t>
      </w:r>
      <w:r>
        <w:rPr>
          <w:rFonts w:hint="eastAsia" w:ascii="仿宋" w:hAnsi="仿宋" w:eastAsia="仿宋" w:cs="仿宋"/>
          <w:kern w:val="0"/>
          <w:sz w:val="32"/>
          <w:szCs w:val="32"/>
          <w:shd w:val="clear" w:color="auto" w:fill="auto"/>
          <w:lang w:eastAsia="zh-CN"/>
        </w:rPr>
        <w:t>坚持</w:t>
      </w:r>
      <w:r>
        <w:rPr>
          <w:rFonts w:ascii="仿宋" w:hAnsi="仿宋" w:eastAsia="仿宋" w:cs="仿宋"/>
          <w:kern w:val="0"/>
          <w:sz w:val="32"/>
          <w:szCs w:val="32"/>
          <w:shd w:val="clear" w:color="auto" w:fill="auto"/>
        </w:rPr>
        <w:t>“</w:t>
      </w:r>
      <w:r>
        <w:rPr>
          <w:rFonts w:hint="eastAsia" w:ascii="仿宋" w:hAnsi="仿宋" w:eastAsia="仿宋" w:cs="仿宋"/>
          <w:kern w:val="0"/>
          <w:sz w:val="32"/>
          <w:szCs w:val="32"/>
          <w:shd w:val="clear" w:color="auto" w:fill="auto"/>
        </w:rPr>
        <w:t>三保</w:t>
      </w:r>
      <w:r>
        <w:rPr>
          <w:rFonts w:ascii="仿宋" w:hAnsi="仿宋" w:eastAsia="仿宋" w:cs="仿宋"/>
          <w:kern w:val="0"/>
          <w:sz w:val="32"/>
          <w:szCs w:val="32"/>
          <w:shd w:val="clear" w:color="auto" w:fill="auto"/>
        </w:rPr>
        <w:t>”</w:t>
      </w:r>
      <w:r>
        <w:rPr>
          <w:rFonts w:hint="eastAsia" w:ascii="仿宋" w:hAnsi="仿宋" w:eastAsia="仿宋" w:cs="仿宋"/>
          <w:kern w:val="0"/>
          <w:sz w:val="32"/>
          <w:szCs w:val="32"/>
          <w:shd w:val="clear" w:color="auto" w:fill="auto"/>
          <w:lang w:eastAsia="zh-CN"/>
        </w:rPr>
        <w:t>支出在财政支出中的优先顺序</w:t>
      </w:r>
      <w:r>
        <w:rPr>
          <w:rFonts w:ascii="仿宋" w:hAnsi="仿宋" w:eastAsia="仿宋" w:cs="仿宋"/>
          <w:kern w:val="0"/>
          <w:sz w:val="32"/>
          <w:szCs w:val="32"/>
          <w:shd w:val="clear" w:color="auto" w:fill="auto"/>
        </w:rPr>
        <w:t>，</w:t>
      </w:r>
      <w:r>
        <w:rPr>
          <w:rFonts w:hint="eastAsia" w:ascii="仿宋" w:hAnsi="仿宋" w:eastAsia="仿宋" w:cs="仿宋"/>
          <w:kern w:val="0"/>
          <w:sz w:val="32"/>
          <w:szCs w:val="32"/>
          <w:shd w:val="clear" w:color="auto" w:fill="auto"/>
          <w:lang w:eastAsia="zh-CN"/>
        </w:rPr>
        <w:t>做好“三保”保障工作，</w:t>
      </w:r>
      <w:r>
        <w:rPr>
          <w:rFonts w:hint="eastAsia" w:ascii="仿宋" w:hAnsi="仿宋" w:eastAsia="仿宋" w:cs="仿宋"/>
          <w:kern w:val="0"/>
          <w:sz w:val="32"/>
          <w:szCs w:val="32"/>
          <w:shd w:val="clear" w:color="auto" w:fill="auto"/>
        </w:rPr>
        <w:t>着力保障</w:t>
      </w:r>
      <w:r>
        <w:rPr>
          <w:rFonts w:hint="eastAsia" w:ascii="仿宋" w:hAnsi="仿宋" w:eastAsia="仿宋" w:cs="仿宋"/>
          <w:kern w:val="0"/>
          <w:sz w:val="32"/>
          <w:szCs w:val="32"/>
          <w:shd w:val="clear" w:color="auto" w:fill="auto"/>
          <w:lang w:eastAsia="zh-CN"/>
        </w:rPr>
        <w:t>科技创新、民生改善、现代化产业发展、乡村振兴等重点工作开展。</w:t>
      </w:r>
    </w:p>
    <w:p w14:paraId="729582D0">
      <w:pPr>
        <w:keepNext w:val="0"/>
        <w:keepLines w:val="0"/>
        <w:pageBreakBefore w:val="0"/>
        <w:widowControl/>
        <w:suppressLineNumbers w:val="0"/>
        <w:kinsoku/>
        <w:wordWrap/>
        <w:overflowPunct/>
        <w:topLinePunct w:val="0"/>
        <w:autoSpaceDE/>
        <w:autoSpaceDN/>
        <w:bidi w:val="0"/>
        <w:adjustRightInd w:val="0"/>
        <w:snapToGrid/>
        <w:spacing w:beforeAutospacing="0" w:afterAutospacing="0" w:line="600" w:lineRule="exact"/>
        <w:ind w:left="0" w:firstLine="643" w:firstLineChars="200"/>
        <w:jc w:val="left"/>
        <w:textAlignment w:val="auto"/>
        <w:rPr>
          <w:rFonts w:ascii="Times New Roman" w:hAnsi="Times New Roman" w:eastAsia="仿宋_GB2312" w:cs="Times New Roman"/>
          <w:color w:val="auto"/>
          <w:kern w:val="0"/>
          <w:sz w:val="32"/>
          <w:szCs w:val="32"/>
          <w:highlight w:val="none"/>
          <w:shd w:val="clear" w:color="auto" w:fill="auto"/>
          <w:lang w:val="en-US" w:eastAsia="zh-CN"/>
        </w:rPr>
      </w:pPr>
      <w:r>
        <w:rPr>
          <w:rFonts w:eastAsia="方正楷体_GBK"/>
          <w:b/>
          <w:bCs/>
          <w:kern w:val="0"/>
          <w:sz w:val="32"/>
          <w:szCs w:val="32"/>
          <w:shd w:val="clear" w:color="auto" w:fill="auto"/>
        </w:rPr>
        <w:t>——</w:t>
      </w:r>
      <w:r>
        <w:rPr>
          <w:rFonts w:hint="eastAsia" w:ascii="楷体_GB2312" w:hAnsi="楷体_GB2312" w:eastAsia="楷体_GB2312"/>
          <w:b/>
          <w:bCs/>
          <w:kern w:val="0"/>
          <w:sz w:val="32"/>
          <w:szCs w:val="32"/>
          <w:shd w:val="clear" w:color="auto" w:fill="auto"/>
          <w:lang w:eastAsia="zh-CN"/>
        </w:rPr>
        <w:t>防控风险</w:t>
      </w:r>
      <w:r>
        <w:rPr>
          <w:rFonts w:ascii="楷体_GB2312" w:hAnsi="楷体_GB2312" w:eastAsia="楷体_GB2312"/>
          <w:b/>
          <w:bCs/>
          <w:kern w:val="0"/>
          <w:sz w:val="32"/>
          <w:szCs w:val="32"/>
          <w:shd w:val="clear" w:color="auto" w:fill="auto"/>
        </w:rPr>
        <w:t>。</w:t>
      </w:r>
      <w:r>
        <w:rPr>
          <w:rFonts w:hint="eastAsia" w:ascii="仿宋" w:hAnsi="仿宋" w:eastAsia="仿宋" w:cs="仿宋"/>
          <w:kern w:val="0"/>
          <w:sz w:val="32"/>
          <w:szCs w:val="32"/>
          <w:shd w:val="clear" w:color="auto" w:fill="auto"/>
          <w:lang w:eastAsia="zh-CN"/>
        </w:rPr>
        <w:t>强化政府债务预算管理，足额安排债务还本付息支出，严格规范政府举债融资行为，坚决遏制隐性债务增量，稳妥化解存量债务，确保债务风险可控。在安排重大支出政策和项目时，进行财政承受能力和中长期财政可持续性评估，防止超越发展阶段和财力可能盲目提高支出标准或扩大范围。</w:t>
      </w:r>
    </w:p>
    <w:p w14:paraId="365E4C28">
      <w:pPr>
        <w:keepNext w:val="0"/>
        <w:keepLines w:val="0"/>
        <w:pageBreakBefore w:val="0"/>
        <w:widowControl w:val="0"/>
        <w:kinsoku/>
        <w:wordWrap/>
        <w:overflowPunct/>
        <w:topLinePunct w:val="0"/>
        <w:autoSpaceDN/>
        <w:bidi w:val="0"/>
        <w:snapToGrid/>
        <w:spacing w:beforeAutospacing="0" w:afterAutospacing="0" w:line="600" w:lineRule="exact"/>
        <w:ind w:left="0" w:firstLine="643" w:firstLineChars="200"/>
        <w:contextualSpacing/>
        <w:textAlignment w:val="auto"/>
        <w:rPr>
          <w:rFonts w:ascii="Times New Roman" w:hAnsi="Times New Roman" w:eastAsia="楷体_GB2312" w:cs="Times New Roman"/>
          <w:b/>
          <w:bCs w:val="0"/>
          <w:sz w:val="32"/>
          <w:szCs w:val="32"/>
          <w:highlight w:val="none"/>
          <w:lang w:val="en-US" w:eastAsia="zh-CN"/>
        </w:rPr>
      </w:pPr>
      <w:r>
        <w:rPr>
          <w:rFonts w:ascii="Times New Roman" w:hAnsi="Times New Roman" w:eastAsia="楷体_GB2312" w:cs="Times New Roman"/>
          <w:b/>
          <w:bCs w:val="0"/>
          <w:sz w:val="32"/>
          <w:szCs w:val="32"/>
          <w:highlight w:val="none"/>
          <w:lang w:val="en-US" w:eastAsia="zh-CN"/>
        </w:rPr>
        <w:t>（一）一般公共预算</w:t>
      </w:r>
    </w:p>
    <w:p w14:paraId="231ACBB6">
      <w:pPr>
        <w:keepNext w:val="0"/>
        <w:keepLines w:val="0"/>
        <w:pageBreakBefore w:val="0"/>
        <w:widowControl w:val="0"/>
        <w:kinsoku/>
        <w:wordWrap/>
        <w:overflowPunct/>
        <w:topLinePunct w:val="0"/>
        <w:autoSpaceDE/>
        <w:autoSpaceDN/>
        <w:bidi w:val="0"/>
        <w:adjustRightInd/>
        <w:snapToGrid/>
        <w:spacing w:beforeAutospacing="0" w:afterAutospacing="0" w:line="600" w:lineRule="exact"/>
        <w:ind w:left="0" w:firstLine="643" w:firstLineChars="200"/>
        <w:contextualSpacing/>
        <w:textAlignment w:val="auto"/>
        <w:rPr>
          <w:rFonts w:ascii="Times New Roman" w:hAnsi="Times New Roman" w:eastAsia="仿宋_GB2312" w:cs="Times New Roman"/>
          <w:b/>
          <w:bCs/>
          <w:sz w:val="32"/>
          <w:szCs w:val="32"/>
          <w:highlight w:val="none"/>
        </w:rPr>
      </w:pPr>
      <w:r>
        <w:rPr>
          <w:rFonts w:ascii="Times New Roman" w:hAnsi="Times New Roman" w:eastAsia="仿宋_GB2312" w:cs="Times New Roman"/>
          <w:b/>
          <w:bCs/>
          <w:sz w:val="32"/>
          <w:szCs w:val="32"/>
          <w:highlight w:val="none"/>
        </w:rPr>
        <w:t>1</w:t>
      </w:r>
      <w:r>
        <w:rPr>
          <w:rFonts w:ascii="Times New Roman" w:hAnsi="Times New Roman" w:eastAsia="仿宋_GB2312" w:cs="Times New Roman"/>
          <w:b/>
          <w:bCs/>
          <w:sz w:val="32"/>
          <w:szCs w:val="32"/>
          <w:highlight w:val="none"/>
          <w:lang w:eastAsia="zh-CN"/>
        </w:rPr>
        <w:t>.</w:t>
      </w:r>
      <w:r>
        <w:rPr>
          <w:rFonts w:ascii="Times New Roman" w:hAnsi="Times New Roman" w:eastAsia="仿宋_GB2312" w:cs="Times New Roman"/>
          <w:b/>
          <w:bCs/>
          <w:sz w:val="32"/>
          <w:szCs w:val="32"/>
          <w:highlight w:val="none"/>
        </w:rPr>
        <w:t>全区一般公共预算</w:t>
      </w:r>
    </w:p>
    <w:p w14:paraId="50EFC371">
      <w:pPr>
        <w:keepNext w:val="0"/>
        <w:keepLines w:val="0"/>
        <w:pageBreakBefore w:val="0"/>
        <w:widowControl w:val="0"/>
        <w:kinsoku/>
        <w:wordWrap/>
        <w:overflowPunct/>
        <w:topLinePunct w:val="0"/>
        <w:autoSpaceDE/>
        <w:autoSpaceDN/>
        <w:bidi w:val="0"/>
        <w:adjustRightInd/>
        <w:snapToGrid/>
        <w:spacing w:beforeAutospacing="0" w:afterAutospacing="0" w:line="600" w:lineRule="exact"/>
        <w:ind w:left="0" w:firstLine="640" w:firstLineChars="200"/>
        <w:contextualSpacing/>
        <w:textAlignment w:val="auto"/>
        <w:rPr>
          <w:rFonts w:ascii="Times New Roman" w:hAnsi="Times New Roman" w:eastAsia="仿宋_GB2312" w:cs="Times New Roman"/>
          <w:sz w:val="32"/>
          <w:szCs w:val="32"/>
          <w:highlight w:val="none"/>
          <w:lang w:val="en-US" w:eastAsia="zh-CN"/>
        </w:rPr>
      </w:pPr>
      <w:r>
        <w:rPr>
          <w:rFonts w:ascii="Times New Roman" w:hAnsi="Times New Roman" w:eastAsia="仿宋_GB2312" w:cs="Times New Roman"/>
          <w:sz w:val="32"/>
          <w:szCs w:val="32"/>
          <w:highlight w:val="none"/>
          <w:lang w:val="en-US" w:eastAsia="zh-CN"/>
        </w:rPr>
        <w:t>2026年，全区一般公共预算收入安排55310万元，比上年增长5%，其中：税收收入安排32310万元，非税收入安排23000万元；上级补助收入33342万元；上年债券结转974万元；上年专项结转</w:t>
      </w:r>
      <w:r>
        <w:rPr>
          <w:rFonts w:hint="eastAsia" w:ascii="Times New Roman" w:hAnsi="Times New Roman" w:eastAsia="仿宋_GB2312" w:cs="Times New Roman"/>
          <w:sz w:val="32"/>
          <w:szCs w:val="32"/>
          <w:highlight w:val="none"/>
          <w:lang w:val="en-US" w:eastAsia="zh-CN"/>
        </w:rPr>
        <w:t>5059</w:t>
      </w:r>
      <w:r>
        <w:rPr>
          <w:rFonts w:ascii="Times New Roman" w:hAnsi="Times New Roman" w:eastAsia="仿宋_GB2312" w:cs="Times New Roman"/>
          <w:sz w:val="32"/>
          <w:szCs w:val="32"/>
          <w:highlight w:val="none"/>
          <w:lang w:val="en-US" w:eastAsia="zh-CN"/>
        </w:rPr>
        <w:t>万元；动用预算稳定调节基金</w:t>
      </w:r>
      <w:r>
        <w:rPr>
          <w:rFonts w:hint="eastAsia" w:ascii="Times New Roman" w:hAnsi="Times New Roman" w:eastAsia="仿宋_GB2312" w:cs="Times New Roman"/>
          <w:sz w:val="32"/>
          <w:szCs w:val="32"/>
          <w:highlight w:val="none"/>
          <w:lang w:val="en-US" w:eastAsia="zh-CN"/>
        </w:rPr>
        <w:t>5450</w:t>
      </w:r>
      <w:r>
        <w:rPr>
          <w:rFonts w:ascii="Times New Roman" w:hAnsi="Times New Roman" w:eastAsia="仿宋_GB2312" w:cs="Times New Roman"/>
          <w:sz w:val="32"/>
          <w:szCs w:val="32"/>
          <w:highlight w:val="none"/>
          <w:lang w:val="en-US" w:eastAsia="zh-CN"/>
        </w:rPr>
        <w:t>万元；调入资金2308</w:t>
      </w:r>
      <w:r>
        <w:rPr>
          <w:rFonts w:hint="eastAsia" w:ascii="Times New Roman" w:hAnsi="Times New Roman" w:eastAsia="仿宋_GB2312" w:cs="Times New Roman"/>
          <w:sz w:val="32"/>
          <w:szCs w:val="32"/>
          <w:highlight w:val="none"/>
          <w:lang w:val="en-US" w:eastAsia="zh-CN"/>
        </w:rPr>
        <w:t>6</w:t>
      </w:r>
      <w:r>
        <w:rPr>
          <w:rFonts w:ascii="Times New Roman" w:hAnsi="Times New Roman" w:eastAsia="仿宋_GB2312" w:cs="Times New Roman"/>
          <w:sz w:val="32"/>
          <w:szCs w:val="32"/>
          <w:highlight w:val="none"/>
          <w:lang w:val="en-US" w:eastAsia="zh-CN"/>
        </w:rPr>
        <w:t>万元；收入总计123</w:t>
      </w:r>
      <w:r>
        <w:rPr>
          <w:rFonts w:hint="eastAsia" w:ascii="Times New Roman" w:hAnsi="Times New Roman" w:eastAsia="仿宋_GB2312" w:cs="Times New Roman"/>
          <w:sz w:val="32"/>
          <w:szCs w:val="32"/>
          <w:highlight w:val="none"/>
          <w:lang w:val="en-US" w:eastAsia="zh-CN"/>
        </w:rPr>
        <w:t>221</w:t>
      </w:r>
      <w:r>
        <w:rPr>
          <w:rFonts w:ascii="Times New Roman" w:hAnsi="Times New Roman" w:eastAsia="仿宋_GB2312" w:cs="Times New Roman"/>
          <w:sz w:val="32"/>
          <w:szCs w:val="32"/>
          <w:highlight w:val="none"/>
          <w:lang w:val="en-US" w:eastAsia="zh-CN"/>
        </w:rPr>
        <w:t>万元。</w:t>
      </w:r>
    </w:p>
    <w:p w14:paraId="0DC19D84">
      <w:pPr>
        <w:keepNext w:val="0"/>
        <w:keepLines w:val="0"/>
        <w:pageBreakBefore w:val="0"/>
        <w:widowControl w:val="0"/>
        <w:kinsoku/>
        <w:wordWrap/>
        <w:overflowPunct/>
        <w:topLinePunct w:val="0"/>
        <w:autoSpaceDE/>
        <w:autoSpaceDN/>
        <w:bidi w:val="0"/>
        <w:adjustRightInd/>
        <w:snapToGrid/>
        <w:spacing w:beforeAutospacing="0" w:afterAutospacing="0" w:line="600" w:lineRule="exact"/>
        <w:ind w:left="0" w:firstLine="640" w:firstLineChars="200"/>
        <w:contextualSpacing/>
        <w:textAlignment w:val="auto"/>
        <w:rPr>
          <w:rFonts w:ascii="Times New Roman" w:hAnsi="Times New Roman" w:eastAsia="仿宋_GB2312" w:cs="Times New Roman"/>
          <w:sz w:val="32"/>
          <w:szCs w:val="32"/>
          <w:highlight w:val="none"/>
          <w:lang w:val="en-US" w:eastAsia="zh-CN"/>
        </w:rPr>
      </w:pPr>
      <w:r>
        <w:rPr>
          <w:rFonts w:ascii="Times New Roman" w:hAnsi="Times New Roman" w:eastAsia="仿宋_GB2312" w:cs="Times New Roman"/>
          <w:sz w:val="32"/>
          <w:szCs w:val="32"/>
          <w:highlight w:val="none"/>
          <w:lang w:val="en-US" w:eastAsia="zh-CN"/>
        </w:rPr>
        <w:t>2026年，全区一般公共预算支出安排11</w:t>
      </w:r>
      <w:r>
        <w:rPr>
          <w:rFonts w:hint="eastAsia" w:ascii="Times New Roman" w:hAnsi="Times New Roman" w:eastAsia="仿宋_GB2312" w:cs="Times New Roman"/>
          <w:sz w:val="32"/>
          <w:szCs w:val="32"/>
          <w:highlight w:val="none"/>
          <w:lang w:val="en-US" w:eastAsia="zh-CN"/>
        </w:rPr>
        <w:t>7621</w:t>
      </w:r>
      <w:r>
        <w:rPr>
          <w:rFonts w:ascii="Times New Roman" w:hAnsi="Times New Roman" w:eastAsia="仿宋_GB2312" w:cs="Times New Roman"/>
          <w:sz w:val="32"/>
          <w:szCs w:val="32"/>
          <w:highlight w:val="none"/>
          <w:lang w:val="en-US" w:eastAsia="zh-CN"/>
        </w:rPr>
        <w:t>万元；上解上级支出5600万元；支出总计123</w:t>
      </w:r>
      <w:r>
        <w:rPr>
          <w:rFonts w:hint="eastAsia" w:ascii="Times New Roman" w:hAnsi="Times New Roman" w:eastAsia="仿宋_GB2312" w:cs="Times New Roman"/>
          <w:sz w:val="32"/>
          <w:szCs w:val="32"/>
          <w:highlight w:val="none"/>
          <w:lang w:val="en-US" w:eastAsia="zh-CN"/>
        </w:rPr>
        <w:t>221</w:t>
      </w:r>
      <w:r>
        <w:rPr>
          <w:rFonts w:ascii="Times New Roman" w:hAnsi="Times New Roman" w:eastAsia="仿宋_GB2312" w:cs="Times New Roman"/>
          <w:sz w:val="32"/>
          <w:szCs w:val="32"/>
          <w:highlight w:val="none"/>
          <w:lang w:val="en-US" w:eastAsia="zh-CN"/>
        </w:rPr>
        <w:t>万元。</w:t>
      </w:r>
    </w:p>
    <w:p w14:paraId="1A80BF61">
      <w:pPr>
        <w:keepNext w:val="0"/>
        <w:keepLines w:val="0"/>
        <w:pageBreakBefore w:val="0"/>
        <w:widowControl w:val="0"/>
        <w:kinsoku/>
        <w:wordWrap/>
        <w:overflowPunct/>
        <w:topLinePunct w:val="0"/>
        <w:autoSpaceDE/>
        <w:autoSpaceDN/>
        <w:bidi w:val="0"/>
        <w:adjustRightInd/>
        <w:snapToGrid/>
        <w:spacing w:beforeAutospacing="0" w:afterAutospacing="0" w:line="600" w:lineRule="exact"/>
        <w:ind w:left="0" w:firstLine="643" w:firstLineChars="200"/>
        <w:contextualSpacing/>
        <w:textAlignment w:val="auto"/>
        <w:rPr>
          <w:rFonts w:ascii="Times New Roman" w:hAnsi="Times New Roman" w:eastAsia="仿宋_GB2312" w:cs="Times New Roman"/>
          <w:b/>
          <w:bCs/>
          <w:sz w:val="32"/>
          <w:szCs w:val="32"/>
          <w:highlight w:val="none"/>
        </w:rPr>
      </w:pPr>
      <w:r>
        <w:rPr>
          <w:rFonts w:ascii="Times New Roman" w:hAnsi="Times New Roman" w:eastAsia="仿宋_GB2312" w:cs="Times New Roman"/>
          <w:b/>
          <w:bCs/>
          <w:sz w:val="32"/>
          <w:szCs w:val="32"/>
          <w:highlight w:val="none"/>
        </w:rPr>
        <w:t>2</w:t>
      </w:r>
      <w:r>
        <w:rPr>
          <w:rFonts w:ascii="Times New Roman" w:hAnsi="Times New Roman" w:eastAsia="仿宋_GB2312" w:cs="Times New Roman"/>
          <w:b/>
          <w:bCs/>
          <w:sz w:val="32"/>
          <w:szCs w:val="32"/>
          <w:highlight w:val="none"/>
          <w:lang w:eastAsia="zh-CN"/>
        </w:rPr>
        <w:t>.</w:t>
      </w:r>
      <w:r>
        <w:rPr>
          <w:rFonts w:ascii="Times New Roman" w:hAnsi="Times New Roman" w:eastAsia="仿宋_GB2312" w:cs="Times New Roman"/>
          <w:b/>
          <w:bCs/>
          <w:sz w:val="32"/>
          <w:szCs w:val="32"/>
          <w:highlight w:val="none"/>
        </w:rPr>
        <w:t>区本级一般公共预算</w:t>
      </w:r>
    </w:p>
    <w:p w14:paraId="2D1CA677">
      <w:pPr>
        <w:keepNext w:val="0"/>
        <w:keepLines w:val="0"/>
        <w:pageBreakBefore w:val="0"/>
        <w:widowControl w:val="0"/>
        <w:kinsoku/>
        <w:wordWrap/>
        <w:overflowPunct/>
        <w:topLinePunct w:val="0"/>
        <w:autoSpaceDE/>
        <w:autoSpaceDN/>
        <w:bidi w:val="0"/>
        <w:adjustRightInd/>
        <w:snapToGrid/>
        <w:spacing w:beforeAutospacing="0" w:afterAutospacing="0" w:line="600" w:lineRule="exact"/>
        <w:ind w:left="0" w:firstLine="640" w:firstLineChars="200"/>
        <w:contextualSpacing/>
        <w:textAlignment w:val="auto"/>
        <w:rPr>
          <w:rFonts w:ascii="Times New Roman" w:hAnsi="Times New Roman" w:eastAsia="仿宋_GB2312" w:cs="Times New Roman"/>
          <w:sz w:val="32"/>
          <w:szCs w:val="32"/>
          <w:highlight w:val="none"/>
          <w:lang w:val="en-US" w:eastAsia="zh-CN"/>
        </w:rPr>
      </w:pPr>
      <w:r>
        <w:rPr>
          <w:rFonts w:ascii="Times New Roman" w:hAnsi="Times New Roman" w:eastAsia="仿宋_GB2312" w:cs="Times New Roman"/>
          <w:sz w:val="32"/>
          <w:szCs w:val="32"/>
          <w:highlight w:val="none"/>
          <w:lang w:val="en-US" w:eastAsia="zh-CN"/>
        </w:rPr>
        <w:t>2026年，区本级一般公共预算收入安排44310万元，上级补助收入33342万元；上年债券结转974万元；上年专项结转</w:t>
      </w:r>
      <w:r>
        <w:rPr>
          <w:rFonts w:hint="eastAsia" w:ascii="Times New Roman" w:hAnsi="Times New Roman" w:eastAsia="仿宋_GB2312" w:cs="Times New Roman"/>
          <w:sz w:val="32"/>
          <w:szCs w:val="32"/>
          <w:highlight w:val="none"/>
          <w:lang w:val="en-US" w:eastAsia="zh-CN"/>
        </w:rPr>
        <w:t>5059</w:t>
      </w:r>
      <w:r>
        <w:rPr>
          <w:rFonts w:ascii="Times New Roman" w:hAnsi="Times New Roman" w:eastAsia="仿宋_GB2312" w:cs="Times New Roman"/>
          <w:sz w:val="32"/>
          <w:szCs w:val="32"/>
          <w:highlight w:val="none"/>
          <w:lang w:val="en-US" w:eastAsia="zh-CN"/>
        </w:rPr>
        <w:t>万元；动用预算稳定调节基金</w:t>
      </w:r>
      <w:r>
        <w:rPr>
          <w:rFonts w:hint="eastAsia" w:ascii="Times New Roman" w:hAnsi="Times New Roman" w:eastAsia="仿宋_GB2312" w:cs="Times New Roman"/>
          <w:sz w:val="32"/>
          <w:szCs w:val="32"/>
          <w:highlight w:val="none"/>
          <w:lang w:val="en-US" w:eastAsia="zh-CN"/>
        </w:rPr>
        <w:t>5450</w:t>
      </w:r>
      <w:r>
        <w:rPr>
          <w:rFonts w:ascii="Times New Roman" w:hAnsi="Times New Roman" w:eastAsia="仿宋_GB2312" w:cs="Times New Roman"/>
          <w:sz w:val="32"/>
          <w:szCs w:val="32"/>
          <w:highlight w:val="none"/>
          <w:lang w:val="en-US" w:eastAsia="zh-CN"/>
        </w:rPr>
        <w:t>万元；调入资金2308</w:t>
      </w:r>
      <w:r>
        <w:rPr>
          <w:rFonts w:hint="eastAsia" w:ascii="Times New Roman" w:hAnsi="Times New Roman" w:eastAsia="仿宋_GB2312" w:cs="Times New Roman"/>
          <w:sz w:val="32"/>
          <w:szCs w:val="32"/>
          <w:highlight w:val="none"/>
          <w:lang w:val="en-US" w:eastAsia="zh-CN"/>
        </w:rPr>
        <w:t>6</w:t>
      </w:r>
      <w:r>
        <w:rPr>
          <w:rFonts w:ascii="Times New Roman" w:hAnsi="Times New Roman" w:eastAsia="仿宋_GB2312" w:cs="Times New Roman"/>
          <w:sz w:val="32"/>
          <w:szCs w:val="32"/>
          <w:highlight w:val="none"/>
          <w:lang w:val="en-US" w:eastAsia="zh-CN"/>
        </w:rPr>
        <w:t>万元；乡镇上解收入</w:t>
      </w:r>
      <w:r>
        <w:rPr>
          <w:rFonts w:hint="eastAsia" w:ascii="Times New Roman" w:hAnsi="Times New Roman" w:eastAsia="仿宋_GB2312" w:cs="Times New Roman"/>
          <w:sz w:val="32"/>
          <w:szCs w:val="32"/>
          <w:highlight w:val="none"/>
          <w:lang w:val="en-US" w:eastAsia="zh-CN"/>
        </w:rPr>
        <w:t>5673</w:t>
      </w:r>
      <w:r>
        <w:rPr>
          <w:rFonts w:ascii="Times New Roman" w:hAnsi="Times New Roman" w:eastAsia="仿宋_GB2312" w:cs="Times New Roman"/>
          <w:sz w:val="32"/>
          <w:szCs w:val="32"/>
          <w:highlight w:val="none"/>
          <w:lang w:val="en-US" w:eastAsia="zh-CN"/>
        </w:rPr>
        <w:t>万元；收入总计</w:t>
      </w:r>
      <w:r>
        <w:rPr>
          <w:rFonts w:hint="eastAsia" w:ascii="Times New Roman" w:hAnsi="Times New Roman" w:eastAsia="仿宋_GB2312" w:cs="Times New Roman"/>
          <w:sz w:val="32"/>
          <w:szCs w:val="32"/>
          <w:highlight w:val="none"/>
          <w:lang w:val="en-US" w:eastAsia="zh-CN"/>
        </w:rPr>
        <w:t>117894</w:t>
      </w:r>
      <w:r>
        <w:rPr>
          <w:rFonts w:ascii="Times New Roman" w:hAnsi="Times New Roman" w:eastAsia="仿宋_GB2312" w:cs="Times New Roman"/>
          <w:sz w:val="32"/>
          <w:szCs w:val="32"/>
          <w:highlight w:val="none"/>
          <w:lang w:val="en-US" w:eastAsia="zh-CN"/>
        </w:rPr>
        <w:t>万元。</w:t>
      </w:r>
    </w:p>
    <w:p w14:paraId="07B2614E">
      <w:pPr>
        <w:keepNext w:val="0"/>
        <w:keepLines w:val="0"/>
        <w:pageBreakBefore w:val="0"/>
        <w:widowControl w:val="0"/>
        <w:kinsoku/>
        <w:wordWrap/>
        <w:overflowPunct/>
        <w:topLinePunct w:val="0"/>
        <w:autoSpaceDE/>
        <w:autoSpaceDN/>
        <w:bidi w:val="0"/>
        <w:adjustRightInd/>
        <w:snapToGrid/>
        <w:spacing w:beforeAutospacing="0" w:afterAutospacing="0" w:line="600" w:lineRule="exact"/>
        <w:ind w:left="0" w:firstLine="640" w:firstLineChars="200"/>
        <w:contextualSpacing/>
        <w:textAlignment w:val="auto"/>
        <w:rPr>
          <w:rFonts w:ascii="Times New Roman" w:hAnsi="Times New Roman" w:eastAsia="仿宋_GB2312" w:cs="Times New Roman"/>
          <w:sz w:val="32"/>
          <w:szCs w:val="32"/>
          <w:highlight w:val="none"/>
          <w:lang w:val="en-US" w:eastAsia="zh-CN"/>
        </w:rPr>
      </w:pPr>
      <w:r>
        <w:rPr>
          <w:rFonts w:ascii="Times New Roman" w:hAnsi="Times New Roman" w:eastAsia="仿宋_GB2312" w:cs="Times New Roman"/>
          <w:sz w:val="32"/>
          <w:szCs w:val="32"/>
          <w:highlight w:val="none"/>
          <w:lang w:val="en-US" w:eastAsia="zh-CN"/>
        </w:rPr>
        <w:t>202</w:t>
      </w:r>
      <w:r>
        <w:rPr>
          <w:rFonts w:hint="eastAsia" w:ascii="Times New Roman" w:hAnsi="Times New Roman" w:eastAsia="仿宋_GB2312" w:cs="Times New Roman"/>
          <w:sz w:val="32"/>
          <w:szCs w:val="32"/>
          <w:highlight w:val="none"/>
          <w:lang w:val="en-US" w:eastAsia="zh-CN"/>
        </w:rPr>
        <w:t>6</w:t>
      </w:r>
      <w:r>
        <w:rPr>
          <w:rFonts w:ascii="Times New Roman" w:hAnsi="Times New Roman" w:eastAsia="仿宋_GB2312" w:cs="Times New Roman"/>
          <w:sz w:val="32"/>
          <w:szCs w:val="32"/>
          <w:highlight w:val="none"/>
          <w:lang w:val="en-US" w:eastAsia="zh-CN"/>
        </w:rPr>
        <w:t>年，区本级一般公共预算支出安排</w:t>
      </w:r>
      <w:r>
        <w:rPr>
          <w:rFonts w:hint="eastAsia" w:ascii="Times New Roman" w:hAnsi="Times New Roman" w:eastAsia="仿宋_GB2312" w:cs="Times New Roman"/>
          <w:sz w:val="32"/>
          <w:szCs w:val="32"/>
          <w:highlight w:val="none"/>
          <w:lang w:val="en-US" w:eastAsia="zh-CN"/>
        </w:rPr>
        <w:t>112294</w:t>
      </w:r>
      <w:r>
        <w:rPr>
          <w:rFonts w:ascii="Times New Roman" w:hAnsi="Times New Roman" w:eastAsia="仿宋_GB2312" w:cs="Times New Roman"/>
          <w:sz w:val="32"/>
          <w:szCs w:val="32"/>
          <w:highlight w:val="none"/>
          <w:lang w:val="en-US" w:eastAsia="zh-CN"/>
        </w:rPr>
        <w:t>万元（其中：人员经费</w:t>
      </w:r>
      <w:r>
        <w:rPr>
          <w:rFonts w:hint="eastAsia" w:ascii="Times New Roman" w:hAnsi="Times New Roman" w:eastAsia="仿宋_GB2312" w:cs="Times New Roman"/>
          <w:sz w:val="32"/>
          <w:szCs w:val="32"/>
          <w:highlight w:val="none"/>
          <w:lang w:val="en-US" w:eastAsia="zh-CN"/>
        </w:rPr>
        <w:t>35423万</w:t>
      </w:r>
      <w:r>
        <w:rPr>
          <w:rFonts w:ascii="Times New Roman" w:hAnsi="Times New Roman" w:eastAsia="仿宋_GB2312" w:cs="Times New Roman"/>
          <w:sz w:val="32"/>
          <w:szCs w:val="32"/>
          <w:highlight w:val="none"/>
          <w:lang w:val="en-US" w:eastAsia="zh-CN"/>
        </w:rPr>
        <w:t>元；公用经费16</w:t>
      </w:r>
      <w:r>
        <w:rPr>
          <w:rFonts w:hint="eastAsia" w:ascii="Times New Roman" w:hAnsi="Times New Roman" w:eastAsia="仿宋_GB2312" w:cs="Times New Roman"/>
          <w:sz w:val="32"/>
          <w:szCs w:val="32"/>
          <w:highlight w:val="none"/>
          <w:lang w:val="en-US" w:eastAsia="zh-CN"/>
        </w:rPr>
        <w:t>75</w:t>
      </w:r>
      <w:r>
        <w:rPr>
          <w:rFonts w:ascii="Times New Roman" w:hAnsi="Times New Roman" w:eastAsia="仿宋_GB2312" w:cs="Times New Roman"/>
          <w:sz w:val="32"/>
          <w:szCs w:val="32"/>
          <w:highlight w:val="none"/>
          <w:lang w:val="en-US" w:eastAsia="zh-CN"/>
        </w:rPr>
        <w:t>万元；项目支出</w:t>
      </w:r>
      <w:r>
        <w:rPr>
          <w:rFonts w:hint="eastAsia" w:ascii="Times New Roman" w:hAnsi="Times New Roman" w:eastAsia="仿宋_GB2312" w:cs="Times New Roman"/>
          <w:sz w:val="32"/>
          <w:szCs w:val="32"/>
          <w:highlight w:val="none"/>
          <w:lang w:val="en-US" w:eastAsia="zh-CN"/>
        </w:rPr>
        <w:t>75196</w:t>
      </w:r>
      <w:r>
        <w:rPr>
          <w:rFonts w:ascii="Times New Roman" w:hAnsi="Times New Roman" w:eastAsia="仿宋_GB2312" w:cs="Times New Roman"/>
          <w:sz w:val="32"/>
          <w:szCs w:val="32"/>
          <w:highlight w:val="none"/>
          <w:lang w:val="en-US" w:eastAsia="zh-CN"/>
        </w:rPr>
        <w:t>万元）；上解上级支出5</w:t>
      </w:r>
      <w:r>
        <w:rPr>
          <w:rFonts w:hint="eastAsia" w:ascii="Times New Roman" w:hAnsi="Times New Roman" w:eastAsia="仿宋_GB2312" w:cs="Times New Roman"/>
          <w:sz w:val="32"/>
          <w:szCs w:val="32"/>
          <w:highlight w:val="none"/>
          <w:lang w:val="en-US" w:eastAsia="zh-CN"/>
        </w:rPr>
        <w:t>6</w:t>
      </w:r>
      <w:r>
        <w:rPr>
          <w:rFonts w:ascii="Times New Roman" w:hAnsi="Times New Roman" w:eastAsia="仿宋_GB2312" w:cs="Times New Roman"/>
          <w:sz w:val="32"/>
          <w:szCs w:val="32"/>
          <w:highlight w:val="none"/>
          <w:lang w:val="en-US" w:eastAsia="zh-CN"/>
        </w:rPr>
        <w:t>00万元；支出总计</w:t>
      </w:r>
      <w:r>
        <w:rPr>
          <w:rFonts w:hint="eastAsia" w:ascii="Times New Roman" w:hAnsi="Times New Roman" w:eastAsia="仿宋_GB2312" w:cs="Times New Roman"/>
          <w:sz w:val="32"/>
          <w:szCs w:val="32"/>
          <w:highlight w:val="none"/>
          <w:lang w:val="en-US" w:eastAsia="zh-CN"/>
        </w:rPr>
        <w:t>117894</w:t>
      </w:r>
      <w:r>
        <w:rPr>
          <w:rFonts w:ascii="Times New Roman" w:hAnsi="Times New Roman" w:eastAsia="仿宋_GB2312" w:cs="Times New Roman"/>
          <w:sz w:val="32"/>
          <w:szCs w:val="32"/>
          <w:highlight w:val="none"/>
          <w:lang w:val="en-US" w:eastAsia="zh-CN"/>
        </w:rPr>
        <w:t>万元。</w:t>
      </w:r>
    </w:p>
    <w:p w14:paraId="2DA8D4D5">
      <w:pPr>
        <w:keepNext w:val="0"/>
        <w:keepLines w:val="0"/>
        <w:pageBreakBefore w:val="0"/>
        <w:widowControl w:val="0"/>
        <w:kinsoku/>
        <w:wordWrap/>
        <w:overflowPunct/>
        <w:topLinePunct w:val="0"/>
        <w:autoSpaceDE/>
        <w:autoSpaceDN/>
        <w:bidi w:val="0"/>
        <w:adjustRightInd/>
        <w:snapToGrid/>
        <w:spacing w:beforeAutospacing="0" w:afterAutospacing="0" w:line="600" w:lineRule="exact"/>
        <w:ind w:left="0" w:firstLine="643" w:firstLineChars="200"/>
        <w:contextualSpacing/>
        <w:textAlignment w:val="auto"/>
        <w:rPr>
          <w:rFonts w:ascii="Times New Roman" w:hAnsi="Times New Roman" w:eastAsia="仿宋_GB2312" w:cs="Times New Roman"/>
          <w:b/>
          <w:bCs/>
          <w:sz w:val="32"/>
          <w:szCs w:val="32"/>
          <w:highlight w:val="none"/>
        </w:rPr>
      </w:pPr>
      <w:r>
        <w:rPr>
          <w:rFonts w:ascii="Times New Roman" w:hAnsi="Times New Roman" w:eastAsia="仿宋_GB2312" w:cs="Times New Roman"/>
          <w:b/>
          <w:bCs/>
          <w:sz w:val="32"/>
          <w:szCs w:val="32"/>
          <w:highlight w:val="none"/>
        </w:rPr>
        <w:t>3</w:t>
      </w:r>
      <w:r>
        <w:rPr>
          <w:rFonts w:ascii="Times New Roman" w:hAnsi="Times New Roman" w:eastAsia="仿宋_GB2312" w:cs="Times New Roman"/>
          <w:b/>
          <w:bCs/>
          <w:sz w:val="32"/>
          <w:szCs w:val="32"/>
          <w:highlight w:val="none"/>
          <w:lang w:eastAsia="zh-CN"/>
        </w:rPr>
        <w:t>.</w:t>
      </w:r>
      <w:r>
        <w:rPr>
          <w:rFonts w:ascii="Times New Roman" w:hAnsi="Times New Roman" w:eastAsia="仿宋_GB2312" w:cs="Times New Roman"/>
          <w:b/>
          <w:bCs/>
          <w:sz w:val="32"/>
          <w:szCs w:val="32"/>
          <w:highlight w:val="none"/>
        </w:rPr>
        <w:t>乡镇一般公共预算</w:t>
      </w:r>
    </w:p>
    <w:p w14:paraId="27191C6B">
      <w:pPr>
        <w:keepNext w:val="0"/>
        <w:keepLines w:val="0"/>
        <w:pageBreakBefore w:val="0"/>
        <w:widowControl w:val="0"/>
        <w:kinsoku/>
        <w:wordWrap/>
        <w:overflowPunct/>
        <w:topLinePunct w:val="0"/>
        <w:autoSpaceDE/>
        <w:autoSpaceDN/>
        <w:bidi w:val="0"/>
        <w:adjustRightInd/>
        <w:snapToGrid/>
        <w:spacing w:beforeAutospacing="0" w:afterAutospacing="0" w:line="600" w:lineRule="exact"/>
        <w:ind w:left="0" w:firstLine="640" w:firstLineChars="200"/>
        <w:contextualSpacing/>
        <w:textAlignment w:val="auto"/>
        <w:rPr>
          <w:rFonts w:ascii="Times New Roman" w:hAnsi="Times New Roman" w:eastAsia="仿宋_GB2312" w:cs="Times New Roman"/>
          <w:sz w:val="32"/>
          <w:szCs w:val="32"/>
          <w:highlight w:val="none"/>
          <w:lang w:val="en-US" w:eastAsia="zh-CN"/>
        </w:rPr>
      </w:pPr>
      <w:r>
        <w:rPr>
          <w:rFonts w:ascii="Times New Roman" w:hAnsi="Times New Roman" w:eastAsia="仿宋_GB2312" w:cs="Times New Roman"/>
          <w:sz w:val="32"/>
          <w:szCs w:val="32"/>
          <w:highlight w:val="none"/>
          <w:lang w:val="en-US" w:eastAsia="zh-CN"/>
        </w:rPr>
        <w:t>202</w:t>
      </w:r>
      <w:r>
        <w:rPr>
          <w:rFonts w:hint="eastAsia" w:ascii="Times New Roman" w:hAnsi="Times New Roman" w:eastAsia="仿宋_GB2312" w:cs="Times New Roman"/>
          <w:sz w:val="32"/>
          <w:szCs w:val="32"/>
          <w:highlight w:val="none"/>
          <w:lang w:val="en-US" w:eastAsia="zh-CN"/>
        </w:rPr>
        <w:t>6</w:t>
      </w:r>
      <w:r>
        <w:rPr>
          <w:rFonts w:ascii="Times New Roman" w:hAnsi="Times New Roman" w:eastAsia="仿宋_GB2312" w:cs="Times New Roman"/>
          <w:sz w:val="32"/>
          <w:szCs w:val="32"/>
          <w:highlight w:val="none"/>
          <w:lang w:val="en-US" w:eastAsia="zh-CN"/>
        </w:rPr>
        <w:t>年，乡镇一般公共预算收入</w:t>
      </w:r>
      <w:r>
        <w:rPr>
          <w:rFonts w:hint="eastAsia" w:ascii="Times New Roman" w:hAnsi="Times New Roman" w:eastAsia="仿宋_GB2312" w:cs="Times New Roman"/>
          <w:sz w:val="32"/>
          <w:szCs w:val="32"/>
          <w:highlight w:val="none"/>
          <w:lang w:val="en-US" w:eastAsia="zh-CN"/>
        </w:rPr>
        <w:t>11000</w:t>
      </w:r>
      <w:r>
        <w:rPr>
          <w:rFonts w:ascii="Times New Roman" w:hAnsi="Times New Roman" w:eastAsia="仿宋_GB2312" w:cs="Times New Roman"/>
          <w:sz w:val="32"/>
          <w:szCs w:val="32"/>
          <w:highlight w:val="none"/>
          <w:lang w:val="en-US" w:eastAsia="zh-CN"/>
        </w:rPr>
        <w:t>万元，收入总计</w:t>
      </w:r>
      <w:r>
        <w:rPr>
          <w:rFonts w:hint="eastAsia" w:ascii="Times New Roman" w:hAnsi="Times New Roman" w:eastAsia="仿宋_GB2312" w:cs="Times New Roman"/>
          <w:sz w:val="32"/>
          <w:szCs w:val="32"/>
          <w:highlight w:val="none"/>
          <w:lang w:val="en-US" w:eastAsia="zh-CN"/>
        </w:rPr>
        <w:t>11000</w:t>
      </w:r>
      <w:r>
        <w:rPr>
          <w:rFonts w:ascii="Times New Roman" w:hAnsi="Times New Roman" w:eastAsia="仿宋_GB2312" w:cs="Times New Roman"/>
          <w:sz w:val="32"/>
          <w:szCs w:val="32"/>
          <w:highlight w:val="none"/>
          <w:lang w:val="en-US" w:eastAsia="zh-CN"/>
        </w:rPr>
        <w:t>万元。</w:t>
      </w:r>
    </w:p>
    <w:p w14:paraId="1BCD5CC8">
      <w:pPr>
        <w:keepNext w:val="0"/>
        <w:keepLines w:val="0"/>
        <w:pageBreakBefore w:val="0"/>
        <w:widowControl w:val="0"/>
        <w:kinsoku/>
        <w:wordWrap/>
        <w:overflowPunct/>
        <w:topLinePunct w:val="0"/>
        <w:autoSpaceDE/>
        <w:autoSpaceDN/>
        <w:bidi w:val="0"/>
        <w:adjustRightInd/>
        <w:snapToGrid/>
        <w:spacing w:beforeAutospacing="0" w:afterAutospacing="0" w:line="600" w:lineRule="exact"/>
        <w:ind w:left="0" w:firstLine="640" w:firstLineChars="200"/>
        <w:contextualSpacing/>
        <w:textAlignment w:val="auto"/>
        <w:rPr>
          <w:rFonts w:ascii="Times New Roman" w:hAnsi="Times New Roman" w:eastAsia="仿宋_GB2312" w:cs="Times New Roman"/>
          <w:sz w:val="32"/>
          <w:szCs w:val="32"/>
          <w:highlight w:val="none"/>
          <w:lang w:val="en-US" w:eastAsia="zh-CN"/>
        </w:rPr>
      </w:pPr>
      <w:r>
        <w:rPr>
          <w:rFonts w:ascii="Times New Roman" w:hAnsi="Times New Roman" w:eastAsia="仿宋_GB2312" w:cs="Times New Roman"/>
          <w:sz w:val="32"/>
          <w:szCs w:val="32"/>
          <w:highlight w:val="none"/>
          <w:lang w:val="en-US" w:eastAsia="zh-CN"/>
        </w:rPr>
        <w:t>202</w:t>
      </w:r>
      <w:r>
        <w:rPr>
          <w:rFonts w:hint="eastAsia" w:ascii="Times New Roman" w:hAnsi="Times New Roman" w:eastAsia="仿宋_GB2312" w:cs="Times New Roman"/>
          <w:sz w:val="32"/>
          <w:szCs w:val="32"/>
          <w:highlight w:val="none"/>
          <w:lang w:val="en-US" w:eastAsia="zh-CN"/>
        </w:rPr>
        <w:t>6</w:t>
      </w:r>
      <w:r>
        <w:rPr>
          <w:rFonts w:ascii="Times New Roman" w:hAnsi="Times New Roman" w:eastAsia="仿宋_GB2312" w:cs="Times New Roman"/>
          <w:sz w:val="32"/>
          <w:szCs w:val="32"/>
          <w:highlight w:val="none"/>
          <w:lang w:val="en-US" w:eastAsia="zh-CN"/>
        </w:rPr>
        <w:t>年，乡镇一般公共预算支出安排</w:t>
      </w:r>
      <w:r>
        <w:rPr>
          <w:rFonts w:hint="eastAsia" w:ascii="Times New Roman" w:hAnsi="Times New Roman" w:eastAsia="仿宋_GB2312" w:cs="Times New Roman"/>
          <w:sz w:val="32"/>
          <w:szCs w:val="32"/>
          <w:highlight w:val="none"/>
          <w:lang w:val="en-US" w:eastAsia="zh-CN"/>
        </w:rPr>
        <w:t>5327</w:t>
      </w:r>
      <w:r>
        <w:rPr>
          <w:rFonts w:ascii="Times New Roman" w:hAnsi="Times New Roman" w:eastAsia="仿宋_GB2312" w:cs="Times New Roman"/>
          <w:sz w:val="32"/>
          <w:szCs w:val="32"/>
          <w:highlight w:val="none"/>
          <w:lang w:val="en-US" w:eastAsia="zh-CN"/>
        </w:rPr>
        <w:t>万元；上解支出</w:t>
      </w:r>
      <w:r>
        <w:rPr>
          <w:rFonts w:hint="eastAsia" w:ascii="Times New Roman" w:hAnsi="Times New Roman" w:eastAsia="仿宋_GB2312" w:cs="Times New Roman"/>
          <w:sz w:val="32"/>
          <w:szCs w:val="32"/>
          <w:highlight w:val="none"/>
          <w:lang w:val="en-US" w:eastAsia="zh-CN"/>
        </w:rPr>
        <w:t>5673</w:t>
      </w:r>
      <w:r>
        <w:rPr>
          <w:rFonts w:ascii="Times New Roman" w:hAnsi="Times New Roman" w:eastAsia="仿宋_GB2312" w:cs="Times New Roman"/>
          <w:sz w:val="32"/>
          <w:szCs w:val="32"/>
          <w:highlight w:val="none"/>
          <w:lang w:val="en-US" w:eastAsia="zh-CN"/>
        </w:rPr>
        <w:t>万元；支出总计</w:t>
      </w:r>
      <w:r>
        <w:rPr>
          <w:rFonts w:hint="eastAsia" w:ascii="Times New Roman" w:hAnsi="Times New Roman" w:eastAsia="仿宋_GB2312" w:cs="Times New Roman"/>
          <w:sz w:val="32"/>
          <w:szCs w:val="32"/>
          <w:highlight w:val="none"/>
          <w:lang w:val="en-US" w:eastAsia="zh-CN"/>
        </w:rPr>
        <w:t>11000</w:t>
      </w:r>
      <w:r>
        <w:rPr>
          <w:rFonts w:ascii="Times New Roman" w:hAnsi="Times New Roman" w:eastAsia="仿宋_GB2312" w:cs="Times New Roman"/>
          <w:sz w:val="32"/>
          <w:szCs w:val="32"/>
          <w:highlight w:val="none"/>
          <w:lang w:val="en-US" w:eastAsia="zh-CN"/>
        </w:rPr>
        <w:t>万元。</w:t>
      </w:r>
    </w:p>
    <w:p w14:paraId="6684F04B">
      <w:pPr>
        <w:keepNext w:val="0"/>
        <w:keepLines w:val="0"/>
        <w:pageBreakBefore w:val="0"/>
        <w:widowControl w:val="0"/>
        <w:kinsoku/>
        <w:wordWrap/>
        <w:overflowPunct/>
        <w:topLinePunct w:val="0"/>
        <w:autoSpaceDN/>
        <w:bidi w:val="0"/>
        <w:snapToGrid/>
        <w:spacing w:beforeAutospacing="0" w:afterAutospacing="0" w:line="600" w:lineRule="exact"/>
        <w:ind w:left="0" w:firstLine="643" w:firstLineChars="200"/>
        <w:contextualSpacing/>
        <w:textAlignment w:val="auto"/>
        <w:rPr>
          <w:rFonts w:ascii="Times New Roman" w:hAnsi="Times New Roman" w:eastAsia="楷体_GB2312" w:cs="Times New Roman"/>
          <w:b/>
          <w:bCs w:val="0"/>
          <w:sz w:val="32"/>
          <w:szCs w:val="32"/>
          <w:highlight w:val="none"/>
          <w:lang w:val="en-US" w:eastAsia="zh-CN"/>
        </w:rPr>
      </w:pPr>
      <w:r>
        <w:rPr>
          <w:rFonts w:ascii="Times New Roman" w:hAnsi="Times New Roman" w:eastAsia="楷体_GB2312" w:cs="Times New Roman"/>
          <w:b/>
          <w:bCs w:val="0"/>
          <w:sz w:val="32"/>
          <w:szCs w:val="32"/>
          <w:highlight w:val="none"/>
          <w:lang w:val="en-US" w:eastAsia="zh-CN"/>
        </w:rPr>
        <w:t>（二）政府性基金预算</w:t>
      </w:r>
    </w:p>
    <w:p w14:paraId="3170EA2C">
      <w:pPr>
        <w:keepNext w:val="0"/>
        <w:keepLines w:val="0"/>
        <w:pageBreakBefore w:val="0"/>
        <w:widowControl w:val="0"/>
        <w:kinsoku/>
        <w:wordWrap/>
        <w:overflowPunct/>
        <w:topLinePunct w:val="0"/>
        <w:autoSpaceDE/>
        <w:autoSpaceDN/>
        <w:bidi w:val="0"/>
        <w:adjustRightInd/>
        <w:snapToGrid/>
        <w:spacing w:beforeAutospacing="0" w:afterAutospacing="0" w:line="600" w:lineRule="exact"/>
        <w:ind w:left="0" w:firstLine="643" w:firstLineChars="200"/>
        <w:contextualSpacing/>
        <w:textAlignment w:val="auto"/>
        <w:rPr>
          <w:rFonts w:ascii="Times New Roman" w:hAnsi="Times New Roman" w:eastAsia="仿宋_GB2312" w:cs="Times New Roman"/>
          <w:b/>
          <w:bCs/>
          <w:sz w:val="32"/>
          <w:szCs w:val="32"/>
          <w:highlight w:val="none"/>
        </w:rPr>
      </w:pPr>
      <w:r>
        <w:rPr>
          <w:rFonts w:ascii="Times New Roman" w:hAnsi="Times New Roman" w:eastAsia="仿宋_GB2312" w:cs="Times New Roman"/>
          <w:b/>
          <w:bCs/>
          <w:sz w:val="32"/>
          <w:szCs w:val="32"/>
          <w:highlight w:val="none"/>
        </w:rPr>
        <w:t>1</w:t>
      </w:r>
      <w:r>
        <w:rPr>
          <w:rFonts w:ascii="Times New Roman" w:hAnsi="Times New Roman" w:eastAsia="仿宋_GB2312" w:cs="Times New Roman"/>
          <w:b/>
          <w:bCs/>
          <w:sz w:val="32"/>
          <w:szCs w:val="32"/>
          <w:highlight w:val="none"/>
          <w:lang w:eastAsia="zh-CN"/>
        </w:rPr>
        <w:t>.</w:t>
      </w:r>
      <w:r>
        <w:rPr>
          <w:rFonts w:ascii="Times New Roman" w:hAnsi="Times New Roman" w:eastAsia="仿宋_GB2312" w:cs="Times New Roman"/>
          <w:b/>
          <w:bCs/>
          <w:sz w:val="32"/>
          <w:szCs w:val="32"/>
          <w:highlight w:val="none"/>
        </w:rPr>
        <w:t>全区政府性基金预算</w:t>
      </w:r>
    </w:p>
    <w:p w14:paraId="76F58C33">
      <w:pPr>
        <w:keepNext w:val="0"/>
        <w:keepLines w:val="0"/>
        <w:pageBreakBefore w:val="0"/>
        <w:widowControl w:val="0"/>
        <w:kinsoku/>
        <w:wordWrap/>
        <w:overflowPunct/>
        <w:topLinePunct w:val="0"/>
        <w:autoSpaceDE/>
        <w:autoSpaceDN/>
        <w:bidi w:val="0"/>
        <w:adjustRightInd/>
        <w:snapToGrid/>
        <w:spacing w:beforeAutospacing="0" w:afterAutospacing="0" w:line="600" w:lineRule="exact"/>
        <w:ind w:left="0" w:firstLine="640" w:firstLineChars="200"/>
        <w:contextualSpacing/>
        <w:textAlignment w:val="auto"/>
        <w:rPr>
          <w:rFonts w:ascii="Times New Roman" w:hAnsi="Times New Roman" w:eastAsia="仿宋_GB2312" w:cs="Times New Roman"/>
          <w:sz w:val="32"/>
          <w:szCs w:val="32"/>
          <w:highlight w:val="none"/>
          <w:lang w:val="en-US" w:eastAsia="zh-CN"/>
        </w:rPr>
      </w:pPr>
      <w:r>
        <w:rPr>
          <w:rFonts w:ascii="Times New Roman" w:hAnsi="Times New Roman" w:eastAsia="仿宋_GB2312" w:cs="Times New Roman"/>
          <w:sz w:val="32"/>
          <w:szCs w:val="32"/>
          <w:highlight w:val="none"/>
          <w:lang w:val="en-US" w:eastAsia="zh-CN"/>
        </w:rPr>
        <w:t>2026年，全区政府性基金收入安排20000万元；上级补助收入</w:t>
      </w:r>
      <w:r>
        <w:rPr>
          <w:rFonts w:hint="eastAsia" w:ascii="Times New Roman" w:hAnsi="Times New Roman" w:eastAsia="仿宋_GB2312" w:cs="Times New Roman"/>
          <w:sz w:val="32"/>
          <w:szCs w:val="32"/>
          <w:highlight w:val="none"/>
          <w:lang w:val="en-US" w:eastAsia="zh-CN"/>
        </w:rPr>
        <w:t>630</w:t>
      </w:r>
      <w:r>
        <w:rPr>
          <w:rFonts w:ascii="Times New Roman" w:hAnsi="Times New Roman" w:eastAsia="仿宋_GB2312" w:cs="Times New Roman"/>
          <w:sz w:val="32"/>
          <w:szCs w:val="32"/>
          <w:highlight w:val="none"/>
          <w:lang w:val="en-US" w:eastAsia="zh-CN"/>
        </w:rPr>
        <w:t>万元；上年结转</w:t>
      </w:r>
      <w:r>
        <w:rPr>
          <w:rFonts w:hint="eastAsia" w:ascii="Times New Roman" w:hAnsi="Times New Roman" w:eastAsia="仿宋_GB2312" w:cs="Times New Roman"/>
          <w:sz w:val="32"/>
          <w:szCs w:val="32"/>
          <w:highlight w:val="none"/>
          <w:lang w:val="en-US" w:eastAsia="zh-CN"/>
        </w:rPr>
        <w:t>6325</w:t>
      </w:r>
      <w:r>
        <w:rPr>
          <w:rFonts w:ascii="Times New Roman" w:hAnsi="Times New Roman" w:eastAsia="仿宋_GB2312" w:cs="Times New Roman"/>
          <w:sz w:val="32"/>
          <w:szCs w:val="32"/>
          <w:highlight w:val="none"/>
          <w:lang w:val="en-US" w:eastAsia="zh-CN"/>
        </w:rPr>
        <w:t>万元；专项债再融资收入18000万元；政府性基金收入总计</w:t>
      </w:r>
      <w:r>
        <w:rPr>
          <w:rFonts w:hint="eastAsia" w:ascii="Times New Roman" w:hAnsi="Times New Roman" w:eastAsia="仿宋_GB2312" w:cs="Times New Roman"/>
          <w:sz w:val="32"/>
          <w:szCs w:val="32"/>
          <w:highlight w:val="none"/>
          <w:lang w:val="en-US" w:eastAsia="zh-CN"/>
        </w:rPr>
        <w:t>44955</w:t>
      </w:r>
      <w:r>
        <w:rPr>
          <w:rFonts w:ascii="Times New Roman" w:hAnsi="Times New Roman" w:eastAsia="仿宋_GB2312" w:cs="Times New Roman"/>
          <w:sz w:val="32"/>
          <w:szCs w:val="32"/>
          <w:highlight w:val="none"/>
          <w:lang w:val="en-US" w:eastAsia="zh-CN"/>
        </w:rPr>
        <w:t>万元。</w:t>
      </w:r>
    </w:p>
    <w:p w14:paraId="4281D7A7">
      <w:pPr>
        <w:keepNext w:val="0"/>
        <w:keepLines w:val="0"/>
        <w:pageBreakBefore w:val="0"/>
        <w:widowControl w:val="0"/>
        <w:kinsoku/>
        <w:wordWrap/>
        <w:overflowPunct/>
        <w:topLinePunct w:val="0"/>
        <w:autoSpaceDE/>
        <w:autoSpaceDN/>
        <w:bidi w:val="0"/>
        <w:adjustRightInd/>
        <w:snapToGrid/>
        <w:spacing w:beforeAutospacing="0" w:afterAutospacing="0" w:line="600" w:lineRule="exact"/>
        <w:ind w:left="0" w:firstLine="640" w:firstLineChars="200"/>
        <w:contextualSpacing/>
        <w:textAlignment w:val="auto"/>
        <w:rPr>
          <w:rFonts w:ascii="Times New Roman" w:hAnsi="Times New Roman" w:eastAsia="仿宋_GB2312" w:cs="Times New Roman"/>
          <w:sz w:val="32"/>
          <w:szCs w:val="32"/>
          <w:highlight w:val="yellow"/>
          <w:lang w:val="en-US" w:eastAsia="zh-CN"/>
        </w:rPr>
      </w:pPr>
      <w:r>
        <w:rPr>
          <w:rFonts w:ascii="Times New Roman" w:hAnsi="Times New Roman" w:eastAsia="仿宋_GB2312" w:cs="Times New Roman"/>
          <w:sz w:val="32"/>
          <w:szCs w:val="32"/>
          <w:highlight w:val="none"/>
          <w:lang w:val="en-US" w:eastAsia="zh-CN"/>
        </w:rPr>
        <w:t>2026年，全区政府性基金支出安排</w:t>
      </w:r>
      <w:r>
        <w:rPr>
          <w:rFonts w:hint="eastAsia" w:ascii="Times New Roman" w:hAnsi="Times New Roman" w:eastAsia="仿宋_GB2312" w:cs="Times New Roman"/>
          <w:sz w:val="32"/>
          <w:szCs w:val="32"/>
          <w:highlight w:val="none"/>
          <w:lang w:val="en-US" w:eastAsia="zh-CN"/>
        </w:rPr>
        <w:t>16669</w:t>
      </w:r>
      <w:r>
        <w:rPr>
          <w:rFonts w:ascii="Times New Roman" w:hAnsi="Times New Roman" w:eastAsia="仿宋_GB2312" w:cs="Times New Roman"/>
          <w:sz w:val="32"/>
          <w:szCs w:val="32"/>
          <w:highlight w:val="none"/>
          <w:lang w:val="en-US" w:eastAsia="zh-CN"/>
        </w:rPr>
        <w:t>万元；专项债券还本支出20100万元；上解支出100万元；调出资金808</w:t>
      </w:r>
      <w:r>
        <w:rPr>
          <w:rFonts w:hint="eastAsia" w:ascii="Times New Roman" w:hAnsi="Times New Roman" w:eastAsia="仿宋_GB2312" w:cs="Times New Roman"/>
          <w:sz w:val="32"/>
          <w:szCs w:val="32"/>
          <w:highlight w:val="none"/>
          <w:lang w:val="en-US" w:eastAsia="zh-CN"/>
        </w:rPr>
        <w:t>6</w:t>
      </w:r>
      <w:r>
        <w:rPr>
          <w:rFonts w:ascii="Times New Roman" w:hAnsi="Times New Roman" w:eastAsia="仿宋_GB2312" w:cs="Times New Roman"/>
          <w:sz w:val="32"/>
          <w:szCs w:val="32"/>
          <w:highlight w:val="none"/>
          <w:lang w:val="en-US" w:eastAsia="zh-CN"/>
        </w:rPr>
        <w:t>万元；政府性基金支出总计</w:t>
      </w:r>
      <w:r>
        <w:rPr>
          <w:rFonts w:hint="eastAsia" w:ascii="Times New Roman" w:hAnsi="Times New Roman" w:eastAsia="仿宋_GB2312" w:cs="Times New Roman"/>
          <w:sz w:val="32"/>
          <w:szCs w:val="32"/>
          <w:highlight w:val="none"/>
          <w:lang w:val="en-US" w:eastAsia="zh-CN"/>
        </w:rPr>
        <w:t>44955</w:t>
      </w:r>
      <w:r>
        <w:rPr>
          <w:rFonts w:ascii="Times New Roman" w:hAnsi="Times New Roman" w:eastAsia="仿宋_GB2312" w:cs="Times New Roman"/>
          <w:sz w:val="32"/>
          <w:szCs w:val="32"/>
          <w:highlight w:val="none"/>
          <w:lang w:val="en-US" w:eastAsia="zh-CN"/>
        </w:rPr>
        <w:t>万元。</w:t>
      </w:r>
    </w:p>
    <w:p w14:paraId="73202312">
      <w:pPr>
        <w:keepNext w:val="0"/>
        <w:keepLines w:val="0"/>
        <w:pageBreakBefore w:val="0"/>
        <w:widowControl w:val="0"/>
        <w:kinsoku/>
        <w:wordWrap/>
        <w:overflowPunct/>
        <w:topLinePunct w:val="0"/>
        <w:autoSpaceDE/>
        <w:autoSpaceDN/>
        <w:bidi w:val="0"/>
        <w:adjustRightInd/>
        <w:snapToGrid/>
        <w:spacing w:beforeAutospacing="0" w:afterAutospacing="0" w:line="600" w:lineRule="exact"/>
        <w:ind w:left="0" w:firstLine="643" w:firstLineChars="200"/>
        <w:contextualSpacing/>
        <w:textAlignment w:val="auto"/>
        <w:rPr>
          <w:rFonts w:ascii="Times New Roman" w:hAnsi="Times New Roman" w:eastAsia="仿宋_GB2312" w:cs="Times New Roman"/>
          <w:b/>
          <w:bCs/>
          <w:sz w:val="32"/>
          <w:szCs w:val="32"/>
          <w:highlight w:val="none"/>
        </w:rPr>
      </w:pPr>
      <w:r>
        <w:rPr>
          <w:rFonts w:ascii="Times New Roman" w:hAnsi="Times New Roman" w:eastAsia="仿宋_GB2312" w:cs="Times New Roman"/>
          <w:b/>
          <w:bCs/>
          <w:sz w:val="32"/>
          <w:szCs w:val="32"/>
          <w:highlight w:val="none"/>
          <w:lang w:val="en-US" w:eastAsia="zh-CN"/>
        </w:rPr>
        <w:t>2.</w:t>
      </w:r>
      <w:r>
        <w:rPr>
          <w:rFonts w:ascii="Times New Roman" w:hAnsi="Times New Roman" w:eastAsia="仿宋_GB2312" w:cs="Times New Roman"/>
          <w:b/>
          <w:bCs/>
          <w:sz w:val="32"/>
          <w:szCs w:val="32"/>
          <w:highlight w:val="none"/>
        </w:rPr>
        <w:t>区本级政府性基金预算</w:t>
      </w:r>
    </w:p>
    <w:p w14:paraId="2B860D02">
      <w:pPr>
        <w:keepNext w:val="0"/>
        <w:keepLines w:val="0"/>
        <w:pageBreakBefore w:val="0"/>
        <w:widowControl w:val="0"/>
        <w:kinsoku/>
        <w:wordWrap/>
        <w:overflowPunct/>
        <w:topLinePunct w:val="0"/>
        <w:autoSpaceDE/>
        <w:autoSpaceDN/>
        <w:bidi w:val="0"/>
        <w:adjustRightInd/>
        <w:snapToGrid/>
        <w:spacing w:beforeAutospacing="0" w:afterAutospacing="0" w:line="600" w:lineRule="exact"/>
        <w:ind w:left="0" w:firstLine="640" w:firstLineChars="200"/>
        <w:contextualSpacing/>
        <w:textAlignment w:val="auto"/>
        <w:rPr>
          <w:rFonts w:ascii="Times New Roman" w:hAnsi="Times New Roman" w:eastAsia="仿宋_GB2312" w:cs="Times New Roman"/>
          <w:sz w:val="32"/>
          <w:szCs w:val="32"/>
          <w:highlight w:val="none"/>
          <w:lang w:val="en-US" w:eastAsia="zh-CN"/>
        </w:rPr>
      </w:pPr>
      <w:r>
        <w:rPr>
          <w:rFonts w:ascii="Times New Roman" w:hAnsi="Times New Roman" w:eastAsia="仿宋_GB2312" w:cs="Times New Roman"/>
          <w:sz w:val="32"/>
          <w:szCs w:val="32"/>
          <w:highlight w:val="none"/>
          <w:lang w:val="en-US" w:eastAsia="zh-CN"/>
        </w:rPr>
        <w:t>区本级政府性基金收入与全区相同（不再重复）。</w:t>
      </w:r>
    </w:p>
    <w:p w14:paraId="3EAA109A">
      <w:pPr>
        <w:keepNext w:val="0"/>
        <w:keepLines w:val="0"/>
        <w:pageBreakBefore w:val="0"/>
        <w:widowControl w:val="0"/>
        <w:kinsoku/>
        <w:wordWrap/>
        <w:overflowPunct/>
        <w:topLinePunct w:val="0"/>
        <w:autoSpaceDE/>
        <w:autoSpaceDN/>
        <w:bidi w:val="0"/>
        <w:adjustRightInd/>
        <w:snapToGrid/>
        <w:spacing w:beforeAutospacing="0" w:afterAutospacing="0" w:line="600" w:lineRule="exact"/>
        <w:ind w:left="0" w:firstLine="640" w:firstLineChars="200"/>
        <w:contextualSpacing/>
        <w:textAlignment w:val="auto"/>
        <w:rPr>
          <w:rFonts w:ascii="Times New Roman" w:hAnsi="Times New Roman" w:eastAsia="仿宋_GB2312" w:cs="Times New Roman"/>
          <w:sz w:val="32"/>
          <w:szCs w:val="32"/>
          <w:highlight w:val="yellow"/>
          <w:lang w:val="en-US" w:eastAsia="zh-CN"/>
        </w:rPr>
      </w:pPr>
      <w:r>
        <w:rPr>
          <w:rFonts w:ascii="Times New Roman" w:hAnsi="Times New Roman" w:eastAsia="仿宋_GB2312" w:cs="Times New Roman"/>
          <w:sz w:val="32"/>
          <w:szCs w:val="32"/>
          <w:highlight w:val="none"/>
          <w:lang w:val="en-US" w:eastAsia="zh-CN"/>
        </w:rPr>
        <w:t>202</w:t>
      </w:r>
      <w:r>
        <w:rPr>
          <w:rFonts w:hint="eastAsia" w:ascii="Times New Roman" w:hAnsi="Times New Roman" w:eastAsia="仿宋_GB2312" w:cs="Times New Roman"/>
          <w:sz w:val="32"/>
          <w:szCs w:val="32"/>
          <w:highlight w:val="none"/>
          <w:lang w:val="en-US" w:eastAsia="zh-CN"/>
        </w:rPr>
        <w:t>6</w:t>
      </w:r>
      <w:r>
        <w:rPr>
          <w:rFonts w:ascii="Times New Roman" w:hAnsi="Times New Roman" w:eastAsia="仿宋_GB2312" w:cs="Times New Roman"/>
          <w:sz w:val="32"/>
          <w:szCs w:val="32"/>
          <w:highlight w:val="none"/>
          <w:lang w:val="en-US" w:eastAsia="zh-CN"/>
        </w:rPr>
        <w:t>年，区本级政府性基金支出预算安排</w:t>
      </w:r>
      <w:r>
        <w:rPr>
          <w:rFonts w:hint="eastAsia" w:ascii="Times New Roman" w:hAnsi="Times New Roman" w:eastAsia="仿宋_GB2312" w:cs="Times New Roman"/>
          <w:sz w:val="32"/>
          <w:szCs w:val="32"/>
          <w:highlight w:val="none"/>
          <w:lang w:val="en-US" w:eastAsia="zh-CN"/>
        </w:rPr>
        <w:t>14807</w:t>
      </w:r>
      <w:r>
        <w:rPr>
          <w:rFonts w:ascii="Times New Roman" w:hAnsi="Times New Roman" w:eastAsia="仿宋_GB2312" w:cs="Times New Roman"/>
          <w:sz w:val="32"/>
          <w:szCs w:val="32"/>
          <w:highlight w:val="none"/>
          <w:lang w:val="en-US" w:eastAsia="zh-CN"/>
        </w:rPr>
        <w:t>万元；补助乡镇支出</w:t>
      </w:r>
      <w:r>
        <w:rPr>
          <w:rFonts w:hint="eastAsia" w:ascii="Times New Roman" w:hAnsi="Times New Roman" w:eastAsia="仿宋_GB2312" w:cs="Times New Roman"/>
          <w:sz w:val="32"/>
          <w:szCs w:val="32"/>
          <w:highlight w:val="none"/>
          <w:lang w:val="en-US" w:eastAsia="zh-CN"/>
        </w:rPr>
        <w:t>1862</w:t>
      </w:r>
      <w:r>
        <w:rPr>
          <w:rFonts w:ascii="Times New Roman" w:hAnsi="Times New Roman" w:eastAsia="仿宋_GB2312" w:cs="Times New Roman"/>
          <w:sz w:val="32"/>
          <w:szCs w:val="32"/>
          <w:highlight w:val="none"/>
          <w:lang w:val="en-US" w:eastAsia="zh-CN"/>
        </w:rPr>
        <w:t>万元；专项债券还本支出</w:t>
      </w:r>
      <w:r>
        <w:rPr>
          <w:rFonts w:hint="eastAsia" w:ascii="Times New Roman" w:hAnsi="Times New Roman" w:eastAsia="仿宋_GB2312" w:cs="Times New Roman"/>
          <w:sz w:val="32"/>
          <w:szCs w:val="32"/>
          <w:highlight w:val="none"/>
          <w:lang w:val="en-US" w:eastAsia="zh-CN"/>
        </w:rPr>
        <w:t>20100</w:t>
      </w:r>
      <w:r>
        <w:rPr>
          <w:rFonts w:ascii="Times New Roman" w:hAnsi="Times New Roman" w:eastAsia="仿宋_GB2312" w:cs="Times New Roman"/>
          <w:sz w:val="32"/>
          <w:szCs w:val="32"/>
          <w:highlight w:val="none"/>
          <w:lang w:val="en-US" w:eastAsia="zh-CN"/>
        </w:rPr>
        <w:t>万元；上解上级支出</w:t>
      </w:r>
      <w:r>
        <w:rPr>
          <w:rFonts w:hint="eastAsia" w:ascii="Times New Roman" w:hAnsi="Times New Roman" w:eastAsia="仿宋_GB2312" w:cs="Times New Roman"/>
          <w:sz w:val="32"/>
          <w:szCs w:val="32"/>
          <w:highlight w:val="none"/>
          <w:lang w:val="en-US" w:eastAsia="zh-CN"/>
        </w:rPr>
        <w:t>100</w:t>
      </w:r>
      <w:r>
        <w:rPr>
          <w:rFonts w:ascii="Times New Roman" w:hAnsi="Times New Roman" w:eastAsia="仿宋_GB2312" w:cs="Times New Roman"/>
          <w:sz w:val="32"/>
          <w:szCs w:val="32"/>
          <w:highlight w:val="none"/>
          <w:lang w:val="en-US" w:eastAsia="zh-CN"/>
        </w:rPr>
        <w:t>万元；调出资金</w:t>
      </w:r>
      <w:r>
        <w:rPr>
          <w:rFonts w:hint="eastAsia" w:ascii="Times New Roman" w:hAnsi="Times New Roman" w:eastAsia="仿宋_GB2312" w:cs="Times New Roman"/>
          <w:sz w:val="32"/>
          <w:szCs w:val="32"/>
          <w:highlight w:val="none"/>
          <w:lang w:val="en-US" w:eastAsia="zh-CN"/>
        </w:rPr>
        <w:t>8086</w:t>
      </w:r>
      <w:r>
        <w:rPr>
          <w:rFonts w:ascii="Times New Roman" w:hAnsi="Times New Roman" w:eastAsia="仿宋_GB2312" w:cs="Times New Roman"/>
          <w:sz w:val="32"/>
          <w:szCs w:val="32"/>
          <w:highlight w:val="none"/>
          <w:lang w:val="en-US" w:eastAsia="zh-CN"/>
        </w:rPr>
        <w:t>万元；政府性基金支出总计</w:t>
      </w:r>
      <w:r>
        <w:rPr>
          <w:rFonts w:hint="eastAsia" w:ascii="Times New Roman" w:hAnsi="Times New Roman" w:eastAsia="仿宋_GB2312" w:cs="Times New Roman"/>
          <w:sz w:val="32"/>
          <w:szCs w:val="32"/>
          <w:highlight w:val="none"/>
          <w:lang w:val="en-US" w:eastAsia="zh-CN"/>
        </w:rPr>
        <w:t>44955</w:t>
      </w:r>
      <w:r>
        <w:rPr>
          <w:rFonts w:ascii="Times New Roman" w:hAnsi="Times New Roman" w:eastAsia="仿宋_GB2312" w:cs="Times New Roman"/>
          <w:sz w:val="32"/>
          <w:szCs w:val="32"/>
          <w:highlight w:val="none"/>
          <w:lang w:val="en-US" w:eastAsia="zh-CN"/>
        </w:rPr>
        <w:t>万元。</w:t>
      </w:r>
    </w:p>
    <w:p w14:paraId="1FB379FE">
      <w:pPr>
        <w:keepNext w:val="0"/>
        <w:keepLines w:val="0"/>
        <w:pageBreakBefore w:val="0"/>
        <w:widowControl w:val="0"/>
        <w:kinsoku/>
        <w:wordWrap/>
        <w:overflowPunct/>
        <w:topLinePunct w:val="0"/>
        <w:autoSpaceDE/>
        <w:autoSpaceDN/>
        <w:bidi w:val="0"/>
        <w:adjustRightInd/>
        <w:snapToGrid/>
        <w:spacing w:beforeAutospacing="0" w:afterAutospacing="0" w:line="600" w:lineRule="exact"/>
        <w:ind w:left="0" w:firstLine="643" w:firstLineChars="200"/>
        <w:contextualSpacing/>
        <w:textAlignment w:val="auto"/>
        <w:rPr>
          <w:rFonts w:ascii="Times New Roman" w:hAnsi="Times New Roman" w:eastAsia="仿宋_GB2312" w:cs="Times New Roman"/>
          <w:b/>
          <w:bCs/>
          <w:sz w:val="32"/>
          <w:szCs w:val="32"/>
          <w:highlight w:val="none"/>
          <w:lang w:val="en-US" w:eastAsia="zh-CN"/>
        </w:rPr>
      </w:pPr>
      <w:r>
        <w:rPr>
          <w:rFonts w:ascii="Times New Roman" w:hAnsi="Times New Roman" w:eastAsia="仿宋_GB2312" w:cs="Times New Roman"/>
          <w:b/>
          <w:bCs/>
          <w:sz w:val="32"/>
          <w:szCs w:val="32"/>
          <w:highlight w:val="none"/>
          <w:lang w:val="en-US" w:eastAsia="zh-CN"/>
        </w:rPr>
        <w:t>3.乡镇政府性基金预算</w:t>
      </w:r>
    </w:p>
    <w:p w14:paraId="43235B26">
      <w:pPr>
        <w:keepNext w:val="0"/>
        <w:keepLines w:val="0"/>
        <w:pageBreakBefore w:val="0"/>
        <w:widowControl w:val="0"/>
        <w:kinsoku/>
        <w:wordWrap/>
        <w:overflowPunct/>
        <w:topLinePunct w:val="0"/>
        <w:autoSpaceDE/>
        <w:autoSpaceDN/>
        <w:bidi w:val="0"/>
        <w:adjustRightInd/>
        <w:snapToGrid/>
        <w:spacing w:beforeAutospacing="0" w:afterAutospacing="0" w:line="600" w:lineRule="exact"/>
        <w:ind w:left="0" w:firstLine="640" w:firstLineChars="200"/>
        <w:contextualSpacing/>
        <w:textAlignment w:val="auto"/>
        <w:rPr>
          <w:rFonts w:ascii="Times New Roman" w:hAnsi="Times New Roman" w:eastAsia="仿宋_GB2312" w:cs="Times New Roman"/>
          <w:sz w:val="32"/>
          <w:szCs w:val="32"/>
          <w:highlight w:val="none"/>
          <w:lang w:val="en-US" w:eastAsia="zh-CN"/>
        </w:rPr>
      </w:pPr>
      <w:r>
        <w:rPr>
          <w:rFonts w:ascii="Times New Roman" w:hAnsi="Times New Roman" w:eastAsia="仿宋_GB2312" w:cs="Times New Roman"/>
          <w:sz w:val="32"/>
          <w:szCs w:val="32"/>
          <w:highlight w:val="none"/>
          <w:lang w:val="en-US" w:eastAsia="zh-CN"/>
        </w:rPr>
        <w:t>202</w:t>
      </w:r>
      <w:r>
        <w:rPr>
          <w:rFonts w:hint="eastAsia" w:ascii="Times New Roman" w:hAnsi="Times New Roman" w:eastAsia="仿宋_GB2312" w:cs="Times New Roman"/>
          <w:sz w:val="32"/>
          <w:szCs w:val="32"/>
          <w:highlight w:val="none"/>
          <w:lang w:val="en-US" w:eastAsia="zh-CN"/>
        </w:rPr>
        <w:t>6</w:t>
      </w:r>
      <w:r>
        <w:rPr>
          <w:rFonts w:ascii="Times New Roman" w:hAnsi="Times New Roman" w:eastAsia="仿宋_GB2312" w:cs="Times New Roman"/>
          <w:sz w:val="32"/>
          <w:szCs w:val="32"/>
          <w:highlight w:val="none"/>
          <w:lang w:val="en-US" w:eastAsia="zh-CN"/>
        </w:rPr>
        <w:t>年，乡镇政府性基金区级补助收入</w:t>
      </w:r>
      <w:r>
        <w:rPr>
          <w:rFonts w:hint="eastAsia" w:ascii="Times New Roman" w:hAnsi="Times New Roman" w:eastAsia="仿宋_GB2312" w:cs="Times New Roman"/>
          <w:sz w:val="32"/>
          <w:szCs w:val="32"/>
          <w:highlight w:val="none"/>
          <w:lang w:val="en-US" w:eastAsia="zh-CN"/>
        </w:rPr>
        <w:t>1862</w:t>
      </w:r>
      <w:r>
        <w:rPr>
          <w:rFonts w:ascii="Times New Roman" w:hAnsi="Times New Roman" w:eastAsia="仿宋_GB2312" w:cs="Times New Roman"/>
          <w:sz w:val="32"/>
          <w:szCs w:val="32"/>
          <w:highlight w:val="none"/>
          <w:lang w:val="en-US" w:eastAsia="zh-CN"/>
        </w:rPr>
        <w:t>万元，收入总计</w:t>
      </w:r>
      <w:r>
        <w:rPr>
          <w:rFonts w:hint="eastAsia" w:ascii="Times New Roman" w:hAnsi="Times New Roman" w:eastAsia="仿宋_GB2312" w:cs="Times New Roman"/>
          <w:sz w:val="32"/>
          <w:szCs w:val="32"/>
          <w:highlight w:val="none"/>
          <w:lang w:val="en-US" w:eastAsia="zh-CN"/>
        </w:rPr>
        <w:t>1862</w:t>
      </w:r>
      <w:r>
        <w:rPr>
          <w:rFonts w:ascii="Times New Roman" w:hAnsi="Times New Roman" w:eastAsia="仿宋_GB2312" w:cs="Times New Roman"/>
          <w:sz w:val="32"/>
          <w:szCs w:val="32"/>
          <w:highlight w:val="none"/>
          <w:lang w:val="en-US" w:eastAsia="zh-CN"/>
        </w:rPr>
        <w:t>万元；支出预算安排</w:t>
      </w:r>
      <w:r>
        <w:rPr>
          <w:rFonts w:hint="eastAsia" w:ascii="Times New Roman" w:hAnsi="Times New Roman" w:eastAsia="仿宋_GB2312" w:cs="Times New Roman"/>
          <w:sz w:val="32"/>
          <w:szCs w:val="32"/>
          <w:highlight w:val="none"/>
          <w:lang w:val="en-US" w:eastAsia="zh-CN"/>
        </w:rPr>
        <w:t>1862</w:t>
      </w:r>
      <w:r>
        <w:rPr>
          <w:rFonts w:ascii="Times New Roman" w:hAnsi="Times New Roman" w:eastAsia="仿宋_GB2312" w:cs="Times New Roman"/>
          <w:sz w:val="32"/>
          <w:szCs w:val="32"/>
          <w:highlight w:val="none"/>
          <w:lang w:val="en-US" w:eastAsia="zh-CN"/>
        </w:rPr>
        <w:t>万元，支出总计</w:t>
      </w:r>
      <w:r>
        <w:rPr>
          <w:rFonts w:hint="eastAsia" w:ascii="Times New Roman" w:hAnsi="Times New Roman" w:eastAsia="仿宋_GB2312" w:cs="Times New Roman"/>
          <w:sz w:val="32"/>
          <w:szCs w:val="32"/>
          <w:highlight w:val="none"/>
          <w:lang w:val="en-US" w:eastAsia="zh-CN"/>
        </w:rPr>
        <w:t>1862</w:t>
      </w:r>
      <w:r>
        <w:rPr>
          <w:rFonts w:ascii="Times New Roman" w:hAnsi="Times New Roman" w:eastAsia="仿宋_GB2312" w:cs="Times New Roman"/>
          <w:sz w:val="32"/>
          <w:szCs w:val="32"/>
          <w:highlight w:val="none"/>
          <w:lang w:val="en-US" w:eastAsia="zh-CN"/>
        </w:rPr>
        <w:t>万元。</w:t>
      </w:r>
    </w:p>
    <w:p w14:paraId="4BA6CF92">
      <w:pPr>
        <w:keepNext w:val="0"/>
        <w:keepLines w:val="0"/>
        <w:pageBreakBefore w:val="0"/>
        <w:widowControl w:val="0"/>
        <w:kinsoku/>
        <w:wordWrap/>
        <w:overflowPunct/>
        <w:topLinePunct w:val="0"/>
        <w:autoSpaceDN/>
        <w:bidi w:val="0"/>
        <w:snapToGrid/>
        <w:spacing w:beforeAutospacing="0" w:afterAutospacing="0" w:line="600" w:lineRule="exact"/>
        <w:ind w:left="0" w:firstLine="643" w:firstLineChars="200"/>
        <w:contextualSpacing/>
        <w:textAlignment w:val="auto"/>
        <w:rPr>
          <w:rFonts w:ascii="Times New Roman" w:hAnsi="Times New Roman" w:eastAsia="楷体_GB2312" w:cs="Times New Roman"/>
          <w:b/>
          <w:bCs w:val="0"/>
          <w:sz w:val="32"/>
          <w:szCs w:val="32"/>
          <w:highlight w:val="none"/>
          <w:lang w:val="en-US" w:eastAsia="zh-CN"/>
        </w:rPr>
      </w:pPr>
      <w:r>
        <w:rPr>
          <w:rFonts w:ascii="Times New Roman" w:hAnsi="Times New Roman" w:eastAsia="楷体_GB2312" w:cs="Times New Roman"/>
          <w:b/>
          <w:bCs w:val="0"/>
          <w:sz w:val="32"/>
          <w:szCs w:val="32"/>
          <w:highlight w:val="none"/>
          <w:lang w:val="en-US" w:eastAsia="zh-CN"/>
        </w:rPr>
        <w:t>（三）国有资本经营预算</w:t>
      </w:r>
    </w:p>
    <w:p w14:paraId="360BD483">
      <w:pPr>
        <w:keepNext w:val="0"/>
        <w:keepLines w:val="0"/>
        <w:pageBreakBefore w:val="0"/>
        <w:widowControl w:val="0"/>
        <w:kinsoku/>
        <w:wordWrap/>
        <w:overflowPunct/>
        <w:topLinePunct w:val="0"/>
        <w:autoSpaceDE/>
        <w:autoSpaceDN/>
        <w:bidi w:val="0"/>
        <w:adjustRightInd/>
        <w:snapToGrid/>
        <w:spacing w:beforeAutospacing="0" w:afterAutospacing="0" w:line="600" w:lineRule="exact"/>
        <w:ind w:left="0" w:firstLine="640" w:firstLineChars="200"/>
        <w:contextualSpacing/>
        <w:textAlignment w:val="auto"/>
        <w:rPr>
          <w:rFonts w:ascii="Times New Roman" w:hAnsi="Times New Roman" w:eastAsia="仿宋_GB2312" w:cs="Times New Roman"/>
          <w:sz w:val="32"/>
          <w:szCs w:val="32"/>
          <w:highlight w:val="none"/>
          <w:lang w:val="en-US" w:eastAsia="zh-CN"/>
        </w:rPr>
      </w:pPr>
      <w:r>
        <w:rPr>
          <w:rFonts w:ascii="Times New Roman" w:hAnsi="Times New Roman" w:eastAsia="仿宋_GB2312" w:cs="Times New Roman"/>
          <w:sz w:val="32"/>
          <w:szCs w:val="32"/>
          <w:highlight w:val="none"/>
          <w:lang w:val="en-US" w:eastAsia="zh-CN"/>
        </w:rPr>
        <w:t>2026年，国有资本经营预算收入0万元，上级补助收入330万元（其中：提前下达专项转移支付收入330万元），上年专项结转</w:t>
      </w:r>
      <w:r>
        <w:rPr>
          <w:rFonts w:hint="eastAsia" w:ascii="Times New Roman" w:hAnsi="Times New Roman" w:eastAsia="仿宋_GB2312" w:cs="Times New Roman"/>
          <w:sz w:val="32"/>
          <w:szCs w:val="32"/>
          <w:highlight w:val="none"/>
          <w:lang w:val="en-US" w:eastAsia="zh-CN"/>
        </w:rPr>
        <w:t>308</w:t>
      </w:r>
      <w:r>
        <w:rPr>
          <w:rFonts w:ascii="Times New Roman" w:hAnsi="Times New Roman" w:eastAsia="仿宋_GB2312" w:cs="Times New Roman"/>
          <w:sz w:val="32"/>
          <w:szCs w:val="32"/>
          <w:highlight w:val="none"/>
          <w:lang w:val="en-US" w:eastAsia="zh-CN"/>
        </w:rPr>
        <w:t>万元，国有资本经营收入总计</w:t>
      </w:r>
      <w:r>
        <w:rPr>
          <w:rFonts w:hint="eastAsia" w:ascii="Times New Roman" w:hAnsi="Times New Roman" w:eastAsia="仿宋_GB2312" w:cs="Times New Roman"/>
          <w:sz w:val="32"/>
          <w:szCs w:val="32"/>
          <w:highlight w:val="none"/>
          <w:lang w:val="en-US" w:eastAsia="zh-CN"/>
        </w:rPr>
        <w:t>638</w:t>
      </w:r>
      <w:r>
        <w:rPr>
          <w:rFonts w:ascii="Times New Roman" w:hAnsi="Times New Roman" w:eastAsia="仿宋_GB2312" w:cs="Times New Roman"/>
          <w:sz w:val="32"/>
          <w:szCs w:val="32"/>
          <w:highlight w:val="none"/>
          <w:lang w:val="en-US" w:eastAsia="zh-CN"/>
        </w:rPr>
        <w:t>万元。国有资本经营预算支出6</w:t>
      </w:r>
      <w:r>
        <w:rPr>
          <w:rFonts w:hint="eastAsia" w:ascii="Times New Roman" w:hAnsi="Times New Roman" w:eastAsia="仿宋_GB2312" w:cs="Times New Roman"/>
          <w:sz w:val="32"/>
          <w:szCs w:val="32"/>
          <w:highlight w:val="none"/>
          <w:lang w:val="en-US" w:eastAsia="zh-CN"/>
        </w:rPr>
        <w:t>38</w:t>
      </w:r>
      <w:r>
        <w:rPr>
          <w:rFonts w:ascii="Times New Roman" w:hAnsi="Times New Roman" w:eastAsia="仿宋_GB2312" w:cs="Times New Roman"/>
          <w:sz w:val="32"/>
          <w:szCs w:val="32"/>
          <w:highlight w:val="none"/>
          <w:lang w:val="en-US" w:eastAsia="zh-CN"/>
        </w:rPr>
        <w:t>万元，主要用于解决历史遗留问题及改革成本支出。</w:t>
      </w:r>
    </w:p>
    <w:p w14:paraId="5C2D7850">
      <w:pPr>
        <w:keepNext w:val="0"/>
        <w:keepLines w:val="0"/>
        <w:pageBreakBefore w:val="0"/>
        <w:widowControl w:val="0"/>
        <w:kinsoku/>
        <w:wordWrap/>
        <w:overflowPunct/>
        <w:topLinePunct w:val="0"/>
        <w:autoSpaceDN/>
        <w:bidi w:val="0"/>
        <w:snapToGrid/>
        <w:spacing w:beforeAutospacing="0" w:afterAutospacing="0" w:line="600" w:lineRule="exact"/>
        <w:ind w:left="0" w:firstLine="643" w:firstLineChars="200"/>
        <w:contextualSpacing/>
        <w:textAlignment w:val="auto"/>
        <w:rPr>
          <w:rFonts w:ascii="Times New Roman" w:hAnsi="Times New Roman" w:eastAsia="楷体_GB2312" w:cs="Times New Roman"/>
          <w:b/>
          <w:bCs w:val="0"/>
          <w:sz w:val="32"/>
          <w:szCs w:val="32"/>
          <w:highlight w:val="none"/>
          <w:lang w:val="en-US" w:eastAsia="zh-CN"/>
        </w:rPr>
      </w:pPr>
      <w:r>
        <w:rPr>
          <w:rFonts w:ascii="Times New Roman" w:hAnsi="Times New Roman" w:eastAsia="楷体_GB2312" w:cs="Times New Roman"/>
          <w:b/>
          <w:bCs w:val="0"/>
          <w:sz w:val="32"/>
          <w:szCs w:val="32"/>
          <w:highlight w:val="none"/>
          <w:lang w:val="en-US" w:eastAsia="zh-CN"/>
        </w:rPr>
        <w:t>（四）社会保险基金预算</w:t>
      </w:r>
    </w:p>
    <w:p w14:paraId="7E321513">
      <w:pPr>
        <w:keepNext w:val="0"/>
        <w:keepLines w:val="0"/>
        <w:pageBreakBefore w:val="0"/>
        <w:widowControl w:val="0"/>
        <w:kinsoku/>
        <w:wordWrap/>
        <w:overflowPunct/>
        <w:topLinePunct w:val="0"/>
        <w:autoSpaceDE/>
        <w:autoSpaceDN/>
        <w:bidi w:val="0"/>
        <w:adjustRightInd/>
        <w:snapToGrid/>
        <w:spacing w:beforeAutospacing="0" w:afterAutospacing="0" w:line="600" w:lineRule="exact"/>
        <w:ind w:left="0" w:firstLine="640" w:firstLineChars="200"/>
        <w:contextualSpacing/>
        <w:textAlignment w:val="auto"/>
        <w:rPr>
          <w:rFonts w:ascii="Times New Roman" w:hAnsi="Times New Roman" w:eastAsia="仿宋_GB2312" w:cs="Times New Roman"/>
          <w:sz w:val="32"/>
          <w:szCs w:val="32"/>
          <w:highlight w:val="none"/>
          <w:lang w:val="en-US" w:eastAsia="zh-CN"/>
        </w:rPr>
      </w:pPr>
      <w:r>
        <w:rPr>
          <w:rFonts w:ascii="Times New Roman" w:hAnsi="Times New Roman" w:eastAsia="仿宋_GB2312" w:cs="Times New Roman"/>
          <w:sz w:val="32"/>
          <w:szCs w:val="32"/>
          <w:highlight w:val="none"/>
          <w:lang w:val="en-US" w:eastAsia="zh-CN"/>
        </w:rPr>
        <w:t>202</w:t>
      </w:r>
      <w:r>
        <w:rPr>
          <w:rFonts w:hint="eastAsia" w:ascii="Times New Roman" w:hAnsi="Times New Roman" w:eastAsia="仿宋_GB2312" w:cs="Times New Roman"/>
          <w:sz w:val="32"/>
          <w:szCs w:val="32"/>
          <w:highlight w:val="none"/>
          <w:lang w:val="en-US" w:eastAsia="zh-CN"/>
        </w:rPr>
        <w:t>6</w:t>
      </w:r>
      <w:r>
        <w:rPr>
          <w:rFonts w:ascii="Times New Roman" w:hAnsi="Times New Roman" w:eastAsia="仿宋_GB2312" w:cs="Times New Roman"/>
          <w:sz w:val="32"/>
          <w:szCs w:val="32"/>
          <w:highlight w:val="none"/>
          <w:lang w:val="en-US" w:eastAsia="zh-CN"/>
        </w:rPr>
        <w:t>年，社会保险基金收入安排</w:t>
      </w:r>
      <w:r>
        <w:rPr>
          <w:rFonts w:hint="eastAsia" w:ascii="Times New Roman" w:hAnsi="Times New Roman" w:eastAsia="仿宋_GB2312" w:cs="Times New Roman"/>
          <w:sz w:val="32"/>
          <w:szCs w:val="32"/>
          <w:highlight w:val="none"/>
          <w:lang w:val="en-US" w:eastAsia="zh-CN"/>
        </w:rPr>
        <w:t>16844</w:t>
      </w:r>
      <w:r>
        <w:rPr>
          <w:rFonts w:ascii="Times New Roman" w:hAnsi="Times New Roman" w:eastAsia="仿宋_GB2312" w:cs="Times New Roman"/>
          <w:sz w:val="32"/>
          <w:szCs w:val="32"/>
          <w:highlight w:val="none"/>
          <w:lang w:val="en-US" w:eastAsia="zh-CN"/>
        </w:rPr>
        <w:t>万元。其中：城乡居民基本养老保险基金收入安排</w:t>
      </w:r>
      <w:r>
        <w:rPr>
          <w:rFonts w:hint="eastAsia" w:ascii="Times New Roman" w:hAnsi="Times New Roman" w:eastAsia="仿宋_GB2312" w:cs="Times New Roman"/>
          <w:sz w:val="32"/>
          <w:szCs w:val="32"/>
          <w:highlight w:val="none"/>
          <w:lang w:val="en-US" w:eastAsia="zh-CN"/>
        </w:rPr>
        <w:t>3373</w:t>
      </w:r>
      <w:r>
        <w:rPr>
          <w:rFonts w:ascii="Times New Roman" w:hAnsi="Times New Roman" w:eastAsia="仿宋_GB2312" w:cs="Times New Roman"/>
          <w:sz w:val="32"/>
          <w:szCs w:val="32"/>
          <w:highlight w:val="none"/>
          <w:lang w:val="en-US" w:eastAsia="zh-CN"/>
        </w:rPr>
        <w:t>万元（其中：财政补贴</w:t>
      </w:r>
      <w:r>
        <w:rPr>
          <w:rFonts w:hint="eastAsia" w:ascii="Times New Roman" w:hAnsi="Times New Roman" w:eastAsia="仿宋_GB2312" w:cs="Times New Roman"/>
          <w:sz w:val="32"/>
          <w:szCs w:val="32"/>
          <w:highlight w:val="none"/>
          <w:lang w:val="en-US" w:eastAsia="zh-CN"/>
        </w:rPr>
        <w:t>2199</w:t>
      </w:r>
      <w:r>
        <w:rPr>
          <w:rFonts w:ascii="Times New Roman" w:hAnsi="Times New Roman" w:eastAsia="仿宋_GB2312" w:cs="Times New Roman"/>
          <w:sz w:val="32"/>
          <w:szCs w:val="32"/>
          <w:highlight w:val="none"/>
          <w:lang w:val="en-US" w:eastAsia="zh-CN"/>
        </w:rPr>
        <w:t>万元），机关事业单位基本养老保险基金收入安排</w:t>
      </w:r>
      <w:r>
        <w:rPr>
          <w:rFonts w:hint="eastAsia" w:ascii="Times New Roman" w:hAnsi="Times New Roman" w:eastAsia="仿宋_GB2312" w:cs="Times New Roman"/>
          <w:sz w:val="32"/>
          <w:szCs w:val="32"/>
          <w:highlight w:val="none"/>
          <w:lang w:val="en-US" w:eastAsia="zh-CN"/>
        </w:rPr>
        <w:t>13471</w:t>
      </w:r>
      <w:r>
        <w:rPr>
          <w:rFonts w:ascii="Times New Roman" w:hAnsi="Times New Roman" w:eastAsia="仿宋_GB2312" w:cs="Times New Roman"/>
          <w:sz w:val="32"/>
          <w:szCs w:val="32"/>
          <w:highlight w:val="none"/>
          <w:lang w:val="en-US" w:eastAsia="zh-CN"/>
        </w:rPr>
        <w:t>万元（其中：财政补贴</w:t>
      </w:r>
      <w:r>
        <w:rPr>
          <w:rFonts w:hint="eastAsia" w:ascii="Times New Roman" w:hAnsi="Times New Roman" w:eastAsia="仿宋_GB2312" w:cs="Times New Roman"/>
          <w:sz w:val="32"/>
          <w:szCs w:val="32"/>
          <w:highlight w:val="none"/>
          <w:lang w:val="en-US" w:eastAsia="zh-CN"/>
        </w:rPr>
        <w:t>8745</w:t>
      </w:r>
      <w:r>
        <w:rPr>
          <w:rFonts w:ascii="Times New Roman" w:hAnsi="Times New Roman" w:eastAsia="仿宋_GB2312" w:cs="Times New Roman"/>
          <w:sz w:val="32"/>
          <w:szCs w:val="32"/>
          <w:highlight w:val="none"/>
          <w:lang w:val="en-US" w:eastAsia="zh-CN"/>
        </w:rPr>
        <w:t>万元）。社会保险基金支出安排14</w:t>
      </w:r>
      <w:r>
        <w:rPr>
          <w:rFonts w:hint="eastAsia" w:ascii="Times New Roman" w:hAnsi="Times New Roman" w:eastAsia="仿宋_GB2312" w:cs="Times New Roman"/>
          <w:sz w:val="32"/>
          <w:szCs w:val="32"/>
          <w:highlight w:val="none"/>
          <w:lang w:val="en-US" w:eastAsia="zh-CN"/>
        </w:rPr>
        <w:t>371</w:t>
      </w:r>
      <w:r>
        <w:rPr>
          <w:rFonts w:ascii="Times New Roman" w:hAnsi="Times New Roman" w:eastAsia="仿宋_GB2312" w:cs="Times New Roman"/>
          <w:sz w:val="32"/>
          <w:szCs w:val="32"/>
          <w:highlight w:val="none"/>
          <w:lang w:val="en-US" w:eastAsia="zh-CN"/>
        </w:rPr>
        <w:t>万元。其中城乡居民基本养老保险基金支出</w:t>
      </w:r>
      <w:r>
        <w:rPr>
          <w:rFonts w:hint="eastAsia" w:ascii="Times New Roman" w:hAnsi="Times New Roman" w:eastAsia="仿宋_GB2312" w:cs="Times New Roman"/>
          <w:sz w:val="32"/>
          <w:szCs w:val="32"/>
          <w:highlight w:val="none"/>
          <w:lang w:val="en-US" w:eastAsia="zh-CN"/>
        </w:rPr>
        <w:t>2489</w:t>
      </w:r>
      <w:r>
        <w:rPr>
          <w:rFonts w:ascii="Times New Roman" w:hAnsi="Times New Roman" w:eastAsia="仿宋_GB2312" w:cs="Times New Roman"/>
          <w:sz w:val="32"/>
          <w:szCs w:val="32"/>
          <w:highlight w:val="none"/>
          <w:lang w:val="en-US" w:eastAsia="zh-CN"/>
        </w:rPr>
        <w:t>元，机关事业单位基本养老保险基金支出</w:t>
      </w:r>
      <w:r>
        <w:rPr>
          <w:rFonts w:hint="eastAsia" w:ascii="Times New Roman" w:hAnsi="Times New Roman" w:eastAsia="仿宋_GB2312" w:cs="Times New Roman"/>
          <w:sz w:val="32"/>
          <w:szCs w:val="32"/>
          <w:highlight w:val="none"/>
          <w:lang w:val="en-US" w:eastAsia="zh-CN"/>
        </w:rPr>
        <w:t>11882</w:t>
      </w:r>
      <w:r>
        <w:rPr>
          <w:rFonts w:ascii="Times New Roman" w:hAnsi="Times New Roman" w:eastAsia="仿宋_GB2312" w:cs="Times New Roman"/>
          <w:sz w:val="32"/>
          <w:szCs w:val="32"/>
          <w:highlight w:val="none"/>
          <w:lang w:val="en-US" w:eastAsia="zh-CN"/>
        </w:rPr>
        <w:t>万元。</w:t>
      </w:r>
    </w:p>
    <w:p w14:paraId="1E836210">
      <w:pPr>
        <w:keepNext w:val="0"/>
        <w:keepLines w:val="0"/>
        <w:pageBreakBefore w:val="0"/>
        <w:widowControl w:val="0"/>
        <w:kinsoku/>
        <w:wordWrap/>
        <w:overflowPunct/>
        <w:topLinePunct w:val="0"/>
        <w:autoSpaceDN/>
        <w:bidi w:val="0"/>
        <w:snapToGrid/>
        <w:spacing w:beforeAutospacing="0" w:afterAutospacing="0" w:line="600" w:lineRule="exact"/>
        <w:ind w:left="0" w:firstLine="643" w:firstLineChars="200"/>
        <w:contextualSpacing/>
        <w:textAlignment w:val="auto"/>
        <w:rPr>
          <w:rFonts w:ascii="Times New Roman" w:hAnsi="Times New Roman" w:eastAsia="楷体_GB2312" w:cs="Times New Roman"/>
          <w:b/>
          <w:bCs w:val="0"/>
          <w:sz w:val="32"/>
          <w:szCs w:val="32"/>
          <w:highlight w:val="none"/>
          <w:lang w:val="en-US" w:eastAsia="zh-CN"/>
        </w:rPr>
      </w:pPr>
      <w:r>
        <w:rPr>
          <w:rFonts w:ascii="Times New Roman" w:hAnsi="Times New Roman" w:eastAsia="楷体_GB2312" w:cs="Times New Roman"/>
          <w:b/>
          <w:bCs w:val="0"/>
          <w:sz w:val="32"/>
          <w:szCs w:val="32"/>
          <w:highlight w:val="none"/>
          <w:lang w:val="en-US" w:eastAsia="zh-CN"/>
        </w:rPr>
        <w:t>（五）区本级重点支出保障和主要项目安排情况</w:t>
      </w:r>
    </w:p>
    <w:p w14:paraId="4AA1EABF">
      <w:pPr>
        <w:keepNext w:val="0"/>
        <w:keepLines w:val="0"/>
        <w:pageBreakBefore w:val="0"/>
        <w:widowControl w:val="0"/>
        <w:kinsoku/>
        <w:wordWrap/>
        <w:overflowPunct/>
        <w:topLinePunct w:val="0"/>
        <w:autoSpaceDE/>
        <w:autoSpaceDN/>
        <w:bidi w:val="0"/>
        <w:adjustRightInd/>
        <w:snapToGrid/>
        <w:spacing w:beforeAutospacing="0" w:afterAutospacing="0" w:line="600" w:lineRule="exact"/>
        <w:ind w:left="0" w:firstLine="643" w:firstLineChars="200"/>
        <w:contextualSpacing/>
        <w:textAlignment w:val="auto"/>
        <w:rPr>
          <w:rFonts w:ascii="Times New Roman" w:hAnsi="Times New Roman" w:eastAsia="仿宋_GB2312" w:cs="Times New Roman"/>
          <w:b w:val="0"/>
          <w:bCs w:val="0"/>
          <w:sz w:val="32"/>
          <w:szCs w:val="32"/>
          <w:highlight w:val="none"/>
          <w:lang w:val="en-US" w:eastAsia="zh-CN"/>
        </w:rPr>
      </w:pPr>
      <w:r>
        <w:rPr>
          <w:rFonts w:ascii="Times New Roman" w:hAnsi="Times New Roman" w:eastAsia="仿宋_GB2312" w:cs="Times New Roman"/>
          <w:b/>
          <w:bCs/>
          <w:kern w:val="0"/>
          <w:sz w:val="32"/>
          <w:szCs w:val="32"/>
          <w:highlight w:val="none"/>
        </w:rPr>
        <w:t>1</w:t>
      </w:r>
      <w:r>
        <w:rPr>
          <w:rFonts w:ascii="Times New Roman" w:hAnsi="Times New Roman" w:eastAsia="仿宋_GB2312" w:cs="Times New Roman"/>
          <w:b/>
          <w:bCs/>
          <w:kern w:val="0"/>
          <w:sz w:val="32"/>
          <w:szCs w:val="32"/>
          <w:highlight w:val="none"/>
          <w:lang w:eastAsia="zh-CN"/>
        </w:rPr>
        <w:t>.</w:t>
      </w:r>
      <w:r>
        <w:rPr>
          <w:rFonts w:ascii="Times New Roman" w:hAnsi="Times New Roman" w:eastAsia="仿宋_GB2312" w:cs="Times New Roman"/>
          <w:b/>
          <w:bCs/>
          <w:kern w:val="0"/>
          <w:sz w:val="32"/>
          <w:szCs w:val="32"/>
          <w:highlight w:val="none"/>
          <w:lang w:val="en-US" w:eastAsia="zh-CN"/>
        </w:rPr>
        <w:t>聚焦民生发展，增进民生福祉</w:t>
      </w:r>
      <w:r>
        <w:rPr>
          <w:rFonts w:ascii="Times New Roman" w:hAnsi="Times New Roman" w:eastAsia="仿宋_GB2312" w:cs="Times New Roman"/>
          <w:b/>
          <w:bCs/>
          <w:sz w:val="32"/>
          <w:szCs w:val="32"/>
          <w:highlight w:val="none"/>
          <w:lang w:val="en-US" w:eastAsia="zh-CN"/>
        </w:rPr>
        <w:t>。</w:t>
      </w:r>
      <w:r>
        <w:rPr>
          <w:rFonts w:ascii="Times New Roman" w:hAnsi="Times New Roman" w:eastAsia="仿宋_GB2312" w:cs="Times New Roman"/>
          <w:b w:val="0"/>
          <w:bCs w:val="0"/>
          <w:sz w:val="32"/>
          <w:szCs w:val="32"/>
          <w:highlight w:val="none"/>
          <w:lang w:val="en-US" w:eastAsia="zh-CN"/>
        </w:rPr>
        <w:t>坚持以重点领域刚性支出为首要顺序，惠民生、稳发展。预算安排</w:t>
      </w:r>
      <w:r>
        <w:rPr>
          <w:rFonts w:hint="eastAsia" w:ascii="Times New Roman" w:hAnsi="Times New Roman" w:eastAsia="仿宋_GB2312" w:cs="Times New Roman"/>
          <w:b w:val="0"/>
          <w:bCs w:val="0"/>
          <w:sz w:val="32"/>
          <w:szCs w:val="32"/>
          <w:highlight w:val="none"/>
          <w:lang w:val="en-US" w:eastAsia="zh-CN"/>
        </w:rPr>
        <w:t>45198</w:t>
      </w:r>
      <w:r>
        <w:rPr>
          <w:rFonts w:ascii="Times New Roman" w:hAnsi="Times New Roman" w:eastAsia="仿宋_GB2312" w:cs="Times New Roman"/>
          <w:b w:val="0"/>
          <w:bCs w:val="0"/>
          <w:sz w:val="32"/>
          <w:szCs w:val="32"/>
          <w:highlight w:val="none"/>
          <w:lang w:val="en-US" w:eastAsia="zh-CN"/>
        </w:rPr>
        <w:t>万元，用于全区“三保”支出，其中：保工资安排</w:t>
      </w:r>
      <w:r>
        <w:rPr>
          <w:rFonts w:hint="eastAsia" w:ascii="Times New Roman" w:hAnsi="Times New Roman" w:eastAsia="仿宋_GB2312" w:cs="Times New Roman"/>
          <w:b w:val="0"/>
          <w:bCs w:val="0"/>
          <w:sz w:val="32"/>
          <w:szCs w:val="32"/>
          <w:highlight w:val="none"/>
          <w:lang w:val="en-US" w:eastAsia="zh-CN"/>
        </w:rPr>
        <w:t>25470</w:t>
      </w:r>
      <w:r>
        <w:rPr>
          <w:rFonts w:ascii="Times New Roman" w:hAnsi="Times New Roman" w:eastAsia="仿宋_GB2312" w:cs="Times New Roman"/>
          <w:b w:val="0"/>
          <w:bCs w:val="0"/>
          <w:sz w:val="32"/>
          <w:szCs w:val="32"/>
          <w:highlight w:val="none"/>
          <w:lang w:val="en-US" w:eastAsia="zh-CN"/>
        </w:rPr>
        <w:t>万元、保运转安排1</w:t>
      </w:r>
      <w:r>
        <w:rPr>
          <w:rFonts w:hint="eastAsia" w:ascii="Times New Roman" w:hAnsi="Times New Roman" w:eastAsia="仿宋_GB2312" w:cs="Times New Roman"/>
          <w:b w:val="0"/>
          <w:bCs w:val="0"/>
          <w:sz w:val="32"/>
          <w:szCs w:val="32"/>
          <w:highlight w:val="none"/>
          <w:lang w:val="en-US" w:eastAsia="zh-CN"/>
        </w:rPr>
        <w:t>228</w:t>
      </w:r>
      <w:r>
        <w:rPr>
          <w:rFonts w:ascii="Times New Roman" w:hAnsi="Times New Roman" w:eastAsia="仿宋_GB2312" w:cs="Times New Roman"/>
          <w:b w:val="0"/>
          <w:bCs w:val="0"/>
          <w:sz w:val="32"/>
          <w:szCs w:val="32"/>
          <w:highlight w:val="none"/>
          <w:lang w:val="en-US" w:eastAsia="zh-CN"/>
        </w:rPr>
        <w:t>万元、保基本民生安排</w:t>
      </w:r>
      <w:r>
        <w:rPr>
          <w:rFonts w:hint="eastAsia" w:ascii="Times New Roman" w:hAnsi="Times New Roman" w:eastAsia="仿宋_GB2312" w:cs="Times New Roman"/>
          <w:b w:val="0"/>
          <w:bCs w:val="0"/>
          <w:sz w:val="32"/>
          <w:szCs w:val="32"/>
          <w:highlight w:val="none"/>
          <w:lang w:val="en-US" w:eastAsia="zh-CN"/>
        </w:rPr>
        <w:t>18500</w:t>
      </w:r>
      <w:r>
        <w:rPr>
          <w:rFonts w:ascii="Times New Roman" w:hAnsi="Times New Roman" w:eastAsia="仿宋_GB2312" w:cs="Times New Roman"/>
          <w:b w:val="0"/>
          <w:bCs w:val="0"/>
          <w:sz w:val="32"/>
          <w:szCs w:val="32"/>
          <w:highlight w:val="none"/>
          <w:lang w:val="en-US" w:eastAsia="zh-CN"/>
        </w:rPr>
        <w:t>万元；预算安排</w:t>
      </w:r>
      <w:r>
        <w:rPr>
          <w:rFonts w:hint="eastAsia" w:ascii="Times New Roman" w:hAnsi="Times New Roman" w:eastAsia="仿宋_GB2312" w:cs="Times New Roman"/>
          <w:b w:val="0"/>
          <w:bCs w:val="0"/>
          <w:sz w:val="32"/>
          <w:szCs w:val="32"/>
          <w:highlight w:val="none"/>
          <w:lang w:val="en-US" w:eastAsia="zh-CN"/>
        </w:rPr>
        <w:t>3221</w:t>
      </w:r>
      <w:r>
        <w:rPr>
          <w:rFonts w:ascii="Times New Roman" w:hAnsi="Times New Roman" w:eastAsia="仿宋_GB2312" w:cs="Times New Roman"/>
          <w:b w:val="0"/>
          <w:bCs w:val="0"/>
          <w:sz w:val="32"/>
          <w:szCs w:val="32"/>
          <w:highlight w:val="none"/>
          <w:lang w:val="en-US" w:eastAsia="zh-CN"/>
        </w:rPr>
        <w:t>万元，用于全区公共事业领域支出。主要包括：环卫市场化运行安排2436万元，园林绿化安排780万元</w:t>
      </w:r>
      <w:r>
        <w:rPr>
          <w:rFonts w:hint="eastAsia" w:ascii="Times New Roman" w:hAnsi="Times New Roman" w:eastAsia="仿宋_GB2312" w:cs="Times New Roman"/>
          <w:b w:val="0"/>
          <w:bCs w:val="0"/>
          <w:sz w:val="32"/>
          <w:szCs w:val="32"/>
          <w:highlight w:val="none"/>
          <w:lang w:val="en-US" w:eastAsia="zh-CN"/>
        </w:rPr>
        <w:t>等</w:t>
      </w:r>
      <w:r>
        <w:rPr>
          <w:rFonts w:ascii="Times New Roman" w:hAnsi="Times New Roman" w:eastAsia="仿宋_GB2312" w:cs="Times New Roman"/>
          <w:b w:val="0"/>
          <w:bCs w:val="0"/>
          <w:sz w:val="32"/>
          <w:szCs w:val="32"/>
          <w:highlight w:val="none"/>
          <w:lang w:val="en-US" w:eastAsia="zh-CN"/>
        </w:rPr>
        <w:t>；预算安排6254万元，用于全区编外人员经费补助，主要包括劳务派遣、社区工作者、乡村医生等。</w:t>
      </w:r>
    </w:p>
    <w:p w14:paraId="4B1A68FC">
      <w:pPr>
        <w:keepNext w:val="0"/>
        <w:keepLines w:val="0"/>
        <w:pageBreakBefore w:val="0"/>
        <w:widowControl w:val="0"/>
        <w:kinsoku/>
        <w:wordWrap/>
        <w:overflowPunct/>
        <w:topLinePunct w:val="0"/>
        <w:autoSpaceDE/>
        <w:autoSpaceDN/>
        <w:bidi w:val="0"/>
        <w:snapToGrid/>
        <w:spacing w:beforeAutospacing="0" w:afterAutospacing="0" w:line="600" w:lineRule="exact"/>
        <w:ind w:left="0" w:firstLine="643" w:firstLineChars="200"/>
        <w:contextualSpacing/>
        <w:textAlignment w:val="auto"/>
        <w:rPr>
          <w:rFonts w:ascii="Times New Roman" w:hAnsi="Times New Roman" w:eastAsia="仿宋_GB2312" w:cs="Times New Roman"/>
          <w:sz w:val="32"/>
          <w:szCs w:val="32"/>
          <w:highlight w:val="yellow"/>
          <w:lang w:val="en-US" w:eastAsia="zh-CN"/>
        </w:rPr>
      </w:pPr>
      <w:r>
        <w:rPr>
          <w:rFonts w:ascii="Times New Roman" w:hAnsi="Times New Roman" w:eastAsia="仿宋_GB2312" w:cs="Times New Roman"/>
          <w:b/>
          <w:bCs w:val="0"/>
          <w:sz w:val="32"/>
          <w:szCs w:val="32"/>
          <w:lang w:val="en-US" w:eastAsia="zh-CN"/>
        </w:rPr>
        <w:t>2.聚焦转型发展，推动经济建设。</w:t>
      </w:r>
      <w:r>
        <w:rPr>
          <w:rFonts w:ascii="Times New Roman" w:hAnsi="Times New Roman" w:eastAsia="仿宋_GB2312" w:cs="Times New Roman"/>
          <w:bCs/>
          <w:sz w:val="32"/>
          <w:szCs w:val="32"/>
          <w:lang w:val="en-US" w:eastAsia="zh-CN"/>
        </w:rPr>
        <w:t>预算安排4000万元，用于职业技术教育中心项目配套建设；预算安排</w:t>
      </w:r>
      <w:r>
        <w:rPr>
          <w:rFonts w:hint="eastAsia" w:ascii="Times New Roman" w:hAnsi="Times New Roman" w:eastAsia="仿宋_GB2312" w:cs="Times New Roman"/>
          <w:bCs/>
          <w:sz w:val="32"/>
          <w:szCs w:val="32"/>
          <w:lang w:val="en-US" w:eastAsia="zh-CN"/>
        </w:rPr>
        <w:t>2913</w:t>
      </w:r>
      <w:r>
        <w:rPr>
          <w:rFonts w:ascii="Times New Roman" w:hAnsi="Times New Roman" w:eastAsia="仿宋_GB2312" w:cs="Times New Roman"/>
          <w:bCs/>
          <w:sz w:val="32"/>
          <w:szCs w:val="32"/>
          <w:lang w:val="en-US" w:eastAsia="zh-CN"/>
        </w:rPr>
        <w:t>万元，用于全区应急基础设施建设项目；预算安排359万元，用于矿区人才绿卡补贴，落实人才政策保障。</w:t>
      </w:r>
    </w:p>
    <w:p w14:paraId="51BC48F7">
      <w:pPr>
        <w:keepNext w:val="0"/>
        <w:keepLines w:val="0"/>
        <w:pageBreakBefore w:val="0"/>
        <w:widowControl w:val="0"/>
        <w:kinsoku/>
        <w:wordWrap/>
        <w:overflowPunct/>
        <w:topLinePunct w:val="0"/>
        <w:autoSpaceDE/>
        <w:autoSpaceDN/>
        <w:bidi w:val="0"/>
        <w:adjustRightInd w:val="0"/>
        <w:snapToGrid w:val="0"/>
        <w:spacing w:beforeAutospacing="0" w:afterAutospacing="0" w:line="600" w:lineRule="exact"/>
        <w:ind w:left="0" w:firstLine="643" w:firstLineChars="200"/>
        <w:contextualSpacing/>
        <w:textAlignment w:val="auto"/>
        <w:rPr>
          <w:rFonts w:ascii="Times New Roman" w:hAnsi="Times New Roman" w:eastAsia="仿宋_GB2312" w:cs="Times New Roman"/>
          <w:sz w:val="32"/>
          <w:szCs w:val="32"/>
          <w:highlight w:val="none"/>
          <w:lang w:val="en-US" w:eastAsia="zh-CN"/>
        </w:rPr>
      </w:pPr>
      <w:r>
        <w:rPr>
          <w:rFonts w:ascii="Times New Roman" w:hAnsi="Times New Roman" w:eastAsia="仿宋_GB2312" w:cs="Times New Roman"/>
          <w:b/>
          <w:bCs w:val="0"/>
          <w:sz w:val="32"/>
          <w:szCs w:val="32"/>
        </w:rPr>
        <w:t>3</w:t>
      </w:r>
      <w:r>
        <w:rPr>
          <w:rFonts w:ascii="Times New Roman" w:hAnsi="Times New Roman" w:eastAsia="仿宋_GB2312" w:cs="Times New Roman"/>
          <w:b/>
          <w:bCs w:val="0"/>
          <w:sz w:val="32"/>
          <w:szCs w:val="32"/>
          <w:lang w:eastAsia="zh-CN"/>
        </w:rPr>
        <w:t>.</w:t>
      </w:r>
      <w:r>
        <w:rPr>
          <w:rFonts w:ascii="Times New Roman" w:hAnsi="Times New Roman" w:eastAsia="仿宋_GB2312" w:cs="Times New Roman"/>
          <w:b/>
          <w:bCs w:val="0"/>
          <w:sz w:val="32"/>
          <w:szCs w:val="32"/>
          <w:lang w:val="en-US" w:eastAsia="zh-CN"/>
        </w:rPr>
        <w:t>聚焦乡村发展，助力乡村振兴</w:t>
      </w:r>
      <w:r>
        <w:rPr>
          <w:rFonts w:ascii="Times New Roman" w:hAnsi="Times New Roman" w:eastAsia="仿宋_GB2312" w:cs="Times New Roman"/>
          <w:b/>
          <w:bCs w:val="0"/>
          <w:sz w:val="32"/>
          <w:szCs w:val="32"/>
        </w:rPr>
        <w:t>。</w:t>
      </w:r>
      <w:r>
        <w:rPr>
          <w:rFonts w:ascii="Times New Roman" w:hAnsi="Times New Roman" w:eastAsia="仿宋_GB2312" w:cs="Times New Roman"/>
          <w:b w:val="0"/>
          <w:bCs/>
          <w:sz w:val="32"/>
          <w:szCs w:val="32"/>
          <w:lang w:val="en-US" w:eastAsia="zh-CN"/>
        </w:rPr>
        <w:t>预算</w:t>
      </w:r>
      <w:r>
        <w:rPr>
          <w:rFonts w:ascii="Times New Roman" w:hAnsi="Times New Roman" w:eastAsia="仿宋_GB2312" w:cs="Times New Roman"/>
          <w:sz w:val="32"/>
          <w:szCs w:val="32"/>
          <w:highlight w:val="none"/>
          <w:lang w:val="en-US" w:eastAsia="zh-CN"/>
        </w:rPr>
        <w:t>安排</w:t>
      </w:r>
      <w:r>
        <w:rPr>
          <w:rFonts w:hint="eastAsia" w:ascii="Times New Roman" w:hAnsi="Times New Roman" w:eastAsia="仿宋_GB2312" w:cs="Times New Roman"/>
          <w:sz w:val="32"/>
          <w:szCs w:val="32"/>
          <w:highlight w:val="none"/>
          <w:lang w:val="en-US" w:eastAsia="zh-CN"/>
        </w:rPr>
        <w:t>1699</w:t>
      </w:r>
      <w:r>
        <w:rPr>
          <w:rFonts w:ascii="Times New Roman" w:hAnsi="Times New Roman" w:eastAsia="仿宋_GB2312" w:cs="Times New Roman"/>
          <w:sz w:val="32"/>
          <w:szCs w:val="32"/>
          <w:highlight w:val="none"/>
          <w:lang w:val="en-US" w:eastAsia="zh-CN"/>
        </w:rPr>
        <w:t>万元，主要用于征地补偿等土地成本支出；预算安排</w:t>
      </w:r>
      <w:r>
        <w:rPr>
          <w:rFonts w:hint="eastAsia" w:ascii="Times New Roman" w:hAnsi="Times New Roman" w:eastAsia="仿宋_GB2312" w:cs="Times New Roman"/>
          <w:sz w:val="32"/>
          <w:szCs w:val="32"/>
          <w:highlight w:val="none"/>
          <w:lang w:val="en-US" w:eastAsia="zh-CN"/>
        </w:rPr>
        <w:t>8.7</w:t>
      </w:r>
      <w:r>
        <w:rPr>
          <w:rFonts w:ascii="Times New Roman" w:hAnsi="Times New Roman" w:eastAsia="仿宋_GB2312" w:cs="Times New Roman"/>
          <w:sz w:val="32"/>
          <w:szCs w:val="32"/>
          <w:highlight w:val="none"/>
          <w:lang w:val="en-US" w:eastAsia="zh-CN"/>
        </w:rPr>
        <w:t>万元，用于乡镇购买脱贫地区农副产品；预算安排</w:t>
      </w:r>
      <w:r>
        <w:rPr>
          <w:rFonts w:hint="eastAsia" w:ascii="Times New Roman" w:hAnsi="Times New Roman" w:eastAsia="仿宋_GB2312" w:cs="Times New Roman"/>
          <w:sz w:val="32"/>
          <w:szCs w:val="32"/>
          <w:highlight w:val="none"/>
          <w:lang w:val="en-US" w:eastAsia="zh-CN"/>
        </w:rPr>
        <w:t>180</w:t>
      </w:r>
      <w:r>
        <w:rPr>
          <w:rFonts w:ascii="Times New Roman" w:hAnsi="Times New Roman" w:eastAsia="仿宋_GB2312" w:cs="Times New Roman"/>
          <w:sz w:val="32"/>
          <w:szCs w:val="32"/>
          <w:highlight w:val="none"/>
          <w:lang w:val="en-US" w:eastAsia="zh-CN"/>
        </w:rPr>
        <w:t>万元，</w:t>
      </w:r>
      <w:r>
        <w:rPr>
          <w:rFonts w:hint="eastAsia" w:ascii="Times New Roman" w:hAnsi="Times New Roman" w:eastAsia="仿宋_GB2312" w:cs="Times New Roman"/>
          <w:sz w:val="32"/>
          <w:szCs w:val="32"/>
          <w:highlight w:val="none"/>
          <w:lang w:val="en-US" w:eastAsia="zh-CN"/>
        </w:rPr>
        <w:t>用于解决乡镇历史遗留问题</w:t>
      </w:r>
      <w:r>
        <w:rPr>
          <w:rFonts w:ascii="Times New Roman" w:hAnsi="Times New Roman" w:eastAsia="仿宋_GB2312" w:cs="Times New Roman"/>
          <w:sz w:val="32"/>
          <w:szCs w:val="32"/>
          <w:highlight w:val="none"/>
          <w:lang w:val="en-US" w:eastAsia="zh-CN"/>
        </w:rPr>
        <w:t>。</w:t>
      </w:r>
    </w:p>
    <w:p w14:paraId="2027CB0B">
      <w:pPr>
        <w:keepNext w:val="0"/>
        <w:keepLines w:val="0"/>
        <w:pageBreakBefore w:val="0"/>
        <w:widowControl w:val="0"/>
        <w:kinsoku/>
        <w:wordWrap/>
        <w:overflowPunct/>
        <w:topLinePunct w:val="0"/>
        <w:autoSpaceDE/>
        <w:autoSpaceDN/>
        <w:bidi w:val="0"/>
        <w:snapToGrid/>
        <w:spacing w:beforeAutospacing="0" w:afterAutospacing="0" w:line="600" w:lineRule="exact"/>
        <w:ind w:left="0" w:firstLine="643" w:firstLineChars="200"/>
        <w:contextualSpacing/>
        <w:textAlignment w:val="auto"/>
        <w:rPr>
          <w:rFonts w:ascii="Times New Roman" w:hAnsi="Times New Roman" w:eastAsia="仿宋_GB2312" w:cs="Times New Roman"/>
          <w:sz w:val="32"/>
          <w:szCs w:val="32"/>
          <w:highlight w:val="none"/>
          <w:lang w:val="en-US" w:eastAsia="zh-CN"/>
        </w:rPr>
      </w:pPr>
      <w:r>
        <w:rPr>
          <w:rFonts w:ascii="Times New Roman" w:hAnsi="Times New Roman" w:eastAsia="仿宋_GB2312" w:cs="Times New Roman"/>
          <w:b/>
          <w:bCs w:val="0"/>
          <w:sz w:val="32"/>
          <w:szCs w:val="32"/>
          <w:lang w:val="en-US" w:eastAsia="zh-CN"/>
        </w:rPr>
        <w:t>4</w:t>
      </w:r>
      <w:r>
        <w:rPr>
          <w:rFonts w:ascii="Times New Roman" w:hAnsi="Times New Roman" w:eastAsia="仿宋_GB2312" w:cs="Times New Roman"/>
          <w:b/>
          <w:bCs w:val="0"/>
          <w:sz w:val="32"/>
          <w:szCs w:val="32"/>
          <w:lang w:eastAsia="zh-CN"/>
        </w:rPr>
        <w:t>.</w:t>
      </w:r>
      <w:r>
        <w:rPr>
          <w:rFonts w:ascii="Times New Roman" w:hAnsi="Times New Roman" w:eastAsia="仿宋_GB2312" w:cs="Times New Roman"/>
          <w:b/>
          <w:bCs w:val="0"/>
          <w:sz w:val="32"/>
          <w:szCs w:val="32"/>
          <w:lang w:val="en-US" w:eastAsia="zh-CN"/>
        </w:rPr>
        <w:t>聚焦风险防控</w:t>
      </w:r>
      <w:r>
        <w:rPr>
          <w:rFonts w:ascii="Times New Roman" w:hAnsi="Times New Roman" w:eastAsia="仿宋_GB2312" w:cs="Times New Roman"/>
          <w:b/>
          <w:bCs w:val="0"/>
          <w:sz w:val="32"/>
          <w:szCs w:val="32"/>
          <w:lang w:eastAsia="zh-CN"/>
        </w:rPr>
        <w:t>，</w:t>
      </w:r>
      <w:r>
        <w:rPr>
          <w:rFonts w:ascii="Times New Roman" w:hAnsi="Times New Roman" w:eastAsia="仿宋_GB2312" w:cs="Times New Roman"/>
          <w:b/>
          <w:bCs w:val="0"/>
          <w:sz w:val="32"/>
          <w:szCs w:val="32"/>
          <w:lang w:val="en-US" w:eastAsia="zh-CN"/>
        </w:rPr>
        <w:t>妥善化解债务。</w:t>
      </w:r>
      <w:r>
        <w:rPr>
          <w:rFonts w:ascii="Times New Roman" w:hAnsi="Times New Roman" w:eastAsia="仿宋_GB2312" w:cs="Times New Roman"/>
          <w:sz w:val="32"/>
          <w:szCs w:val="32"/>
          <w:lang w:val="en-US" w:eastAsia="zh-CN"/>
        </w:rPr>
        <w:t>积极化解政府债务，确保按时还本付息，牢牢守住不发生系统性风险的底线</w:t>
      </w:r>
      <w:r>
        <w:rPr>
          <w:rFonts w:ascii="Times New Roman" w:hAnsi="Times New Roman" w:eastAsia="仿宋_GB2312" w:cs="Times New Roman"/>
          <w:sz w:val="32"/>
          <w:szCs w:val="32"/>
          <w:highlight w:val="none"/>
          <w:lang w:val="en-US" w:eastAsia="zh-CN"/>
        </w:rPr>
        <w:t>。预算安排一般债券本息</w:t>
      </w:r>
      <w:r>
        <w:rPr>
          <w:rFonts w:hint="eastAsia" w:ascii="Times New Roman" w:hAnsi="Times New Roman" w:eastAsia="仿宋_GB2312" w:cs="Times New Roman"/>
          <w:sz w:val="32"/>
          <w:szCs w:val="32"/>
          <w:highlight w:val="none"/>
          <w:lang w:val="en-US" w:eastAsia="zh-CN"/>
        </w:rPr>
        <w:t>1557</w:t>
      </w:r>
      <w:r>
        <w:rPr>
          <w:rFonts w:ascii="Times New Roman" w:hAnsi="Times New Roman" w:eastAsia="仿宋_GB2312" w:cs="Times New Roman"/>
          <w:sz w:val="32"/>
          <w:szCs w:val="32"/>
          <w:highlight w:val="none"/>
          <w:lang w:val="en-US" w:eastAsia="zh-CN"/>
        </w:rPr>
        <w:t>万元，专项债券本息10115万元，存量债务利息</w:t>
      </w:r>
      <w:r>
        <w:rPr>
          <w:rFonts w:hint="eastAsia" w:ascii="Times New Roman" w:hAnsi="Times New Roman" w:eastAsia="仿宋_GB2312" w:cs="Times New Roman"/>
          <w:sz w:val="32"/>
          <w:szCs w:val="32"/>
          <w:highlight w:val="none"/>
          <w:lang w:val="en-US" w:eastAsia="zh-CN"/>
        </w:rPr>
        <w:t>156</w:t>
      </w:r>
      <w:r>
        <w:rPr>
          <w:rFonts w:ascii="Times New Roman" w:hAnsi="Times New Roman" w:eastAsia="仿宋_GB2312" w:cs="Times New Roman"/>
          <w:sz w:val="32"/>
          <w:szCs w:val="32"/>
          <w:highlight w:val="none"/>
          <w:lang w:val="en-US" w:eastAsia="zh-CN"/>
        </w:rPr>
        <w:t>万元。</w:t>
      </w:r>
    </w:p>
    <w:p w14:paraId="49BA6925">
      <w:pPr>
        <w:keepNext w:val="0"/>
        <w:keepLines w:val="0"/>
        <w:pageBreakBefore w:val="0"/>
        <w:widowControl w:val="0"/>
        <w:kinsoku/>
        <w:wordWrap/>
        <w:overflowPunct/>
        <w:topLinePunct w:val="0"/>
        <w:autoSpaceDN/>
        <w:bidi w:val="0"/>
        <w:snapToGrid/>
        <w:spacing w:beforeAutospacing="0" w:afterAutospacing="0" w:line="600" w:lineRule="exact"/>
        <w:ind w:left="0" w:firstLine="640" w:firstLineChars="200"/>
        <w:contextualSpacing/>
        <w:textAlignment w:val="auto"/>
        <w:rPr>
          <w:rFonts w:ascii="Times New Roman" w:hAnsi="Times New Roman" w:eastAsia="仿宋_GB2312" w:cs="Times New Roman"/>
          <w:sz w:val="32"/>
          <w:szCs w:val="32"/>
          <w:highlight w:val="yellow"/>
          <w:lang w:val="en-US" w:eastAsia="zh-CN"/>
        </w:rPr>
      </w:pPr>
      <w:r>
        <w:rPr>
          <w:rFonts w:ascii="Times New Roman" w:hAnsi="Times New Roman" w:eastAsia="仿宋_GB2312" w:cs="Times New Roman"/>
          <w:sz w:val="32"/>
          <w:szCs w:val="32"/>
          <w:highlight w:val="none"/>
          <w:lang w:val="en-US" w:eastAsia="zh-CN"/>
        </w:rPr>
        <w:t>需要说明的是，以上预算安排坚持了厉行节约、集中财力办大事的原则。按照“三公经费”只减不增的政策，2026年全区“三公”经费预算安排</w:t>
      </w:r>
      <w:r>
        <w:rPr>
          <w:rFonts w:hint="eastAsia" w:ascii="Times New Roman" w:hAnsi="Times New Roman" w:eastAsia="仿宋_GB2312" w:cs="Times New Roman"/>
          <w:sz w:val="32"/>
          <w:szCs w:val="32"/>
          <w:highlight w:val="none"/>
          <w:lang w:val="en-US" w:eastAsia="zh-CN"/>
        </w:rPr>
        <w:t>232</w:t>
      </w:r>
      <w:r>
        <w:rPr>
          <w:rFonts w:ascii="Times New Roman" w:hAnsi="Times New Roman" w:eastAsia="仿宋_GB2312" w:cs="Times New Roman"/>
          <w:sz w:val="32"/>
          <w:szCs w:val="32"/>
          <w:highlight w:val="none"/>
          <w:lang w:val="en-US" w:eastAsia="zh-CN"/>
        </w:rPr>
        <w:t>万元，</w:t>
      </w:r>
      <w:r>
        <w:rPr>
          <w:rFonts w:hint="eastAsia" w:ascii="Times New Roman" w:hAnsi="Times New Roman" w:eastAsia="仿宋_GB2312" w:cs="Times New Roman"/>
          <w:sz w:val="32"/>
          <w:szCs w:val="32"/>
          <w:highlight w:val="none"/>
          <w:lang w:val="en-US" w:eastAsia="zh-CN"/>
        </w:rPr>
        <w:t>同比下降3%</w:t>
      </w:r>
      <w:r>
        <w:rPr>
          <w:rFonts w:ascii="Times New Roman" w:hAnsi="Times New Roman" w:eastAsia="仿宋_GB2312" w:cs="Times New Roman"/>
          <w:sz w:val="32"/>
          <w:szCs w:val="32"/>
          <w:highlight w:val="none"/>
          <w:lang w:val="en-US" w:eastAsia="zh-CN"/>
        </w:rPr>
        <w:t>。</w:t>
      </w:r>
    </w:p>
    <w:p w14:paraId="6B2381D5">
      <w:pPr>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left="0" w:firstLine="640" w:firstLineChars="200"/>
        <w:jc w:val="left"/>
        <w:textAlignment w:val="auto"/>
        <w:rPr>
          <w:rFonts w:ascii="Times New Roman" w:hAnsi="Times New Roman" w:eastAsia="黑体" w:cs="Times New Roman"/>
          <w:bCs/>
          <w:sz w:val="32"/>
          <w:szCs w:val="32"/>
          <w:lang w:val="en-US" w:eastAsia="zh-CN"/>
        </w:rPr>
      </w:pPr>
      <w:r>
        <w:rPr>
          <w:rFonts w:ascii="Times New Roman" w:hAnsi="Times New Roman" w:eastAsia="黑体" w:cs="Times New Roman"/>
          <w:bCs/>
          <w:sz w:val="32"/>
          <w:szCs w:val="32"/>
          <w:lang w:val="en-US" w:eastAsia="zh-CN"/>
        </w:rPr>
        <w:t>四、完成预算任务的保障措施</w:t>
      </w:r>
    </w:p>
    <w:p w14:paraId="6A9838C3">
      <w:pPr>
        <w:keepNext w:val="0"/>
        <w:keepLines w:val="0"/>
        <w:pageBreakBefore w:val="0"/>
        <w:widowControl w:val="0"/>
        <w:kinsoku/>
        <w:wordWrap/>
        <w:overflowPunct/>
        <w:topLinePunct w:val="0"/>
        <w:autoSpaceDE/>
        <w:autoSpaceDN/>
        <w:bidi w:val="0"/>
        <w:adjustRightInd w:val="0"/>
        <w:snapToGrid w:val="0"/>
        <w:spacing w:beforeAutospacing="0" w:afterAutospacing="0" w:line="600" w:lineRule="exact"/>
        <w:ind w:left="0" w:firstLine="643" w:firstLineChars="200"/>
        <w:contextualSpacing/>
        <w:textAlignment w:val="auto"/>
        <w:rPr>
          <w:rFonts w:ascii="Times New Roman" w:hAnsi="Times New Roman" w:eastAsia="仿宋_GB2312" w:cs="Times New Roman"/>
          <w:sz w:val="32"/>
          <w:szCs w:val="32"/>
          <w:lang w:val="en-US" w:eastAsia="zh-CN"/>
        </w:rPr>
      </w:pPr>
      <w:r>
        <w:rPr>
          <w:rFonts w:ascii="Times New Roman" w:hAnsi="Times New Roman" w:eastAsia="楷体_GB2312" w:cs="Times New Roman"/>
          <w:b/>
          <w:bCs w:val="0"/>
          <w:sz w:val="32"/>
          <w:szCs w:val="32"/>
          <w:highlight w:val="none"/>
          <w:lang w:val="en-US" w:eastAsia="zh-CN"/>
        </w:rPr>
        <w:t>（一）夯实财源建设根基，优化资源配置。</w:t>
      </w:r>
      <w:r>
        <w:rPr>
          <w:rFonts w:ascii="Times New Roman" w:hAnsi="Times New Roman" w:eastAsia="仿宋_GB2312" w:cs="Times New Roman"/>
          <w:sz w:val="32"/>
          <w:szCs w:val="32"/>
          <w:lang w:val="en-US" w:eastAsia="zh-CN"/>
        </w:rPr>
        <w:t>一是聚力固本增收。加大税收收入与非税收入统筹管理力度，加强对各类收入的分析、监控、跟踪。持续培植与巩固主体税源，依法依规、应收尽收。推动国有资产、资金、资源盘活不断深化，强化财政“三资”统筹管理。二是抢抓政策红利。以中央出台一揽子增量政策为契机，以争取国家政策资金支持为抓手，精准对接超长期特别国债、中央预算内资金、地方政府专项债投向，研读研深政策导向，充分调动项目单位积极性，主动谋划项目，多维度争取上级给予我区更大的财税政策倾斜和更多的资金支持。三是优化支出结构。严格落实习惯过“紧日子”要求，从严编制“三公”经费预算，大力压减非刚性、非急需支出，严控一般性支出，集中财力重点“保工资、保运转、保基本民生”。持续扩大对民生领域的支出比重，加强对教育、医疗、社保等重点领域的支持保障，及时足额发放各类救助资金，切实保障困难群众基本生活。</w:t>
      </w:r>
    </w:p>
    <w:p w14:paraId="350E2C5A">
      <w:pPr>
        <w:keepNext w:val="0"/>
        <w:keepLines w:val="0"/>
        <w:pageBreakBefore w:val="0"/>
        <w:widowControl w:val="0"/>
        <w:kinsoku/>
        <w:wordWrap/>
        <w:overflowPunct/>
        <w:topLinePunct w:val="0"/>
        <w:autoSpaceDE/>
        <w:autoSpaceDN/>
        <w:bidi w:val="0"/>
        <w:adjustRightInd w:val="0"/>
        <w:snapToGrid w:val="0"/>
        <w:spacing w:beforeAutospacing="0" w:afterAutospacing="0" w:line="600" w:lineRule="exact"/>
        <w:ind w:left="0" w:firstLine="643" w:firstLineChars="200"/>
        <w:contextualSpacing/>
        <w:textAlignment w:val="auto"/>
        <w:rPr>
          <w:rFonts w:ascii="Times New Roman" w:hAnsi="Times New Roman" w:eastAsia="仿宋_GB2312" w:cs="Times New Roman"/>
          <w:b w:val="0"/>
          <w:bCs/>
          <w:spacing w:val="0"/>
          <w:kern w:val="0"/>
          <w:sz w:val="32"/>
          <w:szCs w:val="32"/>
          <w:lang w:val="en-US" w:eastAsia="zh-CN"/>
        </w:rPr>
      </w:pPr>
      <w:r>
        <w:rPr>
          <w:rFonts w:ascii="Times New Roman" w:hAnsi="Times New Roman" w:eastAsia="楷体_GB2312" w:cs="Times New Roman"/>
          <w:b/>
          <w:bCs w:val="0"/>
          <w:sz w:val="32"/>
          <w:szCs w:val="32"/>
          <w:highlight w:val="none"/>
          <w:lang w:val="en-US" w:eastAsia="zh-CN"/>
        </w:rPr>
        <w:t>（二）深化财政科学管理，提升治理效能。</w:t>
      </w:r>
      <w:r>
        <w:rPr>
          <w:rFonts w:ascii="Times New Roman" w:hAnsi="Times New Roman" w:eastAsia="仿宋_GB2312" w:cs="Times New Roman"/>
          <w:b w:val="0"/>
          <w:bCs/>
          <w:spacing w:val="0"/>
          <w:kern w:val="0"/>
          <w:sz w:val="32"/>
          <w:szCs w:val="32"/>
          <w:lang w:val="en-US" w:eastAsia="zh-CN"/>
        </w:rPr>
        <w:t>一是落实落细零基预算管理。以完善预算编制为切入点，打破预算安排中的基数依赖和支出固化格局，梳理评估各项财政支出政策依据，考虑财政承受能力合理匹配财力。二是持续提升财会监督质效。充分发挥财会监督作用，切实履行财政部门财会监督主责，开展单位财务管理的日常检查和专项检查，加强财政资金的跟踪管理，对发现的问题及时督促整改到位，切实提高资金使用效益。三是继续深化财政绩效改革。健全预算绩效全过程管理机制，将绩效管理理念融入预算编制、执行、监督全过程，促进财政资金提质增效。</w:t>
      </w:r>
    </w:p>
    <w:p w14:paraId="667AADBD">
      <w:pPr>
        <w:keepNext w:val="0"/>
        <w:keepLines w:val="0"/>
        <w:pageBreakBefore w:val="0"/>
        <w:widowControl w:val="0"/>
        <w:kinsoku/>
        <w:wordWrap/>
        <w:overflowPunct/>
        <w:topLinePunct w:val="0"/>
        <w:autoSpaceDE/>
        <w:autoSpaceDN/>
        <w:bidi w:val="0"/>
        <w:adjustRightInd w:val="0"/>
        <w:snapToGrid w:val="0"/>
        <w:spacing w:beforeAutospacing="0" w:afterAutospacing="0" w:line="600" w:lineRule="exact"/>
        <w:ind w:left="0" w:firstLine="643" w:firstLineChars="200"/>
        <w:contextualSpacing/>
        <w:textAlignment w:val="auto"/>
        <w:rPr>
          <w:rFonts w:ascii="Times New Roman" w:hAnsi="Times New Roman" w:eastAsia="仿宋_GB2312" w:cs="Times New Roman"/>
          <w:b w:val="0"/>
          <w:bCs w:val="0"/>
          <w:sz w:val="32"/>
          <w:szCs w:val="32"/>
          <w:highlight w:val="none"/>
          <w:u w:val="none"/>
          <w:lang w:val="en-US" w:eastAsia="zh-CN"/>
        </w:rPr>
      </w:pPr>
      <w:r>
        <w:rPr>
          <w:rFonts w:ascii="Times New Roman" w:hAnsi="Times New Roman" w:eastAsia="楷体_GB2312" w:cs="Times New Roman"/>
          <w:b/>
          <w:bCs w:val="0"/>
          <w:sz w:val="32"/>
          <w:szCs w:val="32"/>
          <w:highlight w:val="none"/>
          <w:lang w:val="en-US" w:eastAsia="zh-CN"/>
        </w:rPr>
        <w:t>（三）防范财政运行风险，树牢底线思维。</w:t>
      </w:r>
      <w:r>
        <w:rPr>
          <w:rFonts w:ascii="Times New Roman" w:hAnsi="Times New Roman" w:eastAsia="仿宋_GB2312" w:cs="Times New Roman"/>
          <w:b w:val="0"/>
          <w:bCs/>
          <w:spacing w:val="0"/>
          <w:kern w:val="0"/>
          <w:sz w:val="32"/>
          <w:szCs w:val="32"/>
          <w:lang w:val="en-US" w:eastAsia="zh-CN"/>
        </w:rPr>
        <w:t>一是严格落实既定化债举措和政府性债务管理要求，压实化债主体责任，足额</w:t>
      </w:r>
      <w:r>
        <w:rPr>
          <w:rFonts w:ascii="Times New Roman" w:hAnsi="Times New Roman" w:eastAsia="仿宋_GB2312" w:cs="Times New Roman"/>
          <w:b w:val="0"/>
          <w:bCs/>
          <w:spacing w:val="0"/>
          <w:kern w:val="0"/>
          <w:sz w:val="32"/>
          <w:szCs w:val="32"/>
          <w:lang w:eastAsia="zh-CN"/>
        </w:rPr>
        <w:t>安排债务还本付息，在争取置换债券资金的基础上叠加运用财政预算等措施，积极化解</w:t>
      </w:r>
      <w:r>
        <w:rPr>
          <w:rFonts w:ascii="Times New Roman" w:hAnsi="Times New Roman" w:eastAsia="仿宋_GB2312" w:cs="Times New Roman"/>
          <w:b w:val="0"/>
          <w:bCs/>
          <w:spacing w:val="0"/>
          <w:kern w:val="0"/>
          <w:sz w:val="32"/>
          <w:szCs w:val="32"/>
          <w:lang w:val="en-US" w:eastAsia="zh-CN"/>
        </w:rPr>
        <w:t>存量</w:t>
      </w:r>
      <w:r>
        <w:rPr>
          <w:rFonts w:ascii="Times New Roman" w:hAnsi="Times New Roman" w:eastAsia="仿宋_GB2312" w:cs="Times New Roman"/>
          <w:b w:val="0"/>
          <w:bCs/>
          <w:spacing w:val="0"/>
          <w:kern w:val="0"/>
          <w:sz w:val="32"/>
          <w:szCs w:val="32"/>
          <w:lang w:eastAsia="zh-CN"/>
        </w:rPr>
        <w:t>债务。常态化监测地方政府债务动态变化，</w:t>
      </w:r>
      <w:r>
        <w:rPr>
          <w:rFonts w:ascii="Times New Roman" w:hAnsi="Times New Roman" w:eastAsia="仿宋_GB2312" w:cs="Times New Roman"/>
          <w:b w:val="0"/>
          <w:bCs/>
          <w:spacing w:val="0"/>
          <w:kern w:val="0"/>
          <w:sz w:val="32"/>
          <w:szCs w:val="32"/>
          <w:lang w:val="en-US" w:eastAsia="zh-CN"/>
        </w:rPr>
        <w:t>密切关注债务率的变化趋势</w:t>
      </w:r>
      <w:r>
        <w:rPr>
          <w:rFonts w:ascii="Times New Roman" w:hAnsi="Times New Roman" w:eastAsia="仿宋_GB2312" w:cs="Times New Roman"/>
          <w:b w:val="0"/>
          <w:bCs/>
          <w:spacing w:val="0"/>
          <w:kern w:val="0"/>
          <w:sz w:val="32"/>
          <w:szCs w:val="32"/>
          <w:lang w:eastAsia="zh-CN"/>
        </w:rPr>
        <w:t>。</w:t>
      </w:r>
      <w:r>
        <w:rPr>
          <w:rFonts w:ascii="Times New Roman" w:hAnsi="Times New Roman" w:eastAsia="仿宋_GB2312" w:cs="Times New Roman"/>
          <w:b w:val="0"/>
          <w:bCs/>
          <w:spacing w:val="0"/>
          <w:kern w:val="0"/>
          <w:sz w:val="32"/>
          <w:szCs w:val="32"/>
          <w:lang w:val="en-US" w:eastAsia="zh-CN"/>
        </w:rPr>
        <w:t>二是坚持底线思维，坚决防范“三保”支出风险，依托预算管理一体化系统监测支出执行情况，守牢“三保”底线。三是强化库款保障，加强国库资金运行监测、统计分析及态势预判，严禁无预算、超预算拨付资金，严禁新增暂付款，防范财政支付风险。</w:t>
      </w:r>
    </w:p>
    <w:p w14:paraId="6E78D087">
      <w:pPr>
        <w:keepNext w:val="0"/>
        <w:keepLines w:val="0"/>
        <w:pageBreakBefore w:val="0"/>
        <w:widowControl w:val="0"/>
        <w:kinsoku/>
        <w:wordWrap/>
        <w:overflowPunct/>
        <w:topLinePunct w:val="0"/>
        <w:autoSpaceDE/>
        <w:autoSpaceDN/>
        <w:bidi w:val="0"/>
        <w:adjustRightInd w:val="0"/>
        <w:snapToGrid w:val="0"/>
        <w:spacing w:beforeAutospacing="0" w:afterAutospacing="0" w:line="600" w:lineRule="exact"/>
        <w:ind w:left="0" w:firstLine="643" w:firstLineChars="200"/>
        <w:contextualSpacing/>
        <w:textAlignment w:val="auto"/>
        <w:rPr>
          <w:rFonts w:ascii="Times New Roman" w:hAnsi="Times New Roman" w:eastAsia="仿宋_GB2312" w:cs="Times New Roman"/>
          <w:kern w:val="0"/>
          <w:sz w:val="32"/>
          <w:szCs w:val="32"/>
          <w:lang w:eastAsia="zh-CN"/>
        </w:rPr>
      </w:pPr>
      <w:r>
        <w:rPr>
          <w:rFonts w:ascii="Times New Roman" w:hAnsi="Times New Roman" w:eastAsia="楷体_GB2312" w:cs="Times New Roman"/>
          <w:b/>
          <w:bCs w:val="0"/>
          <w:sz w:val="32"/>
          <w:szCs w:val="32"/>
          <w:highlight w:val="none"/>
          <w:lang w:val="en-US" w:eastAsia="zh-CN"/>
        </w:rPr>
        <w:t>（四）推动法治财政建设，严肃财经纪律。</w:t>
      </w:r>
      <w:r>
        <w:rPr>
          <w:rFonts w:ascii="Times New Roman" w:hAnsi="Times New Roman" w:eastAsia="仿宋_GB2312" w:cs="Times New Roman"/>
          <w:kern w:val="0"/>
          <w:sz w:val="32"/>
          <w:szCs w:val="32"/>
        </w:rPr>
        <w:t>深入学习贯彻习近平法治思想</w:t>
      </w:r>
      <w:r>
        <w:rPr>
          <w:rFonts w:ascii="Times New Roman" w:hAnsi="Times New Roman" w:eastAsia="仿宋_GB2312" w:cs="Times New Roman"/>
          <w:kern w:val="0"/>
          <w:sz w:val="32"/>
          <w:szCs w:val="32"/>
          <w:lang w:eastAsia="zh-CN"/>
        </w:rPr>
        <w:t>，</w:t>
      </w:r>
      <w:r>
        <w:rPr>
          <w:rFonts w:ascii="Times New Roman" w:hAnsi="Times New Roman" w:eastAsia="仿宋_GB2312" w:cs="Times New Roman"/>
          <w:kern w:val="0"/>
          <w:sz w:val="32"/>
          <w:szCs w:val="32"/>
          <w:lang w:val="en-US" w:eastAsia="zh-CN"/>
        </w:rPr>
        <w:t>加强财政队伍建设，牢固树立法治意识，大力弘扬法治财政精神，认真学习并执行预算法及其</w:t>
      </w:r>
      <w:r>
        <w:rPr>
          <w:rFonts w:ascii="Times New Roman" w:hAnsi="Times New Roman" w:eastAsia="仿宋_GB2312" w:cs="Times New Roman"/>
          <w:kern w:val="0"/>
          <w:sz w:val="32"/>
          <w:szCs w:val="32"/>
          <w:lang w:eastAsia="zh-CN"/>
        </w:rPr>
        <w:t>实施条例等法律法规</w:t>
      </w:r>
      <w:r>
        <w:rPr>
          <w:rFonts w:ascii="Times New Roman" w:hAnsi="Times New Roman" w:eastAsia="仿宋_GB2312" w:cs="Times New Roman"/>
          <w:kern w:val="0"/>
          <w:sz w:val="32"/>
          <w:szCs w:val="32"/>
        </w:rPr>
        <w:t>，</w:t>
      </w:r>
      <w:r>
        <w:rPr>
          <w:rFonts w:ascii="Times New Roman" w:hAnsi="Times New Roman" w:eastAsia="仿宋_GB2312" w:cs="Times New Roman"/>
          <w:kern w:val="0"/>
          <w:sz w:val="32"/>
          <w:szCs w:val="32"/>
          <w:lang w:val="en-US" w:eastAsia="zh-CN"/>
        </w:rPr>
        <w:t>全面提升财政干部依法理财能力。充分发挥财政职能，强化财经纪律约束，不碰财经纪律“高压线”，不逾廉洁自律“底线”，落实内部财会监督责任。</w:t>
      </w:r>
      <w:r>
        <w:rPr>
          <w:rFonts w:ascii="Times New Roman" w:hAnsi="Times New Roman" w:eastAsia="仿宋_GB2312" w:cs="Times New Roman"/>
          <w:kern w:val="0"/>
          <w:sz w:val="32"/>
          <w:szCs w:val="32"/>
        </w:rPr>
        <w:t>主动接受</w:t>
      </w:r>
      <w:r>
        <w:rPr>
          <w:rFonts w:ascii="Times New Roman" w:hAnsi="Times New Roman" w:eastAsia="仿宋_GB2312" w:cs="Times New Roman"/>
          <w:kern w:val="0"/>
          <w:sz w:val="32"/>
          <w:szCs w:val="32"/>
          <w:lang w:val="en-US" w:eastAsia="zh-CN"/>
        </w:rPr>
        <w:t>区</w:t>
      </w:r>
      <w:r>
        <w:rPr>
          <w:rFonts w:ascii="Times New Roman" w:hAnsi="Times New Roman" w:eastAsia="仿宋_GB2312" w:cs="Times New Roman"/>
          <w:kern w:val="0"/>
          <w:sz w:val="32"/>
          <w:szCs w:val="32"/>
        </w:rPr>
        <w:t>人大及其常委会工作监督</w:t>
      </w:r>
      <w:r>
        <w:rPr>
          <w:rFonts w:ascii="Times New Roman" w:hAnsi="Times New Roman" w:eastAsia="仿宋_GB2312" w:cs="Times New Roman"/>
          <w:kern w:val="0"/>
          <w:sz w:val="32"/>
          <w:szCs w:val="32"/>
          <w:lang w:eastAsia="zh-CN"/>
        </w:rPr>
        <w:t>，</w:t>
      </w:r>
      <w:r>
        <w:rPr>
          <w:rFonts w:ascii="Times New Roman" w:hAnsi="Times New Roman" w:eastAsia="仿宋_GB2312" w:cs="Times New Roman"/>
          <w:kern w:val="0"/>
          <w:sz w:val="32"/>
          <w:szCs w:val="32"/>
        </w:rPr>
        <w:t>认真执行人大常委会关于财政预决算</w:t>
      </w:r>
      <w:r>
        <w:rPr>
          <w:rFonts w:ascii="Times New Roman" w:hAnsi="Times New Roman" w:eastAsia="仿宋_GB2312" w:cs="Times New Roman"/>
          <w:kern w:val="0"/>
          <w:sz w:val="32"/>
          <w:szCs w:val="32"/>
          <w:lang w:eastAsia="zh-CN"/>
        </w:rPr>
        <w:t>及相关</w:t>
      </w:r>
      <w:r>
        <w:rPr>
          <w:rFonts w:ascii="Times New Roman" w:hAnsi="Times New Roman" w:eastAsia="仿宋_GB2312" w:cs="Times New Roman"/>
          <w:kern w:val="0"/>
          <w:sz w:val="32"/>
          <w:szCs w:val="32"/>
        </w:rPr>
        <w:t>事项备案和报告工作规程，确保财政资金在阳光下运行。不断完善财政内部管理制度和约束机制，使财政工作由内到外做到依法行政、规范有序</w:t>
      </w:r>
      <w:r>
        <w:rPr>
          <w:rFonts w:ascii="Times New Roman" w:hAnsi="Times New Roman" w:eastAsia="仿宋_GB2312" w:cs="Times New Roman"/>
          <w:kern w:val="0"/>
          <w:sz w:val="32"/>
          <w:szCs w:val="32"/>
          <w:lang w:eastAsia="zh-CN"/>
        </w:rPr>
        <w:t>，</w:t>
      </w:r>
      <w:r>
        <w:rPr>
          <w:rFonts w:ascii="Times New Roman" w:hAnsi="Times New Roman" w:eastAsia="仿宋_GB2312" w:cs="Times New Roman"/>
          <w:kern w:val="0"/>
          <w:sz w:val="32"/>
          <w:szCs w:val="32"/>
          <w:lang w:val="en-US" w:eastAsia="zh-CN"/>
        </w:rPr>
        <w:t>加快法治财政建设</w:t>
      </w:r>
      <w:r>
        <w:rPr>
          <w:rFonts w:ascii="Times New Roman" w:hAnsi="Times New Roman" w:eastAsia="仿宋_GB2312" w:cs="Times New Roman"/>
          <w:kern w:val="0"/>
          <w:sz w:val="32"/>
          <w:szCs w:val="32"/>
          <w:lang w:eastAsia="zh-CN"/>
        </w:rPr>
        <w:t>。</w:t>
      </w:r>
    </w:p>
    <w:p w14:paraId="552A25A0">
      <w:pPr>
        <w:keepNext w:val="0"/>
        <w:keepLines w:val="0"/>
        <w:pageBreakBefore w:val="0"/>
        <w:widowControl w:val="0"/>
        <w:kinsoku/>
        <w:wordWrap/>
        <w:overflowPunct/>
        <w:topLinePunct w:val="0"/>
        <w:autoSpaceDE/>
        <w:autoSpaceDN/>
        <w:bidi w:val="0"/>
        <w:adjustRightInd w:val="0"/>
        <w:snapToGrid w:val="0"/>
        <w:spacing w:beforeAutospacing="0" w:afterAutospacing="0" w:line="600" w:lineRule="exact"/>
        <w:ind w:left="0" w:firstLine="640" w:firstLineChars="200"/>
        <w:contextualSpacing/>
        <w:textAlignment w:val="auto"/>
        <w:rPr>
          <w:rFonts w:ascii="Times New Roman" w:hAnsi="Times New Roman" w:cs="Times New Roman"/>
        </w:rPr>
      </w:pPr>
      <w:r>
        <w:rPr>
          <w:rFonts w:ascii="Times New Roman" w:hAnsi="Times New Roman" w:eastAsia="仿宋_GB2312" w:cs="Times New Roman"/>
          <w:kern w:val="0"/>
          <w:sz w:val="32"/>
          <w:szCs w:val="32"/>
        </w:rPr>
        <w:t>各位代表，2026年是“十五五”规划开局之年，也是全面深化改革、推动高质量发展的关键之年，</w:t>
      </w:r>
      <w:r>
        <w:rPr>
          <w:rFonts w:ascii="Times New Roman" w:hAnsi="Times New Roman" w:eastAsia="仿宋_GB2312" w:cs="Times New Roman"/>
          <w:bCs/>
          <w:color w:val="000000"/>
          <w:sz w:val="32"/>
          <w:szCs w:val="32"/>
        </w:rPr>
        <w:t>做好今年的财政工作，任务</w:t>
      </w:r>
      <w:r>
        <w:rPr>
          <w:rFonts w:ascii="Times New Roman" w:hAnsi="Times New Roman" w:eastAsia="仿宋_GB2312" w:cs="Times New Roman"/>
          <w:bCs/>
          <w:color w:val="000000"/>
          <w:sz w:val="32"/>
          <w:szCs w:val="32"/>
          <w:lang w:eastAsia="zh-CN"/>
        </w:rPr>
        <w:t>十分</w:t>
      </w:r>
      <w:r>
        <w:rPr>
          <w:rFonts w:ascii="Times New Roman" w:hAnsi="Times New Roman" w:eastAsia="仿宋_GB2312" w:cs="Times New Roman"/>
          <w:bCs/>
          <w:color w:val="000000"/>
          <w:sz w:val="32"/>
          <w:szCs w:val="32"/>
        </w:rPr>
        <w:t>艰巨，责任</w:t>
      </w:r>
      <w:r>
        <w:rPr>
          <w:rFonts w:ascii="Times New Roman" w:hAnsi="Times New Roman" w:eastAsia="仿宋_GB2312" w:cs="Times New Roman"/>
          <w:bCs/>
          <w:color w:val="000000"/>
          <w:sz w:val="32"/>
          <w:szCs w:val="32"/>
          <w:lang w:eastAsia="zh-CN"/>
        </w:rPr>
        <w:t>非常</w:t>
      </w:r>
      <w:r>
        <w:rPr>
          <w:rFonts w:ascii="Times New Roman" w:hAnsi="Times New Roman" w:eastAsia="仿宋_GB2312" w:cs="Times New Roman"/>
          <w:bCs/>
          <w:color w:val="000000"/>
          <w:sz w:val="32"/>
          <w:szCs w:val="32"/>
        </w:rPr>
        <w:t>重大。</w:t>
      </w:r>
      <w:r>
        <w:rPr>
          <w:rFonts w:ascii="Times New Roman" w:hAnsi="Times New Roman" w:eastAsia="仿宋_GB2312" w:cs="Times New Roman"/>
          <w:kern w:val="0"/>
          <w:sz w:val="32"/>
          <w:szCs w:val="32"/>
          <w:lang w:eastAsia="zh-CN"/>
        </w:rPr>
        <w:t>接下来，</w:t>
      </w:r>
      <w:r>
        <w:rPr>
          <w:rFonts w:ascii="Times New Roman" w:hAnsi="Times New Roman" w:eastAsia="仿宋_GB2312" w:cs="Times New Roman"/>
          <w:kern w:val="0"/>
          <w:sz w:val="32"/>
          <w:szCs w:val="32"/>
        </w:rPr>
        <w:t>我们将在</w:t>
      </w:r>
      <w:r>
        <w:rPr>
          <w:rFonts w:ascii="Times New Roman" w:hAnsi="Times New Roman" w:eastAsia="仿宋_GB2312" w:cs="Times New Roman"/>
          <w:kern w:val="0"/>
          <w:sz w:val="32"/>
          <w:szCs w:val="32"/>
          <w:lang w:eastAsia="zh-CN"/>
        </w:rPr>
        <w:t>区委</w:t>
      </w:r>
      <w:r>
        <w:rPr>
          <w:rFonts w:ascii="Times New Roman" w:hAnsi="Times New Roman" w:eastAsia="仿宋_GB2312" w:cs="Times New Roman"/>
          <w:kern w:val="0"/>
          <w:sz w:val="32"/>
          <w:szCs w:val="32"/>
        </w:rPr>
        <w:t>的领导下，在区人大的监督支持下，认真落实</w:t>
      </w:r>
      <w:r>
        <w:rPr>
          <w:rFonts w:ascii="Times New Roman" w:hAnsi="Times New Roman" w:eastAsia="仿宋_GB2312" w:cs="Times New Roman"/>
          <w:kern w:val="0"/>
          <w:sz w:val="32"/>
          <w:szCs w:val="32"/>
          <w:lang w:eastAsia="zh-CN"/>
        </w:rPr>
        <w:t>上级决策部署要求</w:t>
      </w:r>
      <w:r>
        <w:rPr>
          <w:rFonts w:ascii="Times New Roman" w:hAnsi="Times New Roman" w:eastAsia="仿宋_GB2312" w:cs="Times New Roman"/>
          <w:kern w:val="0"/>
          <w:sz w:val="32"/>
          <w:szCs w:val="32"/>
        </w:rPr>
        <w:t>，强化财政收支管理</w:t>
      </w:r>
      <w:r>
        <w:rPr>
          <w:rFonts w:ascii="Times New Roman" w:hAnsi="Times New Roman" w:eastAsia="仿宋_GB2312" w:cs="Times New Roman"/>
          <w:kern w:val="0"/>
          <w:sz w:val="32"/>
          <w:szCs w:val="32"/>
          <w:lang w:eastAsia="zh-CN"/>
        </w:rPr>
        <w:t>，提高财政管理水平，推动财政政策提质增效，</w:t>
      </w:r>
      <w:r>
        <w:rPr>
          <w:rFonts w:ascii="Times New Roman" w:hAnsi="Times New Roman" w:eastAsia="仿宋_GB2312" w:cs="Times New Roman"/>
          <w:kern w:val="0"/>
          <w:sz w:val="32"/>
          <w:szCs w:val="32"/>
          <w:lang w:val="en-US" w:eastAsia="zh-CN"/>
        </w:rPr>
        <w:t>为全区经济社会健康平稳发展提供坚实的财政保障</w:t>
      </w:r>
      <w:r>
        <w:rPr>
          <w:rFonts w:ascii="Times New Roman" w:hAnsi="Times New Roman" w:eastAsia="仿宋_GB2312" w:cs="Times New Roman"/>
          <w:kern w:val="0"/>
          <w:sz w:val="32"/>
          <w:szCs w:val="32"/>
          <w:lang w:eastAsia="zh-CN"/>
        </w:rPr>
        <w:t>！</w:t>
      </w:r>
    </w:p>
    <w:sectPr>
      <w:footerReference r:id="rId3" w:type="default"/>
      <w:footerReference r:id="rId4" w:type="even"/>
      <w:pgSz w:w="11906" w:h="16838"/>
      <w:pgMar w:top="1701" w:right="1701" w:bottom="1701" w:left="1701" w:header="851" w:footer="1361" w:gutter="0"/>
      <w:pgNumType w:fmt="numberInDash" w:start="1"/>
      <w:cols w:space="720" w:num="1"/>
      <w:rtlGutter w:val="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方正小标宋简体">
    <w:panose1 w:val="02010601030101010101"/>
    <w:charset w:val="86"/>
    <w:family w:val="script"/>
    <w:pitch w:val="default"/>
    <w:sig w:usb0="00000001" w:usb1="080E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DD36F5">
    <w:pPr>
      <w:pStyle w:val="5"/>
      <w:framePr w:wrap="around" w:vAnchor="text" w:hAnchor="margin" w:xAlign="outside" w:y="1"/>
      <w:rPr>
        <w:rStyle w:val="10"/>
        <w:rFonts w:hint="eastAsia"/>
        <w:sz w:val="24"/>
        <w:szCs w:val="24"/>
      </w:rPr>
    </w:pPr>
    <w:r>
      <w:rPr>
        <w:rFonts w:hint="eastAsia"/>
        <w:color w:val="FFFFFF"/>
        <w:sz w:val="24"/>
        <w:szCs w:val="24"/>
      </w:rPr>
      <w:t>一</w:t>
    </w:r>
    <w:r>
      <w:rPr>
        <w:rFonts w:hint="eastAsia" w:ascii="宋体" w:hAnsi="宋体" w:eastAsia="宋体" w:cs="宋体"/>
        <w:sz w:val="28"/>
        <w:szCs w:val="28"/>
      </w:rPr>
      <w:fldChar w:fldCharType="begin"/>
    </w:r>
    <w:r>
      <w:rPr>
        <w:rStyle w:val="10"/>
        <w:rFonts w:hint="eastAsia" w:ascii="宋体" w:hAnsi="宋体" w:eastAsia="宋体" w:cs="宋体"/>
        <w:sz w:val="28"/>
        <w:szCs w:val="28"/>
      </w:rPr>
      <w:instrText xml:space="preserve">PAGE  </w:instrText>
    </w:r>
    <w:r>
      <w:rPr>
        <w:rFonts w:hint="eastAsia" w:ascii="宋体" w:hAnsi="宋体" w:eastAsia="宋体" w:cs="宋体"/>
        <w:sz w:val="28"/>
        <w:szCs w:val="28"/>
      </w:rPr>
      <w:fldChar w:fldCharType="separate"/>
    </w:r>
    <w:r>
      <w:rPr>
        <w:rStyle w:val="10"/>
        <w:rFonts w:hint="eastAsia" w:ascii="宋体" w:hAnsi="宋体" w:eastAsia="宋体" w:cs="宋体"/>
        <w:sz w:val="28"/>
        <w:szCs w:val="28"/>
      </w:rPr>
      <w:t>- 1 -</w:t>
    </w:r>
    <w:r>
      <w:rPr>
        <w:rFonts w:hint="eastAsia" w:ascii="宋体" w:hAnsi="宋体" w:eastAsia="宋体" w:cs="宋体"/>
        <w:sz w:val="28"/>
        <w:szCs w:val="28"/>
      </w:rPr>
      <w:fldChar w:fldCharType="end"/>
    </w:r>
    <w:r>
      <w:rPr>
        <w:rFonts w:hint="eastAsia"/>
        <w:color w:val="FFFFFF"/>
        <w:sz w:val="24"/>
        <w:szCs w:val="24"/>
      </w:rPr>
      <w:t>一</w:t>
    </w:r>
  </w:p>
  <w:p w14:paraId="57A6AEB8">
    <w:pPr>
      <w:pStyle w:val="5"/>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071E0F">
    <w:pPr>
      <w:pStyle w:val="5"/>
      <w:framePr w:wrap="around" w:vAnchor="text" w:hAnchor="margin" w:xAlign="outside" w:y="1"/>
      <w:rPr>
        <w:rStyle w:val="10"/>
      </w:rPr>
    </w:pPr>
    <w:r>
      <w:fldChar w:fldCharType="begin"/>
    </w:r>
    <w:r>
      <w:rPr>
        <w:rStyle w:val="10"/>
      </w:rPr>
      <w:instrText xml:space="preserve">PAGE  </w:instrText>
    </w:r>
    <w:r>
      <w:fldChar w:fldCharType="separate"/>
    </w:r>
    <w:r>
      <w:t xml:space="preserve"> </w:t>
    </w:r>
    <w:r>
      <w:fldChar w:fldCharType="end"/>
    </w:r>
  </w:p>
  <w:p w14:paraId="4A8BC8D4">
    <w:pPr>
      <w:pStyle w:val="5"/>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ulTrailSpace/>
    <w:doNotExpandShiftReturn/>
    <w:adjustLineHeightInTable/>
    <w:useFELayout/>
    <w:compatSetting w:name="compatibilityMode" w:uri="http://schemas.microsoft.com/office/word" w:val="15"/>
  </w:compat>
  <w:docVars>
    <w:docVar w:name="commondata" w:val="eyJoZGlkIjoiM2MzOGQ0YmU3ODNiNjc3ODA4YmJiYjM2MWU5ZjQzMDEifQ=="/>
  </w:docVars>
  <w:rsids>
    <w:rsidRoot w:val="00000000"/>
    <w:rsid w:val="29FC5B80"/>
    <w:rsid w:val="79CA1E2A"/>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Arial"/>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qFormat="1"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paragraph" w:styleId="2">
    <w:name w:val="heading 1"/>
    <w:basedOn w:val="1"/>
    <w:next w:val="1"/>
    <w:link w:val="12"/>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13"/>
    <w:qFormat/>
    <w:uiPriority w:val="0"/>
    <w:pPr>
      <w:widowControl w:val="0"/>
      <w:spacing w:before="100" w:beforeAutospacing="1" w:after="100" w:afterAutospacing="1"/>
      <w:jc w:val="left"/>
      <w:outlineLvl w:val="1"/>
    </w:pPr>
    <w:rPr>
      <w:rFonts w:ascii="宋体" w:hAnsi="宋体" w:eastAsia="宋体" w:cs="宋体"/>
      <w:b/>
      <w:kern w:val="0"/>
      <w:sz w:val="36"/>
      <w:szCs w:val="36"/>
      <w:lang w:val="en-US" w:eastAsia="zh-CN" w:bidi="ar-SA"/>
    </w:rPr>
  </w:style>
  <w:style w:type="paragraph" w:styleId="4">
    <w:name w:val="heading 3"/>
    <w:basedOn w:val="1"/>
    <w:next w:val="1"/>
    <w:link w:val="14"/>
    <w:qFormat/>
    <w:uiPriority w:val="0"/>
    <w:pPr>
      <w:keepNext/>
      <w:keepLines/>
      <w:spacing w:before="260" w:after="260" w:line="415" w:lineRule="auto"/>
      <w:outlineLvl w:val="2"/>
    </w:pPr>
    <w:rPr>
      <w:b/>
      <w:bCs/>
      <w:sz w:val="32"/>
      <w:szCs w:val="32"/>
    </w:rPr>
  </w:style>
  <w:style w:type="character" w:default="1" w:styleId="9">
    <w:name w:val="Default Paragraph Font"/>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5">
    <w:name w:val="footer"/>
    <w:basedOn w:val="1"/>
    <w:qFormat/>
    <w:uiPriority w:val="0"/>
    <w:pPr>
      <w:widowControl w:val="0"/>
      <w:tabs>
        <w:tab w:val="center" w:pos="4153"/>
        <w:tab w:val="right" w:pos="8306"/>
      </w:tabs>
      <w:snapToGrid w:val="0"/>
      <w:jc w:val="left"/>
    </w:pPr>
    <w:rPr>
      <w:rFonts w:ascii="Calibri" w:hAnsi="Calibri" w:eastAsia="宋体" w:cs="Arial"/>
      <w:kern w:val="2"/>
      <w:sz w:val="18"/>
      <w:szCs w:val="18"/>
      <w:lang w:val="en-US" w:eastAsia="zh-CN" w:bidi="ar-SA"/>
    </w:rPr>
  </w:style>
  <w:style w:type="paragraph" w:styleId="6">
    <w:name w:val="header"/>
    <w:basedOn w:val="1"/>
    <w:qFormat/>
    <w:uiPriority w:val="0"/>
    <w:pPr>
      <w:pBdr>
        <w:top w:val="none" w:color="auto" w:sz="0" w:space="0"/>
        <w:left w:val="none" w:color="auto" w:sz="0" w:space="0"/>
        <w:bottom w:val="none" w:color="auto" w:sz="0" w:space="0"/>
        <w:right w:val="none" w:color="auto" w:sz="0" w:space="0"/>
      </w:pBdr>
      <w:tabs>
        <w:tab w:val="center" w:pos="4153"/>
        <w:tab w:val="right" w:pos="8306"/>
      </w:tabs>
      <w:snapToGrid w:val="0"/>
      <w:spacing w:line="240" w:lineRule="auto"/>
      <w:jc w:val="both"/>
      <w:outlineLvl w:val="9"/>
    </w:pPr>
    <w:rPr>
      <w:sz w:val="18"/>
    </w:rPr>
  </w:style>
  <w:style w:type="paragraph" w:styleId="7">
    <w:name w:val="table of figures"/>
    <w:basedOn w:val="1"/>
    <w:next w:val="1"/>
    <w:qFormat/>
    <w:uiPriority w:val="0"/>
    <w:pPr>
      <w:ind w:left="400" w:leftChars="200" w:hanging="200" w:hangingChars="200"/>
    </w:pPr>
  </w:style>
  <w:style w:type="character" w:styleId="10">
    <w:name w:val="page number"/>
    <w:qFormat/>
    <w:uiPriority w:val="0"/>
  </w:style>
  <w:style w:type="character" w:styleId="11">
    <w:name w:val="Hyperlink"/>
    <w:basedOn w:val="9"/>
    <w:qFormat/>
    <w:uiPriority w:val="0"/>
    <w:rPr>
      <w:color w:val="0000FF"/>
      <w:u w:val="single"/>
    </w:rPr>
  </w:style>
  <w:style w:type="character" w:customStyle="1" w:styleId="12">
    <w:name w:val="heading 1 Char"/>
    <w:basedOn w:val="9"/>
    <w:link w:val="2"/>
    <w:uiPriority w:val="0"/>
    <w:rPr>
      <w:rFonts w:ascii="Calibri" w:hAnsi="Calibri" w:eastAsia="宋体" w:cs="Arial"/>
      <w:b/>
      <w:bCs/>
      <w:kern w:val="44"/>
      <w:sz w:val="44"/>
      <w:szCs w:val="44"/>
      <w:lang w:val="en-US" w:eastAsia="zh-CN" w:bidi="ar-SA"/>
    </w:rPr>
  </w:style>
  <w:style w:type="character" w:customStyle="1" w:styleId="13">
    <w:name w:val="heading 2 Char"/>
    <w:basedOn w:val="9"/>
    <w:link w:val="3"/>
    <w:uiPriority w:val="0"/>
    <w:rPr>
      <w:rFonts w:ascii="宋体" w:hAnsi="宋体" w:eastAsia="宋体" w:cs="宋体"/>
      <w:b/>
      <w:kern w:val="0"/>
      <w:sz w:val="36"/>
      <w:szCs w:val="36"/>
      <w:lang w:val="en-US" w:eastAsia="zh-CN" w:bidi="ar-SA"/>
    </w:rPr>
  </w:style>
  <w:style w:type="character" w:customStyle="1" w:styleId="14">
    <w:name w:val="heading 3 Char"/>
    <w:basedOn w:val="9"/>
    <w:link w:val="4"/>
    <w:uiPriority w:val="0"/>
    <w:rPr>
      <w:rFonts w:ascii="Calibri" w:hAnsi="Calibri" w:eastAsia="宋体" w:cs="Arial"/>
      <w:b/>
      <w:bCs/>
      <w:kern w:val="2"/>
      <w:sz w:val="32"/>
      <w:szCs w:val="32"/>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
        <a:ea typeface=""/>
        <a:cs typeface=""/>
      </a:majorFont>
      <a:minorFont>
        <a:latin typeface=""/>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1"/>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1"/>
        </a:gradFill>
      </a:fillStyleLst>
      <a:lnStyleLst>
        <a:ln w="6350" cap="flat" cmpd="sng">
          <a:solidFill>
            <a:schemeClr val="phClr"/>
          </a:solidFill>
          <a:prstDash val="solid"/>
          <a:miter/>
        </a:ln>
        <a:ln w="12700" cap="flat" cmpd="sng">
          <a:solidFill>
            <a:schemeClr val="phClr"/>
          </a:solidFill>
          <a:prstDash val="solid"/>
          <a:miter/>
        </a:ln>
        <a:ln w="19050" cap="flat" cmpd="sng">
          <a:solidFill>
            <a:schemeClr val="phClr"/>
          </a:solidFill>
          <a:prstDash val="solid"/>
          <a:miter/>
        </a:ln>
      </a:lnStyleLst>
      <a:effectStyleLst>
        <a:effectStyle>
          <a:effectLst/>
        </a:effectStyle>
        <a:effectStyle>
          <a:effectLst/>
        </a:effectStyle>
        <a:effectStyle>
          <a:effectLst>
            <a:outerShdw blurRad="57150" dist="19050" dir="5400000" rotWithShape="0">
              <a:srgbClr val="000000">
                <a:alpha val="62745"/>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1"/>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1 0 1 0 0 0 3000 0 1 1 1 1"/>
    <sectPr/>
  </customProps>
</customData>
</file>

<file path=customXml/itemProps1.xml><?xml version="1.0" encoding="utf-8"?>
<ds:datastoreItem xmlns:ds="http://schemas.openxmlformats.org/officeDocument/2006/customXml" ds:itemID="{C34C6019-2AD5-434E-83F3-6BC2D66E503C}">
  <ds:schemaRefs/>
</ds:datastoreItem>
</file>

<file path=docProps/app.xml><?xml version="1.0" encoding="utf-8"?>
<Properties xmlns="http://schemas.openxmlformats.org/officeDocument/2006/extended-properties" xmlns:vt="http://schemas.openxmlformats.org/officeDocument/2006/docPropsVTypes">
  <Template>Normal.eit</Template>
  <Pages>19</Pages>
  <Words>5456</Words>
  <Characters>6117</Characters>
  <Lines>0</Lines>
  <Paragraphs>94</Paragraphs>
  <TotalTime>48</TotalTime>
  <ScaleCrop>false</ScaleCrop>
  <LinksUpToDate>false</LinksUpToDate>
  <CharactersWithSpaces>6119</CharactersWithSpaces>
  <Application>WPS Office_12.1.0.25225_F1E327BC-269C-435d-A152-05C5408002CA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2026-01-04T09:06:00Z</dcterms:created>
  <dc:creator>Administrator</dc:creator>
  <cp:lastModifiedBy>FreefrAnk</cp:lastModifiedBy>
  <cp:lastPrinted>2026-01-19T02:27:00Z</cp:lastPrinted>
  <dcterms:modified xsi:type="dcterms:W3CDTF">2026-03-04T06:31:22Z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eyJoZGlkIjoiZjczMDZkNDRiZDdhZjExNTAyZWE2ZWI4OGU2YzBiY2EiLCJ1c2VySWQiOiIzMzAzNzY0NDcifQ==</vt:lpwstr>
  </property>
  <property fmtid="{D5CDD505-2E9C-101B-9397-08002B2CF9AE}" pid="3" name="KSOProductBuildVer">
    <vt:lpwstr>2052-12.1.0.25225</vt:lpwstr>
  </property>
  <property fmtid="{D5CDD505-2E9C-101B-9397-08002B2CF9AE}" pid="4" name="ICV">
    <vt:lpwstr>CE3A7870F24D44EDA6859A67900DF453_13</vt:lpwstr>
  </property>
</Properties>
</file>