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66A2F6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2A31B93E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262AC36B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矿区市场监督管理局部门</w:t>
      </w:r>
    </w:p>
    <w:p w14:paraId="5ECF0B71">
      <w:pPr>
        <w:spacing w:line="560" w:lineRule="exact"/>
        <w:jc w:val="center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181DD8ED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72ED730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ascii="仿宋" w:hAnsi="仿宋" w:eastAsia="仿宋"/>
          <w:sz w:val="32"/>
          <w:szCs w:val="32"/>
        </w:rPr>
        <w:t>区委区政府</w:t>
      </w:r>
      <w:r>
        <w:rPr>
          <w:rFonts w:hint="eastAsia" w:ascii="仿宋" w:hAnsi="仿宋" w:eastAsia="仿宋"/>
          <w:sz w:val="32"/>
          <w:szCs w:val="32"/>
        </w:rPr>
        <w:t>《关于全面落实预算绩效管理的实施意见》（</w:t>
      </w:r>
      <w:r>
        <w:rPr>
          <w:rFonts w:ascii="仿宋" w:hAnsi="仿宋" w:eastAsia="仿宋"/>
          <w:sz w:val="32"/>
          <w:szCs w:val="32"/>
        </w:rPr>
        <w:t>矿</w:t>
      </w:r>
      <w:r>
        <w:rPr>
          <w:rFonts w:hint="eastAsia" w:ascii="仿宋" w:hAnsi="仿宋" w:eastAsia="仿宋"/>
          <w:sz w:val="32"/>
          <w:szCs w:val="32"/>
        </w:rPr>
        <w:t>发﹝2019﹞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矿区市场监管局部门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 w14:paraId="61ECB428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1CD27A40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1E8A0EE2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1．主要职能。</w:t>
      </w:r>
    </w:p>
    <w:p w14:paraId="0F92A7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</w:rPr>
        <w:t>市场监督管理有关地方性法规、政府规章，组织实施质量强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战略、食品安全战略、标准化战略、知识产权战略，拟订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市场监督管理</w:t>
      </w:r>
      <w:r>
        <w:rPr>
          <w:rFonts w:hint="eastAsia" w:ascii="仿宋_GB2312" w:hAnsi="仿宋_GB2312" w:eastAsia="仿宋_GB2312" w:cs="仿宋_GB2312"/>
          <w:sz w:val="32"/>
          <w:szCs w:val="32"/>
        </w:rPr>
        <w:t>规划并组织实施，规范和维护市场秩序，营造诚实守信、公平竞争的市场环境。</w:t>
      </w:r>
    </w:p>
    <w:p w14:paraId="04CF35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shd w:val="clear" w:color="auto" w:fill="auto"/>
        </w:rPr>
        <w:t>负责市场主体信用建设工作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shd w:val="clear" w:color="auto" w:fill="auto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负责</w:t>
      </w:r>
      <w:r>
        <w:rPr>
          <w:rFonts w:hint="eastAsia" w:ascii="仿宋_GB2312" w:hAnsi="仿宋_GB2312" w:eastAsia="仿宋_GB2312" w:cs="仿宋_GB2312"/>
          <w:sz w:val="32"/>
          <w:szCs w:val="32"/>
        </w:rPr>
        <w:t>建立市场主体信息公示和共享机制，依法公示和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共</w:t>
      </w:r>
      <w:r>
        <w:rPr>
          <w:rFonts w:hint="eastAsia" w:ascii="仿宋_GB2312" w:hAnsi="仿宋_GB2312" w:eastAsia="仿宋_GB2312" w:cs="仿宋_GB2312"/>
          <w:sz w:val="32"/>
          <w:szCs w:val="32"/>
        </w:rPr>
        <w:t>享有关信息，加强信用监管，推动市场主体信用体系建设。</w:t>
      </w:r>
    </w:p>
    <w:p w14:paraId="36922E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负责市场监管综合执法工作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，负责</w:t>
      </w:r>
      <w:r>
        <w:rPr>
          <w:rFonts w:hint="eastAsia" w:ascii="仿宋_GB2312" w:hAnsi="仿宋_GB2312" w:eastAsia="仿宋_GB2312" w:cs="仿宋_GB2312"/>
          <w:sz w:val="32"/>
          <w:szCs w:val="32"/>
        </w:rPr>
        <w:t>市场监管综合执法队伍建设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，推动实行统一的市场监管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组织查处重大违法案件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规范市场监管行政执法行为。</w:t>
      </w:r>
    </w:p>
    <w:p w14:paraId="1294CE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（四）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负责监督管理市场秩序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依法监督管理市场交易、网络商品交易及有关服务的行为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；依法</w:t>
      </w:r>
      <w:r>
        <w:rPr>
          <w:rFonts w:hint="eastAsia" w:ascii="仿宋_GB2312" w:hAnsi="仿宋_GB2312" w:eastAsia="仿宋_GB2312" w:cs="仿宋_GB2312"/>
          <w:sz w:val="32"/>
          <w:szCs w:val="32"/>
        </w:rPr>
        <w:t>查处价格收费违法违规、不正当竞争、违法直销、传销、侵犯商标专利知识产权和制售假冒伪劣行为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；负责</w:t>
      </w:r>
      <w:r>
        <w:rPr>
          <w:rFonts w:hint="eastAsia" w:ascii="仿宋_GB2312" w:hAnsi="仿宋_GB2312" w:eastAsia="仿宋_GB2312" w:cs="仿宋_GB2312"/>
          <w:sz w:val="32"/>
          <w:szCs w:val="32"/>
        </w:rPr>
        <w:t>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广告业发展，监督管理广告活动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；依法</w:t>
      </w:r>
      <w:r>
        <w:rPr>
          <w:rFonts w:hint="eastAsia" w:ascii="仿宋_GB2312" w:hAnsi="仿宋_GB2312" w:eastAsia="仿宋_GB2312" w:cs="仿宋_GB2312"/>
          <w:sz w:val="32"/>
          <w:szCs w:val="32"/>
        </w:rPr>
        <w:t>查处无照生产经营和相关无证生产经营行为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；负责维护消费者权益；根据上级授权，负责对经营者集中行为进行反垄断审查，负责</w:t>
      </w:r>
      <w:r>
        <w:rPr>
          <w:rFonts w:hint="eastAsia" w:ascii="仿宋_GB2312" w:hAnsi="仿宋_GB2312" w:eastAsia="仿宋_GB2312" w:cs="仿宋_GB2312"/>
          <w:sz w:val="32"/>
          <w:szCs w:val="32"/>
        </w:rPr>
        <w:t>垄断协议、滥用市场支配地位和滥用行政权力排除、限制竞争等反垄断执法工作。</w:t>
      </w:r>
    </w:p>
    <w:p w14:paraId="6436F2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（五）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宏观质量管理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工作，</w:t>
      </w:r>
      <w:r>
        <w:rPr>
          <w:rFonts w:hint="eastAsia" w:ascii="仿宋_GB2312" w:hAnsi="仿宋_GB2312" w:eastAsia="仿宋_GB2312" w:cs="仿宋_GB2312"/>
          <w:sz w:val="32"/>
          <w:szCs w:val="32"/>
        </w:rPr>
        <w:t>拟订全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质量发展制度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措施并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组织</w:t>
      </w:r>
      <w:r>
        <w:rPr>
          <w:rFonts w:hint="eastAsia" w:ascii="仿宋_GB2312" w:hAnsi="仿宋_GB2312" w:eastAsia="仿宋_GB2312" w:cs="仿宋_GB2312"/>
          <w:sz w:val="32"/>
          <w:szCs w:val="32"/>
        </w:rPr>
        <w:t>实施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统筹全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质量基础设施建设与应用，会同有关部门组织实施重大工程设备质量监理制度，组织重大质量事故调查，组织实施缺陷产品召回制度，监督管理产品防伪工作。</w:t>
      </w:r>
    </w:p>
    <w:p w14:paraId="56CED4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（六）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产品质量安全监督管理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工作，</w:t>
      </w:r>
      <w:r>
        <w:rPr>
          <w:rFonts w:hint="eastAsia" w:ascii="仿宋_GB2312" w:hAnsi="仿宋_GB2312" w:eastAsia="仿宋_GB2312" w:cs="仿宋_GB2312"/>
          <w:sz w:val="32"/>
          <w:szCs w:val="32"/>
        </w:rPr>
        <w:t>承担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级产品质量安全风险监控、监督抽查工作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组织实施质量分级制度、质量安全追溯制度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32"/>
          <w:szCs w:val="32"/>
          <w:u w:val="none"/>
        </w:rPr>
        <w:t>负责纤维质量监督工作。</w:t>
      </w:r>
    </w:p>
    <w:p w14:paraId="2F945B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（七）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特种设备安全监督管理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工作，负责</w:t>
      </w:r>
      <w:r>
        <w:rPr>
          <w:rFonts w:hint="eastAsia" w:ascii="仿宋_GB2312" w:hAnsi="仿宋_GB2312" w:eastAsia="仿宋_GB2312" w:cs="仿宋_GB2312"/>
          <w:sz w:val="32"/>
          <w:szCs w:val="32"/>
        </w:rPr>
        <w:t>特种设备安全监察、监督管理工作，监督检查高耗能特种设备节能标准和锅炉环境保护标准的执行情况。</w:t>
      </w:r>
    </w:p>
    <w:p w14:paraId="633175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（八）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负责综合协调食品安全监督管理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工作，完善</w:t>
      </w:r>
      <w:r>
        <w:rPr>
          <w:rFonts w:hint="eastAsia" w:ascii="仿宋_GB2312" w:hAnsi="仿宋_GB2312" w:eastAsia="仿宋_GB2312" w:cs="仿宋_GB2312"/>
          <w:sz w:val="32"/>
          <w:szCs w:val="32"/>
        </w:rPr>
        <w:t>食品安全地方党政同责和跨部门协调联动机制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负责食品安全应急体系建设，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负责</w:t>
      </w:r>
      <w:r>
        <w:rPr>
          <w:rFonts w:hint="eastAsia" w:ascii="仿宋_GB2312" w:hAnsi="仿宋_GB2312" w:eastAsia="仿宋_GB2312" w:cs="仿宋_GB2312"/>
          <w:sz w:val="32"/>
          <w:szCs w:val="32"/>
        </w:rPr>
        <w:t>食品安全事件应急处置和调查处理工作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承担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矿区</w:t>
      </w:r>
      <w:r>
        <w:rPr>
          <w:rFonts w:hint="eastAsia" w:ascii="仿宋_GB2312" w:hAnsi="仿宋_GB2312" w:eastAsia="仿宋_GB2312" w:cs="仿宋_GB2312"/>
          <w:sz w:val="32"/>
          <w:szCs w:val="32"/>
        </w:rPr>
        <w:t>食品安全委员会日常工作。</w:t>
      </w:r>
    </w:p>
    <w:p w14:paraId="77F3C0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（九）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负责食品安全监督管理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工作，</w:t>
      </w:r>
      <w:r>
        <w:rPr>
          <w:rFonts w:hint="eastAsia" w:ascii="仿宋_GB2312" w:hAnsi="仿宋_GB2312" w:eastAsia="仿宋_GB2312" w:cs="仿宋_GB2312"/>
          <w:sz w:val="32"/>
          <w:szCs w:val="32"/>
        </w:rPr>
        <w:t>建立覆盖食品生产、流通、消费全过程的监督检查制度和隐患排查治理机制并组织实施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，防范食品安全风险；</w:t>
      </w:r>
      <w:r>
        <w:rPr>
          <w:rFonts w:hint="eastAsia" w:ascii="仿宋_GB2312" w:hAnsi="仿宋_GB2312" w:eastAsia="仿宋_GB2312" w:cs="仿宋_GB2312"/>
          <w:sz w:val="32"/>
          <w:szCs w:val="32"/>
        </w:rPr>
        <w:t>推动建立食品生产经营者落实主体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责</w:t>
      </w:r>
      <w:r>
        <w:rPr>
          <w:rFonts w:hint="eastAsia" w:ascii="仿宋_GB2312" w:hAnsi="仿宋_GB2312" w:eastAsia="仿宋_GB2312" w:cs="仿宋_GB2312"/>
          <w:sz w:val="32"/>
          <w:szCs w:val="32"/>
        </w:rPr>
        <w:t>任的机制，健全食品安全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追溯</w:t>
      </w:r>
      <w:r>
        <w:rPr>
          <w:rFonts w:hint="eastAsia" w:ascii="仿宋_GB2312" w:hAnsi="仿宋_GB2312" w:eastAsia="仿宋_GB2312" w:cs="仿宋_GB2312"/>
          <w:sz w:val="32"/>
          <w:szCs w:val="32"/>
        </w:rPr>
        <w:t>体系。参与食品安全风险监测，组织开展食品安全监督抽检、核查处置和风险预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警</w:t>
      </w:r>
      <w:r>
        <w:rPr>
          <w:rFonts w:hint="eastAsia" w:ascii="仿宋_GB2312" w:hAnsi="仿宋_GB2312" w:eastAsia="仿宋_GB2312" w:cs="仿宋_GB2312"/>
          <w:sz w:val="32"/>
          <w:szCs w:val="32"/>
        </w:rPr>
        <w:t>、风险交流工作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按职责分工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负责</w:t>
      </w:r>
      <w:r>
        <w:rPr>
          <w:rFonts w:hint="eastAsia" w:ascii="仿宋_GB2312" w:hAnsi="仿宋_GB2312" w:eastAsia="仿宋_GB2312" w:cs="仿宋_GB2312"/>
          <w:sz w:val="32"/>
          <w:szCs w:val="32"/>
        </w:rPr>
        <w:t>特殊食品监督管理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工作；负责</w:t>
      </w:r>
      <w:r>
        <w:rPr>
          <w:rFonts w:hint="eastAsia" w:ascii="仿宋_GB2312" w:hAnsi="仿宋_GB2312" w:eastAsia="仿宋_GB2312" w:cs="仿宋_GB2312"/>
          <w:sz w:val="32"/>
          <w:szCs w:val="32"/>
        </w:rPr>
        <w:t>重大活动食品安全保障。</w:t>
      </w:r>
    </w:p>
    <w:p w14:paraId="1408F5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（十）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负责统一管理全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计量工作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推行法定计量单位和国家计量制度，管理计量器具及量值传递和比对工作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规范、监督商品量和市场计量行为。</w:t>
      </w:r>
    </w:p>
    <w:p w14:paraId="4EE89D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（十一）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负责统一管理全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标准化工作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宣传贯彻强制性、推荐性国家标准和行业标准、地方标准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依法协调指导和监督团体标准、企业标准制定工作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。</w:t>
      </w:r>
    </w:p>
    <w:p w14:paraId="4F7668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（十二）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负责统一管理全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检验检测工作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推进检验检测机构改革，规范检验检测市场，完善检验检测体系，指导协调检验检测行业发展。</w:t>
      </w:r>
    </w:p>
    <w:p w14:paraId="1498B3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（十三）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负责统一管理、监督和协调全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认证认可工作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，组织</w:t>
      </w:r>
      <w:r>
        <w:rPr>
          <w:rFonts w:hint="eastAsia" w:ascii="仿宋_GB2312" w:hAnsi="仿宋_GB2312" w:eastAsia="仿宋_GB2312" w:cs="仿宋_GB2312"/>
          <w:sz w:val="32"/>
          <w:szCs w:val="32"/>
        </w:rPr>
        <w:t>实施国家统一的认证认可和合格评定监督管理制度。</w:t>
      </w:r>
    </w:p>
    <w:p w14:paraId="46A3B0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（十四）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负责推进全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知识产权管理工作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拟订加强知识产权强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建设发展规划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并组织实施，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强化知识产权创造、保护和运用的政策和制度。</w:t>
      </w:r>
    </w:p>
    <w:p w14:paraId="45CCB1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（十五）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负责保护知识产权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工作，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保护商标、专利、原产地地理标志、集成电路布图设计等知识产权地方性法规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、政府规章草案；</w:t>
      </w:r>
      <w:r>
        <w:rPr>
          <w:rFonts w:hint="eastAsia" w:ascii="仿宋_GB2312" w:hAnsi="仿宋_GB2312" w:eastAsia="仿宋_GB2312" w:cs="仿宋_GB2312"/>
          <w:sz w:val="32"/>
          <w:szCs w:val="32"/>
        </w:rPr>
        <w:t>推动建设知识产权保护体系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负责商标、专利执法工作，负责知识产权争议处理、维权援助和纠纷调处工作。</w:t>
      </w:r>
    </w:p>
    <w:p w14:paraId="753D0E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（十六）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负责促进知识产权运用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工作；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知识产权运用和规范交易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管理办法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</w:rPr>
        <w:t>，促进知识产权转移转化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规范知识产权无形资产评估工作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；负责</w:t>
      </w:r>
      <w:r>
        <w:rPr>
          <w:rFonts w:hint="eastAsia" w:ascii="仿宋_GB2312" w:hAnsi="仿宋_GB2312" w:eastAsia="仿宋_GB2312" w:cs="仿宋_GB2312"/>
          <w:sz w:val="32"/>
          <w:szCs w:val="32"/>
        </w:rPr>
        <w:t>知识产权中介服务发展的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监督管理工作。</w:t>
      </w:r>
    </w:p>
    <w:p w14:paraId="514BAE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（十七）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负责建立知识产权公共服务体系，建设便企利民、互联互通的全区知识产权信息公共服务平台，推动商标、专利等知识产权信息的传播利用。</w:t>
      </w:r>
    </w:p>
    <w:p w14:paraId="685188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（十八）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承担上级授权的知识产权代办工作任务，负责知识产权的初审注册登记，组织实施原产地地理标志统一认定制度。</w:t>
      </w:r>
    </w:p>
    <w:p w14:paraId="4FB84C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240" w:lineRule="auto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（十九）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负责市场监督管理科技和信息化建设、新闻宣传、对外交流与合作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i w:val="0"/>
          <w:iCs w:val="0"/>
          <w:sz w:val="32"/>
          <w:szCs w:val="32"/>
          <w:u w:val="none"/>
          <w:lang w:eastAsia="zh-CN"/>
        </w:rPr>
        <w:t>按规定承担技术性贸易措施有关工作；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负责协调涉外知识产权事宜，承担知识产权对外转让审查工作。</w:t>
      </w:r>
    </w:p>
    <w:p w14:paraId="07F36D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240" w:lineRule="auto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（二十）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责药品（含中药、民族药，下同）、医疗器械和化妆品安全监督管理工作；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贯彻执行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药品、医疗器械和化妆品法律法规，以及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鼓励药品、医疗器械和化妆品新技术新产品的管理与服务政策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zh-CN" w:eastAsia="zh-CN"/>
        </w:rPr>
        <w:t>拟订监督管理措施并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组织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zh-CN" w:eastAsia="zh-CN"/>
        </w:rPr>
        <w:t>实施，组织起草相关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eastAsia="zh-CN"/>
        </w:rPr>
        <w:t>地方性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zh-CN" w:eastAsia="zh-CN"/>
        </w:rPr>
        <w:t>法规、政府规章草案。</w:t>
      </w:r>
    </w:p>
    <w:p w14:paraId="546B8F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（二十一）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负责药品、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医疗器械和化妆品质量管理工作，</w:t>
      </w:r>
      <w:r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  <w:t>依职责</w:t>
      </w:r>
      <w:r>
        <w:rPr>
          <w:rFonts w:hint="eastAsia" w:ascii="仿宋_GB2312" w:hAnsi="仿宋_GB2312" w:eastAsia="仿宋_GB2312" w:cs="仿宋_GB2312"/>
          <w:sz w:val="32"/>
          <w:szCs w:val="32"/>
        </w:rPr>
        <w:t>监督实施药品、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医疗器械经营质量管理规范。</w:t>
      </w:r>
    </w:p>
    <w:p w14:paraId="5103A7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（二十二）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组织开展药品</w:t>
      </w:r>
      <w:r>
        <w:rPr>
          <w:rFonts w:hint="eastAsia" w:ascii="仿宋_GB2312" w:hAnsi="仿宋_GB2312" w:eastAsia="仿宋_GB2312" w:cs="仿宋_GB2312"/>
          <w:sz w:val="32"/>
          <w:szCs w:val="32"/>
          <w:lang w:val="zh-CN" w:eastAsia="zh-CN"/>
        </w:rPr>
        <w:t>、化妆品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不良反应监测、医疗器械不良事件监测、药物滥用监测工作，依法承担药品、医疗器械和化妆品安全应急管理工作。</w:t>
      </w:r>
    </w:p>
    <w:p w14:paraId="259612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（二十三）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负责药品、医疗器械和化妆品监督检查工作，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贯彻落实国家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、省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检查制度，依法查处药品、医</w:t>
      </w:r>
      <w:r>
        <w:rPr>
          <w:rFonts w:hint="eastAsia" w:ascii="仿宋_GB2312" w:hAnsi="仿宋_GB2312" w:eastAsia="仿宋_GB2312" w:cs="仿宋_GB2312"/>
          <w:sz w:val="32"/>
          <w:szCs w:val="32"/>
        </w:rPr>
        <w:t>疗器械和化妆品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经营、使用环节的违法行为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48BE25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（二十四）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组织开展药品、医疗器械和化妆品安全宣传、教育培训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推进诚信体系建设。</w:t>
      </w:r>
    </w:p>
    <w:p w14:paraId="5E7354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240" w:lineRule="auto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（二十五）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zh-CN" w:eastAsia="zh-CN"/>
        </w:rPr>
        <w:t>推进全区药品、医疗器械和化妆品安全监管信息化建设，负责贯彻落实药品、医疗器械和化妆品的安全科技发展规划，推动检验检测体系、电子监管追溯体系和信息化建设；完善药品、医疗器械和化妆品安全信息统一公布制度和重大信息直报制度，公布重大安全信息。</w:t>
      </w:r>
    </w:p>
    <w:p w14:paraId="3C9CE2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（二十六）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承接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市场监督管理局和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药品监督管理局委托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级实施的管理事项。</w:t>
      </w:r>
    </w:p>
    <w:p w14:paraId="12F66B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right="0" w:firstLine="640" w:firstLineChars="200"/>
        <w:jc w:val="both"/>
        <w:textAlignment w:val="auto"/>
        <w:outlineLvl w:val="9"/>
        <w:rPr>
          <w:rFonts w:ascii="新宋体" w:hAnsi="新宋体" w:eastAsia="新宋体"/>
          <w:sz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（二十七）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委、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政府交办的其他任务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4E44542D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2．机构情况。</w:t>
      </w:r>
    </w:p>
    <w:tbl>
      <w:tblPr>
        <w:tblStyle w:val="11"/>
        <w:tblW w:w="889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9"/>
        <w:gridCol w:w="2001"/>
        <w:gridCol w:w="2131"/>
        <w:gridCol w:w="2506"/>
      </w:tblGrid>
      <w:tr w14:paraId="739CB0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9" w:type="dxa"/>
            <w:vAlign w:val="center"/>
          </w:tcPr>
          <w:p w14:paraId="4E9C35C7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单位名称</w:t>
            </w:r>
          </w:p>
        </w:tc>
        <w:tc>
          <w:tcPr>
            <w:tcW w:w="2001" w:type="dxa"/>
            <w:vAlign w:val="center"/>
          </w:tcPr>
          <w:p w14:paraId="1300FDCB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单位性质</w:t>
            </w:r>
          </w:p>
        </w:tc>
        <w:tc>
          <w:tcPr>
            <w:tcW w:w="2131" w:type="dxa"/>
            <w:vAlign w:val="center"/>
          </w:tcPr>
          <w:p w14:paraId="1BBE67EF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单位规格</w:t>
            </w:r>
          </w:p>
        </w:tc>
        <w:tc>
          <w:tcPr>
            <w:tcW w:w="2506" w:type="dxa"/>
            <w:vAlign w:val="center"/>
          </w:tcPr>
          <w:p w14:paraId="56E54F93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经费保障形势</w:t>
            </w:r>
          </w:p>
        </w:tc>
      </w:tr>
      <w:tr w14:paraId="0391C7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1217CEE7">
            <w:pPr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石家庄市井陉矿区</w:t>
            </w: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市场监督管理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局</w:t>
            </w: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1368D7B4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行政</w:t>
            </w:r>
          </w:p>
        </w:tc>
        <w:tc>
          <w:tcPr>
            <w:tcW w:w="213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53E09689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250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64F61E87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财政拨款</w:t>
            </w:r>
          </w:p>
        </w:tc>
      </w:tr>
      <w:tr w14:paraId="78610E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30B5E8D5">
            <w:pPr>
              <w:rPr>
                <w:rFonts w:hint="eastAsia"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石家庄市井陉矿区</w:t>
            </w: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市场监督综合执法大队</w:t>
            </w:r>
          </w:p>
        </w:tc>
        <w:tc>
          <w:tcPr>
            <w:tcW w:w="200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577494D3">
            <w:pPr>
              <w:jc w:val="center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事业</w:t>
            </w:r>
          </w:p>
        </w:tc>
        <w:tc>
          <w:tcPr>
            <w:tcW w:w="213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EA938F0">
            <w:pPr>
              <w:jc w:val="center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副科级</w:t>
            </w:r>
          </w:p>
        </w:tc>
        <w:tc>
          <w:tcPr>
            <w:tcW w:w="250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40092055">
            <w:pPr>
              <w:jc w:val="center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财政拨款</w:t>
            </w:r>
          </w:p>
        </w:tc>
      </w:tr>
    </w:tbl>
    <w:p w14:paraId="1C84FE0F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3．人员情况，包括当年变动情况及原因。</w:t>
      </w:r>
    </w:p>
    <w:p w14:paraId="58802082">
      <w:pPr>
        <w:spacing w:line="560" w:lineRule="exact"/>
        <w:ind w:firstLine="63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编制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47</w:t>
      </w:r>
      <w:r>
        <w:rPr>
          <w:rFonts w:hint="eastAsia" w:ascii="仿宋_GB2312" w:hAnsi="仿宋_GB2312" w:eastAsia="仿宋_GB2312" w:cs="仿宋_GB2312"/>
          <w:sz w:val="32"/>
          <w:szCs w:val="32"/>
        </w:rPr>
        <w:t>人，202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年末实有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49</w:t>
      </w:r>
      <w:r>
        <w:rPr>
          <w:rFonts w:hint="eastAsia" w:ascii="仿宋_GB2312" w:hAnsi="仿宋_GB2312" w:eastAsia="仿宋_GB2312" w:cs="仿宋_GB2312"/>
          <w:sz w:val="32"/>
          <w:szCs w:val="32"/>
        </w:rPr>
        <w:t>人。下属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个二级预算单位，包括财政性基本保证单位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编制共计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人，202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年末实有</w:t>
      </w:r>
      <w:r>
        <w:rPr>
          <w:rFonts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2B278923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4、资产情况</w:t>
      </w:r>
      <w:r>
        <w:rPr>
          <w:rFonts w:hint="eastAsia" w:ascii="仿宋_GB2312" w:hAnsi="仿宋" w:eastAsia="仿宋_GB2312"/>
          <w:sz w:val="32"/>
          <w:szCs w:val="32"/>
        </w:rPr>
        <w:t>，包括当年变动情况及原因。</w:t>
      </w:r>
    </w:p>
    <w:p w14:paraId="345D08C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年年初资产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911.38</w:t>
      </w:r>
      <w:r>
        <w:rPr>
          <w:rFonts w:hint="eastAsia" w:ascii="仿宋" w:hAnsi="仿宋" w:eastAsia="仿宋" w:cs="仿宋"/>
          <w:sz w:val="32"/>
          <w:szCs w:val="32"/>
        </w:rPr>
        <w:t>万元，年末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911.38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。当年无变动。</w:t>
      </w:r>
    </w:p>
    <w:p w14:paraId="576C4E6E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1355798E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" w:eastAsia="仿宋_GB2312" w:cs="仿宋_GB2312"/>
          <w:sz w:val="32"/>
          <w:szCs w:val="32"/>
        </w:rPr>
      </w:pPr>
      <w:r>
        <w:rPr>
          <w:rFonts w:hint="eastAsia" w:ascii="仿宋_GB2312" w:hAnsi="仿宋" w:eastAsia="仿宋_GB2312" w:cs="仿宋_GB2312"/>
          <w:sz w:val="32"/>
          <w:szCs w:val="32"/>
        </w:rPr>
        <w:t>202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_GB2312"/>
          <w:sz w:val="32"/>
          <w:szCs w:val="32"/>
        </w:rPr>
        <w:t>年部门年初预算收入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1000.16</w:t>
      </w:r>
      <w:r>
        <w:rPr>
          <w:rFonts w:hint="eastAsia" w:ascii="仿宋_GB2312" w:hAnsi="仿宋" w:eastAsia="仿宋_GB2312" w:cs="仿宋_GB2312"/>
          <w:sz w:val="32"/>
          <w:szCs w:val="32"/>
        </w:rPr>
        <w:t>万元，202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仿宋_GB2312"/>
          <w:sz w:val="32"/>
          <w:szCs w:val="32"/>
        </w:rPr>
        <w:t>年部门预算支出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1000.16</w:t>
      </w:r>
      <w:r>
        <w:rPr>
          <w:rFonts w:hint="eastAsia" w:ascii="仿宋_GB2312" w:hAnsi="仿宋" w:eastAsia="仿宋_GB2312" w:cs="仿宋_GB2312"/>
          <w:sz w:val="32"/>
          <w:szCs w:val="32"/>
        </w:rPr>
        <w:t>万元，其中：基本支出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859.61</w:t>
      </w:r>
      <w:r>
        <w:rPr>
          <w:rFonts w:hint="eastAsia" w:ascii="仿宋_GB2312" w:hAnsi="仿宋" w:eastAsia="仿宋_GB2312" w:cs="仿宋_GB2312"/>
          <w:sz w:val="32"/>
          <w:szCs w:val="32"/>
        </w:rPr>
        <w:t>万元，项目支出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140.55</w:t>
      </w:r>
      <w:r>
        <w:rPr>
          <w:rFonts w:hint="eastAsia" w:ascii="仿宋_GB2312" w:hAnsi="仿宋" w:eastAsia="仿宋_GB2312" w:cs="仿宋_GB2312"/>
          <w:sz w:val="32"/>
          <w:szCs w:val="32"/>
        </w:rPr>
        <w:t>万元。202</w:t>
      </w:r>
      <w:r>
        <w:rPr>
          <w:rFonts w:hint="eastAsia" w:ascii="仿宋_GB2312" w:hAnsi="仿宋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="仿宋_GB2312"/>
          <w:sz w:val="32"/>
          <w:szCs w:val="32"/>
        </w:rPr>
        <w:t>年实际收入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993.52</w:t>
      </w:r>
      <w:r>
        <w:rPr>
          <w:rFonts w:hint="eastAsia" w:ascii="仿宋_GB2312" w:hAnsi="仿宋" w:eastAsia="仿宋_GB2312" w:cs="仿宋_GB2312"/>
          <w:sz w:val="32"/>
          <w:szCs w:val="32"/>
        </w:rPr>
        <w:t>万元,实际支出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993.52</w:t>
      </w:r>
      <w:r>
        <w:rPr>
          <w:rFonts w:hint="eastAsia" w:ascii="仿宋_GB2312" w:hAnsi="仿宋" w:eastAsia="仿宋_GB2312" w:cs="仿宋_GB2312"/>
          <w:sz w:val="32"/>
          <w:szCs w:val="32"/>
        </w:rPr>
        <w:t>万元</w:t>
      </w:r>
      <w:r>
        <w:rPr>
          <w:rFonts w:hint="eastAsia" w:ascii="仿宋_GB2312" w:hAnsi="仿宋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_GB2312"/>
          <w:sz w:val="32"/>
          <w:szCs w:val="32"/>
        </w:rPr>
        <w:t>其中：基本支出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923.17</w:t>
      </w:r>
      <w:r>
        <w:rPr>
          <w:rFonts w:hint="eastAsia" w:ascii="仿宋_GB2312" w:hAnsi="仿宋" w:eastAsia="仿宋_GB2312" w:cs="仿宋_GB2312"/>
          <w:sz w:val="32"/>
          <w:szCs w:val="32"/>
        </w:rPr>
        <w:t>万元，项目支出</w:t>
      </w:r>
      <w:r>
        <w:rPr>
          <w:rFonts w:ascii="仿宋_GB2312" w:hAnsi="仿宋" w:eastAsia="仿宋_GB2312" w:cs="仿宋_GB2312"/>
          <w:sz w:val="32"/>
          <w:szCs w:val="32"/>
          <w:lang w:val="en-US" w:eastAsia="zh-CN"/>
        </w:rPr>
        <w:t>70.34</w:t>
      </w:r>
      <w:r>
        <w:rPr>
          <w:rFonts w:hint="eastAsia" w:ascii="仿宋_GB2312" w:hAnsi="仿宋" w:eastAsia="仿宋_GB2312" w:cs="仿宋_GB2312"/>
          <w:sz w:val="32"/>
          <w:szCs w:val="32"/>
        </w:rPr>
        <w:t>万元。</w:t>
      </w:r>
    </w:p>
    <w:p w14:paraId="4718C8A8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39C46A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年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一是率先完成主体年报工作。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在全市24个县（市、区）、直属分局中率先完成年报公示工作，获市局发文通报表扬。</w:t>
      </w:r>
      <w:r>
        <w:rPr>
          <w:rFonts w:ascii="仿宋_GB2312" w:hAnsi="仿宋_GB2312" w:eastAsia="仿宋_GB2312" w:cs="仿宋_GB2312"/>
          <w:b/>
          <w:bCs/>
          <w:sz w:val="32"/>
          <w:szCs w:val="32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是扎实开展党史学习教育。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局办公楼、基层监管所高标准建设党建活动室、走廊文化阵地建设，每周利用半个小时开展《党史教育周周讲》和业务知识大练兵活动。确立了19项办实事项目，其中帮扶困难群体年报得到了群众赞扬与好评，被省电视台、河北日报、学习强国被省市媒体先后报道。</w:t>
      </w:r>
      <w:r>
        <w:rPr>
          <w:rFonts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是强化执法办案。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以“衣食住行”领域专项整治工作为抓手，查处各类违法违规案件39件，同比增长50%，有力震慑了不法经营行为。</w:t>
      </w:r>
    </w:p>
    <w:tbl>
      <w:tblPr>
        <w:tblStyle w:val="11"/>
        <w:tblpPr w:leftFromText="180" w:rightFromText="180" w:vertAnchor="text" w:horzAnchor="page" w:tblpX="1200" w:tblpY="320"/>
        <w:tblOverlap w:val="never"/>
        <w:tblW w:w="997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71"/>
        <w:gridCol w:w="1535"/>
        <w:gridCol w:w="1371"/>
        <w:gridCol w:w="939"/>
        <w:gridCol w:w="659"/>
        <w:gridCol w:w="939"/>
        <w:gridCol w:w="792"/>
        <w:gridCol w:w="1045"/>
        <w:gridCol w:w="1319"/>
      </w:tblGrid>
      <w:tr w14:paraId="267AF2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0" w:hRule="atLeast"/>
        </w:trPr>
        <w:tc>
          <w:tcPr>
            <w:tcW w:w="9970" w:type="dxa"/>
            <w:gridSpan w:val="9"/>
            <w:shd w:val="clear" w:color="auto" w:fill="D3DCE9"/>
            <w:vAlign w:val="center"/>
          </w:tcPr>
          <w:p w14:paraId="1FEDD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43"/>
                <w:szCs w:val="4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3"/>
                <w:szCs w:val="43"/>
                <w:u w:val="none"/>
                <w:lang w:val="en-US" w:eastAsia="zh-CN"/>
              </w:rPr>
              <w:t>预算项目绩效信息表</w:t>
            </w:r>
          </w:p>
        </w:tc>
      </w:tr>
      <w:tr w14:paraId="62CAA8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1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7F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一级指标</w:t>
            </w:r>
          </w:p>
        </w:tc>
        <w:tc>
          <w:tcPr>
            <w:tcW w:w="15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5A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二级指标</w:t>
            </w:r>
          </w:p>
        </w:tc>
        <w:tc>
          <w:tcPr>
            <w:tcW w:w="1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01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三级指标</w:t>
            </w:r>
          </w:p>
        </w:tc>
        <w:tc>
          <w:tcPr>
            <w:tcW w:w="9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24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绩效指标描述</w:t>
            </w:r>
          </w:p>
        </w:tc>
        <w:tc>
          <w:tcPr>
            <w:tcW w:w="6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9A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评（扣）分标准</w:t>
            </w:r>
          </w:p>
        </w:tc>
        <w:tc>
          <w:tcPr>
            <w:tcW w:w="27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8C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指标值</w:t>
            </w:r>
          </w:p>
        </w:tc>
        <w:tc>
          <w:tcPr>
            <w:tcW w:w="13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E1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指标值确定依据</w:t>
            </w:r>
          </w:p>
        </w:tc>
      </w:tr>
      <w:tr w14:paraId="2CAF5C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47DDA"/>
        </w:tc>
        <w:tc>
          <w:tcPr>
            <w:tcW w:w="15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57D02"/>
        </w:tc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31618"/>
        </w:tc>
        <w:tc>
          <w:tcPr>
            <w:tcW w:w="9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234E9"/>
        </w:tc>
        <w:tc>
          <w:tcPr>
            <w:tcW w:w="6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02CD4"/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C9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符号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8B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值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29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单位（文字描述）</w:t>
            </w:r>
          </w:p>
        </w:tc>
        <w:tc>
          <w:tcPr>
            <w:tcW w:w="13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52417"/>
        </w:tc>
      </w:tr>
      <w:tr w14:paraId="635F33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</w:trPr>
        <w:tc>
          <w:tcPr>
            <w:tcW w:w="1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DD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产出指标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AF9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数量指标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39F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宣传活动条幅、彩页印刷数量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69C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按照上级要求印制相关宣传品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921191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2A7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=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FC11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100.00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42C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百分比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949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实施方案</w:t>
            </w:r>
          </w:p>
        </w:tc>
      </w:tr>
      <w:tr w14:paraId="27B8F6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BBAA7"/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7D1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质量指标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584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特种设备检查覆盖率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ED7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全区特种设备检查覆盖率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4313E4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EC7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B63E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60.00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4BD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百分比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34D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工作计划</w:t>
            </w:r>
          </w:p>
        </w:tc>
      </w:tr>
      <w:tr w14:paraId="2D6253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BBDA0"/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5B8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时效指标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2C1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按时参加各类会议、培训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07C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按时参加各类会议、培训出勤率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8B659E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CAE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1B09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90.00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F0E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百分比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F01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工作计划</w:t>
            </w:r>
          </w:p>
        </w:tc>
      </w:tr>
      <w:tr w14:paraId="7569F7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50" w:hRule="atLeast"/>
        </w:trPr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56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效益指标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F7E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社会效益指标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B1E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市场监管等工作正常推进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244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市场监管等工作完成率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0E873C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8E0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F792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95.00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E78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百分比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AF3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工作计划</w:t>
            </w:r>
          </w:p>
        </w:tc>
      </w:tr>
      <w:tr w14:paraId="0B875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</w:trPr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54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满意度指标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11C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服务对象满意度指标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FAC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监管人员满意度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7FF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被监管人员满意度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20FB88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E932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B061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85.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AA75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%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566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/>
              </w:rPr>
              <w:t>问卷调查</w:t>
            </w:r>
          </w:p>
        </w:tc>
      </w:tr>
    </w:tbl>
    <w:p w14:paraId="1E570A4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7B95E713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09A0F5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为进一步提高我局绩效预算管理工作，根据《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中共井陉矿区委、井陉矿区人民政府关于全面落实预算绩效管理的实施意见</w:t>
      </w:r>
      <w:r>
        <w:rPr>
          <w:rFonts w:hint="eastAsia" w:ascii="仿宋" w:hAnsi="仿宋" w:eastAsia="仿宋" w:cs="仿宋"/>
          <w:sz w:val="32"/>
          <w:szCs w:val="32"/>
        </w:rPr>
        <w:t>》（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矿发</w:t>
      </w:r>
      <w:r>
        <w:rPr>
          <w:rFonts w:hint="eastAsia" w:ascii="仿宋" w:hAnsi="仿宋" w:eastAsia="仿宋" w:cs="仿宋"/>
          <w:sz w:val="32"/>
          <w:szCs w:val="32"/>
        </w:rPr>
        <w:t>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号）要求，成立绩效评价工作组，对我局所有的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 w:cs="仿宋"/>
          <w:sz w:val="32"/>
          <w:szCs w:val="32"/>
        </w:rPr>
        <w:t>项目，开展20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部门整体</w:t>
      </w:r>
      <w:r>
        <w:rPr>
          <w:rFonts w:hint="eastAsia" w:ascii="仿宋" w:hAnsi="仿宋" w:eastAsia="仿宋" w:cs="仿宋"/>
          <w:sz w:val="32"/>
          <w:szCs w:val="32"/>
        </w:rPr>
        <w:t>绩效自评工作。</w:t>
      </w:r>
    </w:p>
    <w:p w14:paraId="0200C9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绩效评价工作组根据工作方案，明确任务分工，确定评价程序及时间安排。根据20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年初设定的绩效目标完成情况和各绩效指标完成情况进行核实分析，填报《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区级</w:t>
      </w:r>
      <w:r>
        <w:rPr>
          <w:rFonts w:hint="eastAsia" w:ascii="仿宋" w:hAnsi="仿宋" w:eastAsia="仿宋" w:cs="仿宋"/>
          <w:sz w:val="32"/>
          <w:szCs w:val="32"/>
        </w:rPr>
        <w:t>项目绩效自评表》，并撰写绩效自评报告。</w:t>
      </w:r>
    </w:p>
    <w:p w14:paraId="456356C5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矿区市场监督管理</w:t>
      </w:r>
      <w:r>
        <w:rPr>
          <w:rFonts w:hint="eastAsia" w:ascii="仿宋" w:hAnsi="仿宋" w:eastAsia="仿宋" w:cs="仿宋"/>
          <w:sz w:val="32"/>
          <w:szCs w:val="32"/>
        </w:rPr>
        <w:t>局20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年初</w:t>
      </w:r>
      <w:r>
        <w:rPr>
          <w:rFonts w:hint="eastAsia" w:ascii="仿宋" w:hAnsi="仿宋" w:eastAsia="仿宋" w:cs="仿宋"/>
          <w:sz w:val="32"/>
          <w:szCs w:val="32"/>
        </w:rPr>
        <w:t>预算共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1000.16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万元：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人员预算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801.46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万元，日常公用经费预算58.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万元，项目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（十个）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预算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涉及资金具体为：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2024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年市场局预算项目共计1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个，包括食品安全监管经费32.38万元、质量安全监管经费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万元、劳务派遣经费5.8万元、药品事务经费0.1 5万元、散煤管控工作经费0万元、信息化建设经费13万元、保障党建工作经费0.26万元等。</w:t>
      </w:r>
    </w:p>
    <w:p w14:paraId="3951E9D8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02741E24">
      <w:pPr>
        <w:pStyle w:val="2"/>
        <w:ind w:left="0" w:leftChars="0" w:firstLine="0" w:firstLineChars="0"/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本次绩效评价证据收集方法包括了：研究、分析项目预算股室提供的相关文件；整理汇总项目预算股室提供的项目资料、工作总结和合同；根据预算股室提供的基础数据表逐项进行核实；根据项目服务对象填写的问卷调查结果汇总满意度情况。项目在前期的调研基础上，完成了项目绩效评价工作方案，设计了指标体系、评价标准、问卷调查方案等，明确了评价的目的、方法，评价原则。项目严格按照工作方案，通过调研、相关文件的解读、数据采集、文件调查、数据分析、指标评分和撰写的环节，顺利完成了本次绩效评价工作。</w:t>
      </w:r>
    </w:p>
    <w:p w14:paraId="44C4A78D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41EEFFD5">
      <w:pPr>
        <w:numPr>
          <w:ilvl w:val="0"/>
          <w:numId w:val="3"/>
        </w:numPr>
        <w:spacing w:line="560" w:lineRule="exact"/>
        <w:ind w:left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0C3D52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C0000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是贯穿预算绩效管理始终的一条主线，是预算资金安排、事中绩效跟踪和事后绩效评价的重要依据。根据相关文件要求，我局所有年初项目均设定了绩效目标，涉及产出指标和效果指标，但存在绩效指标不够全面、可评性不高、具体指标缺乏量化等问题。主要原因是对绩效目标的认识不够，制定多样化和细化的评价指标和标准需要在实践中不断完善。</w:t>
      </w:r>
    </w:p>
    <w:p w14:paraId="3D98E437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1D236B0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（</w:t>
      </w:r>
      <w:r>
        <w:rPr>
          <w:rFonts w:ascii="仿宋" w:hAnsi="仿宋" w:eastAsia="仿宋" w:cs="仿宋"/>
          <w:color w:val="auto"/>
          <w:sz w:val="32"/>
          <w:szCs w:val="32"/>
        </w:rPr>
        <w:t>一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）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质量安全监管经费</w:t>
      </w:r>
    </w:p>
    <w:p w14:paraId="7962F99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1.资金支出进度</w:t>
      </w:r>
    </w:p>
    <w:p w14:paraId="5306333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该项目预算为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调整预算数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9.9971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万元，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9.9971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03A0DED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2635891D">
      <w:pPr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加强产品质量、特设监管，严守安全底线。特种设备监管。对全区74家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zh-CN" w:eastAsia="zh-CN"/>
        </w:rPr>
        <w:t>特种设备使用单位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的4182台（辆、套）特种设备开展监管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zh-CN" w:eastAsia="zh-CN"/>
        </w:rPr>
        <w:t>，发现问题隐患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89处，下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zh-CN" w:eastAsia="zh-CN"/>
        </w:rPr>
        <w:t>达《特种设备安全监察指令书》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zh-CN" w:eastAsia="zh-CN"/>
        </w:rPr>
        <w:t>份，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已全部整改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zh-CN" w:eastAsia="zh-CN"/>
        </w:rPr>
        <w:t>，整改率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zh-CN" w:eastAsia="zh-CN"/>
        </w:rPr>
        <w:t>％。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全区3家获证企业开展巡查企业巡查率达100%，开展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zh-CN" w:eastAsia="zh-CN"/>
        </w:rPr>
        <w:t>区级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抽检21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zh-CN"/>
        </w:rPr>
        <w:t>个批次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配合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省局、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市局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抽检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13个批次。对全区49家企业（医疗机构、加油站）的780余台（条）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强检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计量器具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进行了免费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检定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。指导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辖区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家企业完成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了河北省定量包装商品生产企业计量保证能力自我声明（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“C”标志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），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培育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全区36家单位获的“诚信计量承诺单位”称号。协助贾庄镇林果协会办理团体标准注册申请。帮助农业农村局制定市级农业地方标准。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鼓励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企业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获得“双采”证书。</w:t>
      </w:r>
    </w:p>
    <w:p w14:paraId="469CB8E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绩效指标为4个，评价等级为优。</w:t>
      </w:r>
    </w:p>
    <w:p w14:paraId="6EFC6B08">
      <w:pPr>
        <w:adjustRightInd w:val="0"/>
        <w:snapToGrid w:val="0"/>
        <w:spacing w:line="560" w:lineRule="exact"/>
        <w:ind w:firstLine="640" w:firstLineChars="200"/>
        <w:rPr>
          <w:color w:va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（</w:t>
      </w:r>
      <w:r>
        <w:rPr>
          <w:rFonts w:ascii="仿宋" w:hAnsi="仿宋" w:eastAsia="仿宋" w:cs="仿宋"/>
          <w:color w:val="auto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）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劳务派遣经费</w:t>
      </w:r>
    </w:p>
    <w:p w14:paraId="0B0D836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1.资金支出进度</w:t>
      </w:r>
    </w:p>
    <w:p w14:paraId="5D6BFFC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该项目预算为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5.8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调整预算数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5.8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万元，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5.8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59B97D9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4DB5733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由于劳务派遣工作人员的增加，弥补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市场监管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工作人员严重不足的现状，保障了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市场监管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工作圆满完成。</w:t>
      </w:r>
    </w:p>
    <w:p w14:paraId="35B6D60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绩效指标为4个，评价等级为优。</w:t>
      </w:r>
    </w:p>
    <w:p w14:paraId="54E73F65">
      <w:pPr>
        <w:adjustRightInd w:val="0"/>
        <w:snapToGrid w:val="0"/>
        <w:spacing w:line="560" w:lineRule="exact"/>
        <w:ind w:firstLine="640" w:firstLineChars="200"/>
        <w:rPr>
          <w:rFonts w:hint="eastAsia"/>
          <w:color w:va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（</w:t>
      </w:r>
      <w:r>
        <w:rPr>
          <w:rFonts w:ascii="仿宋" w:hAnsi="仿宋" w:eastAsia="仿宋" w:cs="仿宋"/>
          <w:color w:val="auto"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）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市场主体管理经费</w:t>
      </w:r>
    </w:p>
    <w:p w14:paraId="41657A0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1.资金支出进度</w:t>
      </w:r>
    </w:p>
    <w:p w14:paraId="344D262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该项目预算为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18.37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调整预算数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12.504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万元，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12.504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7220DB4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739F326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优化营商环境，助力企业发展。一是开展包容审慎监管。严格落实省市《包容审慎监管的指导意见》和《市场主体轻微违法违规经营行为免罚清单》，建立市场轻微违法违规经营行为容错机制，为“三新经济”市场主体留足空间，充分释放活力和社会创造力。二是推进“双随机，一公开”监管。在保障涉及民生基本安全的基础上，进一步扩大“双随机一公开”覆盖面，合理规划抽查工作的领域、范围和频次，减轻企业负担，全年开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双随机抽查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次，抽查各类市场主体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273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家，发现问题主体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家，抽查结果均向社会公示。</w:t>
      </w:r>
    </w:p>
    <w:p w14:paraId="56290CC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FF000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绩效指标为4个，评价等级为优。</w:t>
      </w:r>
    </w:p>
    <w:p w14:paraId="25C1D420">
      <w:pPr>
        <w:adjustRightInd w:val="0"/>
        <w:snapToGrid w:val="0"/>
        <w:spacing w:line="560" w:lineRule="exact"/>
        <w:ind w:firstLine="640" w:firstLineChars="200"/>
        <w:rPr>
          <w:rFonts w:hint="eastAsia"/>
          <w:color w:val="auto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（</w:t>
      </w:r>
      <w:r>
        <w:rPr>
          <w:rFonts w:ascii="仿宋" w:hAnsi="仿宋" w:eastAsia="仿宋" w:cs="仿宋"/>
          <w:color w:val="auto"/>
          <w:sz w:val="32"/>
          <w:szCs w:val="32"/>
          <w:lang w:eastAsia="zh-CN"/>
        </w:rPr>
        <w:t>四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）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食品安全监管经费</w:t>
      </w:r>
    </w:p>
    <w:p w14:paraId="0E2DE17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1.资金支出进度</w:t>
      </w:r>
    </w:p>
    <w:p w14:paraId="14F8E0E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该项目预算为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32.38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调整预算数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万元，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23E8139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57F6D54B">
      <w:pPr>
        <w:adjustRightInd w:val="0"/>
        <w:snapToGrid w:val="0"/>
        <w:spacing w:line="560" w:lineRule="exact"/>
        <w:ind w:firstLine="62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宋体" w:eastAsia="仿宋_GB2312" w:cs="仿宋_GB2312"/>
          <w:color w:val="auto"/>
          <w:kern w:val="0"/>
          <w:sz w:val="31"/>
          <w:szCs w:val="31"/>
          <w:lang w:val="en-US" w:eastAsia="zh-CN"/>
        </w:rPr>
        <w:t>筑牢食品药品安全防线。食品安全方面，强化党政同责，作为全市迎检工作的叁区两县之一，我们发扬不怕</w:t>
      </w:r>
      <w:r>
        <w:rPr>
          <w:rFonts w:ascii="仿宋_GB2312" w:hAnsi="宋体" w:eastAsia="仿宋_GB2312" w:cs="仿宋_GB2312"/>
          <w:color w:val="auto"/>
          <w:kern w:val="0"/>
          <w:sz w:val="31"/>
          <w:szCs w:val="31"/>
          <w:lang w:val="en-US" w:eastAsia="zh-CN"/>
        </w:rPr>
        <w:t>疲劳、连</w:t>
      </w:r>
      <w:r>
        <w:rPr>
          <w:rFonts w:hint="eastAsia" w:ascii="仿宋_GB2312" w:hAnsi="宋体" w:eastAsia="仿宋_GB2312" w:cs="仿宋_GB2312"/>
          <w:color w:val="auto"/>
          <w:kern w:val="0"/>
          <w:sz w:val="31"/>
          <w:szCs w:val="31"/>
          <w:lang w:val="en-US" w:eastAsia="zh-CN"/>
        </w:rPr>
        <w:t>续作战、敢打必胜的工作作风，经过三个月的不懈努力，圆满</w:t>
      </w:r>
      <w:r>
        <w:rPr>
          <w:rFonts w:ascii="仿宋_GB2312" w:hAnsi="宋体" w:eastAsia="仿宋_GB2312" w:cs="仿宋_GB2312"/>
          <w:color w:val="auto"/>
          <w:kern w:val="0"/>
          <w:sz w:val="31"/>
          <w:szCs w:val="31"/>
          <w:lang w:val="en-US" w:eastAsia="zh-CN"/>
        </w:rPr>
        <w:t>完成</w:t>
      </w:r>
      <w:r>
        <w:rPr>
          <w:rFonts w:hint="eastAsia" w:ascii="仿宋_GB2312" w:hAnsi="宋体" w:eastAsia="仿宋_GB2312" w:cs="仿宋_GB2312"/>
          <w:color w:val="auto"/>
          <w:kern w:val="0"/>
          <w:sz w:val="31"/>
          <w:szCs w:val="31"/>
          <w:lang w:val="en-US" w:eastAsia="zh-CN"/>
        </w:rPr>
        <w:t>马宇骏市长交办</w:t>
      </w:r>
      <w:r>
        <w:rPr>
          <w:rFonts w:ascii="仿宋_GB2312" w:hAnsi="宋体" w:eastAsia="仿宋_GB2312" w:cs="仿宋_GB2312"/>
          <w:color w:val="auto"/>
          <w:kern w:val="0"/>
          <w:sz w:val="31"/>
          <w:szCs w:val="31"/>
          <w:lang w:val="en-US" w:eastAsia="zh-CN"/>
        </w:rPr>
        <w:t>“只能成功，不能失败”</w:t>
      </w:r>
      <w:r>
        <w:rPr>
          <w:rFonts w:hint="eastAsia" w:ascii="仿宋_GB2312" w:hAnsi="宋体" w:eastAsia="仿宋_GB2312" w:cs="仿宋_GB2312"/>
          <w:color w:val="auto"/>
          <w:kern w:val="0"/>
          <w:sz w:val="31"/>
          <w:szCs w:val="31"/>
          <w:lang w:val="en-US" w:eastAsia="zh-CN"/>
        </w:rPr>
        <w:t>的</w:t>
      </w:r>
      <w:r>
        <w:rPr>
          <w:rFonts w:ascii="仿宋_GB2312" w:hAnsi="宋体" w:eastAsia="仿宋_GB2312" w:cs="仿宋_GB2312"/>
          <w:color w:val="auto"/>
          <w:kern w:val="0"/>
          <w:sz w:val="31"/>
          <w:szCs w:val="31"/>
          <w:lang w:val="en-US" w:eastAsia="zh-CN"/>
        </w:rPr>
        <w:t>国家食品安全示范城市</w:t>
      </w:r>
      <w:r>
        <w:rPr>
          <w:rFonts w:hint="eastAsia" w:ascii="仿宋_GB2312" w:hAnsi="宋体" w:eastAsia="仿宋_GB2312" w:cs="仿宋_GB2312"/>
          <w:color w:val="auto"/>
          <w:kern w:val="0"/>
          <w:sz w:val="31"/>
          <w:szCs w:val="31"/>
          <w:lang w:val="en-US" w:eastAsia="zh-CN"/>
        </w:rPr>
        <w:t>复审迎查任务。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落实四个最严要求，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每季度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开展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风险会商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组织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应急演练，抽检各环节食品553批次，开展餐饮示范街--康盛街创建，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学校食堂创建成为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市级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标准食堂。</w:t>
      </w:r>
    </w:p>
    <w:p w14:paraId="780C8AD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绩效指标为4个，评价等级为优。</w:t>
      </w:r>
    </w:p>
    <w:p w14:paraId="43355A3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（</w:t>
      </w:r>
      <w:r>
        <w:rPr>
          <w:rFonts w:ascii="仿宋" w:hAnsi="仿宋" w:eastAsia="仿宋" w:cs="仿宋"/>
          <w:color w:val="auto"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）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信息化建设经费</w:t>
      </w:r>
    </w:p>
    <w:p w14:paraId="3E0564B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1.资金支出进度</w:t>
      </w:r>
    </w:p>
    <w:p w14:paraId="5C80FCA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该项目预算为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调整预算数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3.9275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万元，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3.9275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22B50C7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24A72AE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紧紧围绕疫情期间重要商品价格监管、涉企收费专项治理、民生价费秩序持续稳定等工作重点，不断提高价格监管效能，持续推进降低企业成本。加大校外培训、食品、药品、新闻媒体发布等重点环节监督检查力度，规范广告市场。</w:t>
      </w:r>
    </w:p>
    <w:p w14:paraId="4E6C566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绩效指标为4个，评价等级为优。</w:t>
      </w:r>
    </w:p>
    <w:p w14:paraId="364EF09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（</w:t>
      </w:r>
      <w:r>
        <w:rPr>
          <w:rFonts w:ascii="仿宋" w:hAnsi="仿宋" w:eastAsia="仿宋" w:cs="仿宋"/>
          <w:color w:val="auto"/>
          <w:sz w:val="32"/>
          <w:szCs w:val="32"/>
          <w:lang w:eastAsia="zh-CN"/>
        </w:rPr>
        <w:t>六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）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药品事务经费</w:t>
      </w:r>
    </w:p>
    <w:p w14:paraId="68B03DA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1.资金支出进度</w:t>
      </w:r>
    </w:p>
    <w:p w14:paraId="1E1596F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该项目预算为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ascii="仿宋" w:hAnsi="仿宋" w:eastAsia="仿宋" w:cs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59D840D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39FAFD8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完成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抽检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药品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化妆品34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批次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全区28家药品经营企业全部纳入药品零售企业追溯系统。</w:t>
      </w:r>
    </w:p>
    <w:p w14:paraId="4974FD7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绩效指标为4个，评价等级为优。</w:t>
      </w:r>
    </w:p>
    <w:p w14:paraId="3E5905D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（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七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）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提前下达2024年市场监管专项补助经费</w:t>
      </w:r>
    </w:p>
    <w:p w14:paraId="47B60EC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1.资金支出进度</w:t>
      </w:r>
    </w:p>
    <w:p w14:paraId="56D40BB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该项目预算为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71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41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7695EDD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444B0FC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加大市场监管力度，规范市场经济秩序。一是积极查处不正当竞争违法行为，开展打击传销和“无传销社区”创建工作，推进公平竞争审查工作。二是积极完善投诉受理工作流程处置流程，今年以来共受理12315平台及下线来访投诉共计受理131件，已办结129件，办结率98%，有效维护了消费者合法权益。三是紧紧围绕疫情期间重要商品价格监管、涉企收费专项治理、民生价费秩序持续稳定等工作重点，不断提高价格监管效能，持续推进降低企业成本。</w:t>
      </w:r>
    </w:p>
    <w:p w14:paraId="549F9D6A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绩效指标为4个，评价等级为优。</w:t>
      </w:r>
    </w:p>
    <w:p w14:paraId="0661C3FD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AD118A3">
      <w:pPr>
        <w:widowControl w:val="0"/>
        <w:wordWrap/>
        <w:spacing w:line="560" w:lineRule="exact"/>
        <w:ind w:left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综合绩效评价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分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98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分为优秀。</w:t>
      </w:r>
    </w:p>
    <w:p w14:paraId="12256D0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620CAE76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7A3F165B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绩效评价在目标设定上过于简单，对于绩效考核来讲，目标就是方向，如果在绩效考核目标设定上出现问题、或者是设计不合理势必要影响到绩效考核的全局。当前绩效考核在目标设定上不能实现多元化的目标，考核结果仅仅是停留在作为薪金或晋升的依据，还不能成为考量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职工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发展的标杆。绩效评价在指标设定上存在偏离的现象。在当前绩效考核指标设定上，德能勤绩这种传统的固化思维模式依旧存在，不能紧紧围绕工作重点、偏离实际的现象依旧凸显。</w:t>
      </w:r>
    </w:p>
    <w:p w14:paraId="16DD1C4F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5B98D68D"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针对绩效指标设定中存在的问题，从实际出发，在202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年项目绩效目标填报中增强指标的可评价性和可量化性，合理如实的反映资金使用的绩效成果，审核</w:t>
      </w:r>
      <w:r>
        <w:rPr>
          <w:rFonts w:ascii="仿宋" w:hAnsi="仿宋" w:eastAsia="仿宋" w:cs="仿宋"/>
          <w:sz w:val="32"/>
          <w:szCs w:val="32"/>
        </w:rPr>
        <w:t>实现绩效目标所需资金的合理性以及填报的规范性、完整性</w:t>
      </w:r>
      <w:r>
        <w:rPr>
          <w:rFonts w:hint="eastAsia" w:ascii="仿宋" w:hAnsi="仿宋" w:eastAsia="仿宋" w:cs="仿宋"/>
          <w:sz w:val="32"/>
          <w:szCs w:val="32"/>
        </w:rPr>
        <w:t>，提高财政支出产生的社会效益和经济效益，重点考虑项目的外界因素对年度任务的影响。</w:t>
      </w:r>
    </w:p>
    <w:p w14:paraId="09BE76B6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在以后的工作中，</w:t>
      </w:r>
      <w:r>
        <w:rPr>
          <w:rFonts w:ascii="仿宋" w:hAnsi="仿宋" w:eastAsia="仿宋" w:cs="仿宋"/>
          <w:sz w:val="32"/>
          <w:szCs w:val="32"/>
        </w:rPr>
        <w:t>要根据年度工作计划制定具体、可衡量、可实现的绩效目标，明确支出的必要性、可行性和有效性，并围绕绩效目标编制清晰、量化、便于考核的绩效指标。</w:t>
      </w:r>
      <w:r>
        <w:rPr>
          <w:rFonts w:hint="eastAsia" w:ascii="仿宋" w:hAnsi="仿宋" w:eastAsia="仿宋" w:cs="仿宋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提高财政资金使用效益，在更高层次上实现财政资源配置的公平性和合理性。</w:t>
      </w:r>
    </w:p>
    <w:p w14:paraId="7474EA7C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431ADEED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hint="eastAsia" w:ascii="宋体" w:hAnsi="宋体" w:eastAsia="宋体" w:cs="宋体"/>
          <w:sz w:val="44"/>
          <w:szCs w:val="44"/>
          <w:lang w:eastAsia="zh-CN"/>
        </w:rPr>
      </w:pPr>
    </w:p>
    <w:p w14:paraId="7156A7BC"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hint="eastAsia" w:ascii="宋体" w:hAnsi="宋体" w:eastAsia="宋体" w:cs="宋体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评价工作组人员名单</w:t>
      </w:r>
    </w:p>
    <w:tbl>
      <w:tblPr>
        <w:tblStyle w:val="11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9"/>
        <w:gridCol w:w="1172"/>
        <w:gridCol w:w="2145"/>
        <w:gridCol w:w="2497"/>
        <w:gridCol w:w="2098"/>
      </w:tblGrid>
      <w:tr w14:paraId="20919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</w:tcPr>
          <w:p w14:paraId="1188B06B">
            <w:pPr>
              <w:pStyle w:val="8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序</w:t>
            </w:r>
            <w:r>
              <w:rPr>
                <w:rFonts w:hint="eastAsia"/>
                <w:vertAlign w:val="baseline"/>
                <w:lang w:eastAsia="zh-CN"/>
              </w:rPr>
              <w:t>号</w:t>
            </w:r>
          </w:p>
        </w:tc>
        <w:tc>
          <w:tcPr>
            <w:tcW w:w="1172" w:type="dxa"/>
          </w:tcPr>
          <w:p w14:paraId="764596E8">
            <w:pPr>
              <w:pStyle w:val="8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2145" w:type="dxa"/>
          </w:tcPr>
          <w:p w14:paraId="1EBEB0E8">
            <w:pPr>
              <w:pStyle w:val="8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/>
                <w:vertAlign w:val="baseline"/>
                <w:lang w:eastAsia="zh-CN"/>
              </w:rPr>
              <w:t>工作单位</w:t>
            </w:r>
          </w:p>
        </w:tc>
        <w:tc>
          <w:tcPr>
            <w:tcW w:w="2497" w:type="dxa"/>
          </w:tcPr>
          <w:p w14:paraId="022FC55B">
            <w:pPr>
              <w:pStyle w:val="8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eastAsia="zh-CN"/>
              </w:rPr>
              <w:t>职务</w:t>
            </w:r>
          </w:p>
        </w:tc>
        <w:tc>
          <w:tcPr>
            <w:tcW w:w="2098" w:type="dxa"/>
          </w:tcPr>
          <w:p w14:paraId="29D2F721">
            <w:pPr>
              <w:pStyle w:val="8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签名</w:t>
            </w:r>
          </w:p>
        </w:tc>
      </w:tr>
      <w:tr w14:paraId="17695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4525A35">
            <w:pPr>
              <w:pStyle w:val="8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1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B293786">
            <w:pPr>
              <w:pStyle w:val="8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李海生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742BDF3">
            <w:pPr>
              <w:pStyle w:val="8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区市场监管局</w:t>
            </w:r>
          </w:p>
        </w:tc>
        <w:tc>
          <w:tcPr>
            <w:tcW w:w="249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0FBDCED">
            <w:pPr>
              <w:pStyle w:val="8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局长</w:t>
            </w:r>
          </w:p>
        </w:tc>
        <w:tc>
          <w:tcPr>
            <w:tcW w:w="209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CD37BA1">
            <w:pPr>
              <w:pStyle w:val="8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1F2A68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4DCBF8D">
            <w:pPr>
              <w:pStyle w:val="8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2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29BAAE7E">
            <w:pPr>
              <w:pStyle w:val="8"/>
              <w:ind w:left="0" w:firstLine="0" w:firstLineChars="0"/>
              <w:jc w:val="both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闫超维</w:t>
            </w:r>
            <w:bookmarkStart w:id="0" w:name="_GoBack"/>
            <w:bookmarkEnd w:id="0"/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7975A2D">
            <w:pPr>
              <w:pStyle w:val="8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区市场监管局</w:t>
            </w:r>
          </w:p>
        </w:tc>
        <w:tc>
          <w:tcPr>
            <w:tcW w:w="249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6BC7EACB">
            <w:pPr>
              <w:pStyle w:val="8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副局长</w:t>
            </w:r>
          </w:p>
        </w:tc>
        <w:tc>
          <w:tcPr>
            <w:tcW w:w="209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5049864">
            <w:pPr>
              <w:pStyle w:val="8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45E21F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C01F207">
            <w:pPr>
              <w:pStyle w:val="8"/>
              <w:ind w:left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3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082DE90F">
            <w:pPr>
              <w:pStyle w:val="8"/>
              <w:ind w:left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vertAlign w:val="baseline"/>
                <w:lang w:eastAsia="zh-CN"/>
              </w:rPr>
              <w:t>姚子乾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F95717A">
            <w:pPr>
              <w:pStyle w:val="8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区市场监管局</w:t>
            </w:r>
          </w:p>
        </w:tc>
        <w:tc>
          <w:tcPr>
            <w:tcW w:w="249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180CE9CD">
            <w:pPr>
              <w:pStyle w:val="8"/>
              <w:ind w:left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办公室负责人</w:t>
            </w:r>
          </w:p>
        </w:tc>
        <w:tc>
          <w:tcPr>
            <w:tcW w:w="209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 w14:paraId="53F88FE9">
            <w:pPr>
              <w:pStyle w:val="8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</w:tbl>
    <w:p w14:paraId="44C3E1C2">
      <w:pPr>
        <w:pStyle w:val="8"/>
        <w:rPr>
          <w:rFonts w:hint="eastAsia"/>
        </w:rPr>
      </w:pPr>
    </w:p>
    <w:p w14:paraId="61B085B2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decorative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roman"/>
    <w:pitch w:val="default"/>
    <w:sig w:usb0="000000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A91099">
    <w:pPr>
      <w:pStyle w:val="4"/>
    </w:pPr>
    <w: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550" cy="16256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9492" cy="162820"/>
                      </a:xfrm>
                      <a:prstGeom prst="rect">
                        <a:avLst/>
                      </a:prstGeom>
                      <a:noFill/>
                      <a:ln w="9525" cap="flat" cmpd="sng">
                        <a:noFill/>
                        <a:prstDash val="solid"/>
                        <a:miter/>
                      </a:ln>
                    </wps:spPr>
                    <wps:txbx>
                      <w:txbxContent>
                        <w:p w14:paraId="4A6DC8B2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8pt;width:16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AAAAAZHJzL1BLAQIUABQA&#10;AAAIAIdO4kC1qUiZ0QAAAAMBAAAPAAAAAAAAAAEAIAAAACIAAABkcnMvZG93bnJldi54bWxQSwEC&#10;FAAUAAAACACHTuJAh+iDI/sBAAD4AwAADgAAAAAAAAABACAAAAAgAQAAZHJzL2Uyb0RvYy54bWxQ&#10;SwUGAAAAAAYABgBZAQAAjQUAAAAA&#10;">
              <v:fill on="f" focussize="0,0"/>
              <v:stroke on="f" joinstyle="miter"/>
              <v:imagedata o:title=""/>
              <o:lock v:ext="edit" aspectratio="f"/>
              <v:textbox inset="0mm,0mm,0mm,0mm" style="mso-fit-shape-to-text:t;">
                <w:txbxContent>
                  <w:p w14:paraId="4A6DC8B2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0" w:firstLine="0"/>
      </w:pPr>
      <w:rPr>
        <w:rFonts w:ascii="楷体" w:hAnsi="楷体" w:eastAsia="楷体"/>
      </w:rPr>
    </w:lvl>
  </w:abstractNum>
  <w:abstractNum w:abstractNumId="2">
    <w:nsid w:val="6669A7B8"/>
    <w:multiLevelType w:val="singleLevel"/>
    <w:tmpl w:val="6669A7B8"/>
    <w:lvl w:ilvl="0" w:tentative="0">
      <w:start w:val="2"/>
      <w:numFmt w:val="chineseCounting"/>
      <w:suff w:val="nothing"/>
      <w:lvlText w:val="（%1）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0000000"/>
    <w:rsid w:val="0B6B0D98"/>
    <w:rsid w:val="391617C8"/>
    <w:rsid w:val="7BF44F7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5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6">
    <w:name w:val="heading 2"/>
    <w:basedOn w:val="1"/>
    <w:next w:val="1"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7">
    <w:name w:val="heading 3"/>
    <w:basedOn w:val="1"/>
    <w:next w:val="1"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2">
    <w:name w:val="Default Paragraph Font"/>
    <w:uiPriority w:val="0"/>
  </w:style>
  <w:style w:type="table" w:default="1" w:styleId="11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uiPriority w:val="0"/>
    <w:pPr>
      <w:ind w:firstLine="200" w:firstLineChars="200"/>
    </w:pPr>
  </w:style>
  <w:style w:type="paragraph" w:styleId="3">
    <w:name w:val="Body Text Indent"/>
    <w:basedOn w:val="1"/>
    <w:next w:val="1"/>
    <w:uiPriority w:val="0"/>
    <w:pPr>
      <w:spacing w:after="120"/>
      <w:ind w:left="200" w:leftChars="20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Normal Indent"/>
    <w:basedOn w:val="1"/>
    <w:next w:val="9"/>
    <w:uiPriority w:val="0"/>
    <w:pPr>
      <w:ind w:firstLine="200" w:firstLineChars="200"/>
    </w:pPr>
    <w:rPr>
      <w:rFonts w:eastAsia="仿宋_GB2312"/>
      <w:sz w:val="30"/>
    </w:rPr>
  </w:style>
  <w:style w:type="paragraph" w:styleId="9">
    <w:name w:val="Subtitle"/>
    <w:basedOn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10">
    <w:name w:val="header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CD4C7BB-A523-4D9D-894D-9DF76CD21AC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13</Pages>
  <Words>6821</Words>
  <Characters>7156</Characters>
  <Lines>0</Lines>
  <Paragraphs>29</Paragraphs>
  <TotalTime>3</TotalTime>
  <ScaleCrop>false</ScaleCrop>
  <LinksUpToDate>false</LinksUpToDate>
  <CharactersWithSpaces>7196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媛媛</cp:lastModifiedBy>
  <cp:lastPrinted>2024-03-06T07:40:00Z</cp:lastPrinted>
  <dcterms:modified xsi:type="dcterms:W3CDTF">2025-11-07T05:54:15Z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eyJoZGlkIjoiODEyMjYxMjMwYTdkYzc0MjQ4NTE5OTdmOGViZGUxZjgiLCJ1c2VySWQiOiI0OTgzNjE5MzcifQ==</vt:lpwstr>
  </property>
</Properties>
</file>