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ascii="宋体" w:cs="宋体" w:hAnsi="宋体" w:hint="eastAsia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ascii="宋体" w:cs="宋体" w:hAnsi="宋体" w:hint="eastAsia"/>
          <w:b/>
          <w:bCs/>
          <w:sz w:val="44"/>
          <w:szCs w:val="44"/>
          <w:lang w:eastAsia="zh-CN"/>
        </w:rPr>
      </w:pPr>
      <w:r>
        <w:rPr>
          <w:rFonts w:ascii="宋体" w:cs="宋体" w:hAnsi="宋体" w:hint="eastAsia"/>
          <w:b/>
          <w:bCs/>
          <w:sz w:val="44"/>
          <w:szCs w:val="44"/>
          <w:lang w:eastAsia="zh-CN"/>
        </w:rPr>
        <w:t>矿区</w:t>
      </w:r>
      <w:r>
        <w:rPr>
          <w:rFonts w:ascii="宋体" w:cs="宋体" w:hAnsi="宋体"/>
          <w:b/>
          <w:bCs/>
          <w:sz w:val="44"/>
          <w:szCs w:val="44"/>
          <w:lang w:eastAsia="zh-CN"/>
        </w:rPr>
        <w:t>数据和政务服务</w:t>
      </w:r>
      <w:r>
        <w:rPr>
          <w:rFonts w:ascii="宋体" w:cs="宋体" w:hAnsi="宋体" w:hint="eastAsia"/>
          <w:b/>
          <w:bCs/>
          <w:sz w:val="44"/>
          <w:szCs w:val="44"/>
          <w:lang w:eastAsia="zh-CN"/>
        </w:rPr>
        <w:t>局部门</w:t>
      </w:r>
    </w:p>
    <w:p>
      <w:pPr>
        <w:widowControl w:val="0"/>
        <w:wordWrap/>
        <w:spacing w:line="560" w:lineRule="exact"/>
        <w:ind w:left="0" w:right="0"/>
        <w:jc w:val="center"/>
        <w:textAlignment w:val="auto"/>
        <w:outlineLvl w:val="9"/>
        <w:rPr>
          <w:rFonts w:ascii="宋体" w:cs="宋体" w:hAnsi="宋体" w:hint="eastAsia"/>
          <w:b/>
          <w:bCs/>
          <w:sz w:val="44"/>
          <w:szCs w:val="44"/>
        </w:rPr>
      </w:pPr>
      <w:r>
        <w:rPr>
          <w:rFonts w:ascii="宋体" w:cs="宋体" w:hAnsi="宋体" w:hint="eastAsia"/>
          <w:b/>
          <w:bCs/>
          <w:sz w:val="44"/>
          <w:szCs w:val="44"/>
          <w:lang w:val="en-US" w:eastAsia="zh-CN"/>
        </w:rPr>
        <w:t>202</w:t>
      </w:r>
      <w:r>
        <w:rPr>
          <w:rFonts w:ascii="宋体" w:cs="宋体" w:hAnsi="宋体"/>
          <w:b/>
          <w:bCs/>
          <w:sz w:val="44"/>
          <w:szCs w:val="44"/>
          <w:lang w:val="en-US" w:eastAsia="zh-CN"/>
        </w:rPr>
        <w:t>4</w:t>
      </w:r>
      <w:r>
        <w:rPr>
          <w:rFonts w:ascii="宋体" w:cs="宋体" w:hAnsi="宋体" w:hint="eastAsia"/>
          <w:b/>
          <w:bCs/>
          <w:sz w:val="44"/>
          <w:szCs w:val="44"/>
          <w:lang w:val="en-US" w:eastAsia="zh-CN"/>
        </w:rPr>
        <w:t>年度整体支出绩效</w:t>
      </w:r>
      <w:r>
        <w:rPr>
          <w:rFonts w:ascii="宋体" w:cs="宋体" w:hAnsi="宋体" w:hint="eastAsia"/>
          <w:b/>
          <w:bCs/>
          <w:sz w:val="44"/>
          <w:szCs w:val="44"/>
        </w:rPr>
        <w:t>自评报告</w:t>
      </w:r>
    </w:p>
    <w:p>
      <w:pPr>
        <w:widowControl w:val="0"/>
        <w:wordWrap/>
        <w:adjustRightInd w:val="0"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hAnsi="仿宋" w:hint="eastAsia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hAnsi="仿宋" w:hint="eastAsia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</w:t>
      </w:r>
      <w:r>
        <w:rPr>
          <w:rFonts w:ascii="仿宋" w:eastAsia="仿宋" w:hAnsi="仿宋"/>
          <w:sz w:val="32"/>
          <w:szCs w:val="32"/>
        </w:rPr>
        <w:t>区委区政府</w:t>
      </w:r>
      <w:r>
        <w:rPr>
          <w:rFonts w:ascii="仿宋" w:eastAsia="仿宋" w:hAnsi="仿宋" w:hint="eastAsia"/>
          <w:sz w:val="32"/>
          <w:szCs w:val="32"/>
        </w:rPr>
        <w:t>《关于全面落实预算绩效管理的实施意见》（</w:t>
      </w:r>
      <w:r>
        <w:rPr>
          <w:rFonts w:ascii="仿宋" w:eastAsia="仿宋" w:hAnsi="仿宋"/>
          <w:sz w:val="32"/>
          <w:szCs w:val="32"/>
        </w:rPr>
        <w:t>矿</w:t>
      </w:r>
      <w:r>
        <w:rPr>
          <w:rFonts w:ascii="仿宋" w:eastAsia="仿宋" w:hAnsi="仿宋" w:hint="eastAsia"/>
          <w:sz w:val="32"/>
          <w:szCs w:val="32"/>
        </w:rPr>
        <w:t>发﹝2019﹞</w:t>
      </w:r>
      <w:r>
        <w:rPr>
          <w:rFonts w:ascii="仿宋" w:eastAsia="仿宋" w:hAnsi="仿宋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号）文件精神，遵循“科学性、规范性、客观性和公正性”的原则，对</w:t>
      </w:r>
      <w:r>
        <w:rPr>
          <w:rFonts w:ascii="仿宋" w:eastAsia="仿宋" w:hAnsi="仿宋"/>
          <w:sz w:val="32"/>
          <w:szCs w:val="32"/>
        </w:rPr>
        <w:t>矿区数据和政务服务局</w:t>
      </w:r>
      <w:r>
        <w:rPr>
          <w:rFonts w:ascii="仿宋" w:eastAsia="仿宋" w:hAnsi="仿宋" w:hint="eastAsia"/>
          <w:sz w:val="32"/>
          <w:szCs w:val="32"/>
        </w:rPr>
        <w:t>部门202</w:t>
      </w:r>
      <w:r>
        <w:rPr>
          <w:rFonts w:ascii="仿宋" w:eastAsia="仿宋" w:hAnsi="仿宋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/>
        <w:textAlignment w:val="auto"/>
        <w:outlineLvl w:val="9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  <w:r>
        <w:rPr>
          <w:rFonts w:ascii="黑体" w:eastAsia="黑体" w:hAnsi="黑体" w:hint="eastAsia"/>
          <w:sz w:val="32"/>
          <w:szCs w:val="32"/>
        </w:rPr>
        <w:t>一、</w:t>
      </w:r>
      <w:r>
        <w:rPr>
          <w:rFonts w:ascii="黑体" w:eastAsia="黑体" w:hAnsi="黑体" w:hint="eastAsia"/>
          <w:sz w:val="32"/>
          <w:szCs w:val="32"/>
          <w:lang w:eastAsia="zh-CN"/>
        </w:rPr>
        <w:t>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楷体_GB2312" w:hAnsi="仿宋" w:hint="eastAsia"/>
          <w:b/>
          <w:bCs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>（一）</w:t>
      </w:r>
      <w:r>
        <w:rPr>
          <w:rFonts w:ascii="仿宋" w:eastAsia="仿宋" w:cs="楷体_GB2312" w:hAnsi="仿宋" w:hint="eastAsia"/>
          <w:b/>
          <w:bCs/>
          <w:sz w:val="32"/>
          <w:szCs w:val="32"/>
          <w:lang w:eastAsia="zh-CN"/>
        </w:rPr>
        <w:t>部门</w:t>
      </w:r>
      <w:r>
        <w:rPr>
          <w:rFonts w:ascii="仿宋" w:eastAsia="仿宋" w:cs="楷体_GB2312" w:hAnsi="仿宋" w:hint="eastAsia"/>
          <w:b/>
          <w:bCs/>
          <w:sz w:val="32"/>
          <w:szCs w:val="32"/>
        </w:rPr>
        <w:t>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楷体_GB2312" w:hAnsi="仿宋" w:hint="eastAsia"/>
          <w:b/>
          <w:bCs/>
          <w:sz w:val="32"/>
          <w:szCs w:val="32"/>
          <w:lang w:eastAsia="zh-CN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  <w:lang w:val="en-US" w:eastAsia="zh-CN"/>
        </w:rPr>
        <w:t>1、</w:t>
      </w:r>
      <w:r>
        <w:rPr>
          <w:rFonts w:ascii="仿宋" w:eastAsia="仿宋" w:cs="楷体_GB2312" w:hAnsi="仿宋" w:hint="eastAsia"/>
          <w:b/>
          <w:bCs/>
          <w:sz w:val="32"/>
          <w:szCs w:val="32"/>
          <w:lang w:eastAsia="zh-CN"/>
        </w:rPr>
        <w:t>主要职能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</w:pP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（</w:t>
      </w:r>
      <w:r>
        <w:rPr>
          <w:rFonts w:ascii="仿宋_GB2312" w:eastAsia="仿宋_GB2312" w:cs="仿宋_GB2312"/>
          <w:color w:val="auto"/>
          <w:sz w:val="32"/>
          <w:szCs w:val="32"/>
          <w:lang w:eastAsia="zh-CN" w:bidi="ar-SA"/>
        </w:rPr>
        <w:t>1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）贯彻执行国家、省、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市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有关电子政务、智慧城市、政务服务和数据资源管理的方针政策和法律法规，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统筹推进数字矿区、数字经济、数字社会、数字政府规划和建设，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拟订全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区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数据资源管理发展规划、年度计划、政策措施和评价体系并组织实施。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</w:pP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（</w:t>
      </w:r>
      <w:r>
        <w:rPr>
          <w:rFonts w:ascii="仿宋_GB2312" w:eastAsia="仿宋_GB2312" w:cs="仿宋_GB2312"/>
          <w:color w:val="auto"/>
          <w:sz w:val="32"/>
          <w:szCs w:val="32"/>
          <w:lang w:eastAsia="zh-CN" w:bidi="ar-SA"/>
        </w:rPr>
        <w:t>2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）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贯彻落实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国家和地方数据技术标准；研究制定我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区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数据资源采集、存储、使用、开放、共享等标准规范并监督实施。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</w:pP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（</w:t>
      </w:r>
      <w:r>
        <w:rPr>
          <w:rFonts w:ascii="仿宋_GB2312" w:eastAsia="仿宋_GB2312" w:cs="仿宋_GB2312"/>
          <w:color w:val="auto"/>
          <w:sz w:val="32"/>
          <w:szCs w:val="32"/>
          <w:lang w:eastAsia="zh-CN" w:bidi="ar-SA"/>
        </w:rPr>
        <w:t>3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）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负责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“互联网</w:t>
      </w:r>
      <w:r>
        <w:rPr>
          <w:rFonts w:ascii="宋体" w:eastAsia="宋体" w:cs="宋体" w:hint="eastAsia"/>
          <w:color w:val="auto"/>
          <w:sz w:val="32"/>
          <w:szCs w:val="32"/>
          <w:lang w:val="en-US" w:eastAsia="zh-CN" w:bidi="ar-SA"/>
        </w:rPr>
        <w:t>＋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政务服务”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工作的规划及有关项目建设工作。负责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在线政务服务平台建设。推进在线政务服务平台规范化、标准化、集约化建设。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</w:pP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（</w:t>
      </w:r>
      <w:r>
        <w:rPr>
          <w:rFonts w:ascii="仿宋_GB2312" w:eastAsia="仿宋_GB2312" w:cs="仿宋_GB2312"/>
          <w:color w:val="auto"/>
          <w:sz w:val="32"/>
          <w:szCs w:val="32"/>
          <w:lang w:eastAsia="zh-CN" w:bidi="ar-SA"/>
        </w:rPr>
        <w:t>4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）拟订全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区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政务数据和公共数据资源的目录制定、归集管理、整理利用、共享开放管理办法并组织实施，推动数据资源在政府管理和社会治理领域的应用。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</w:pP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（</w:t>
      </w:r>
      <w:r>
        <w:rPr>
          <w:rFonts w:ascii="仿宋_GB2312" w:eastAsia="仿宋_GB2312" w:cs="仿宋_GB2312"/>
          <w:color w:val="auto"/>
          <w:sz w:val="32"/>
          <w:szCs w:val="32"/>
          <w:lang w:eastAsia="zh-CN" w:bidi="ar-SA"/>
        </w:rPr>
        <w:t>5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）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负责区电子政务组织推动工作，负责区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级智慧城市项目建设和数据资源基础设施建设管理，提出各部门统筹安排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区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级信息化项目及资金的使用建议。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</w:pP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（</w:t>
      </w:r>
      <w:r>
        <w:rPr>
          <w:rFonts w:ascii="仿宋_GB2312" w:eastAsia="仿宋_GB2312" w:cs="仿宋_GB2312"/>
          <w:color w:val="auto"/>
          <w:sz w:val="32"/>
          <w:szCs w:val="32"/>
          <w:lang w:val="en-US" w:eastAsia="zh-CN" w:bidi="ar-SA"/>
        </w:rPr>
        <w:t>6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）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负责全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区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数据资源、政务信息化领域的对外交流合作；会同有关部门做好全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区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数据资源、政务信息化人才培养等工作。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</w:pP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（</w:t>
      </w:r>
      <w:r>
        <w:rPr>
          <w:rFonts w:ascii="仿宋_GB2312" w:eastAsia="仿宋_GB2312" w:cs="仿宋_GB2312"/>
          <w:color w:val="auto"/>
          <w:sz w:val="32"/>
          <w:szCs w:val="32"/>
          <w:lang w:eastAsia="zh-CN" w:bidi="ar-SA"/>
        </w:rPr>
        <w:t>7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）负责指导全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区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经济社会各领域的数据资源开发利用工作，促进全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区</w:t>
      </w:r>
      <w:r>
        <w:rPr>
          <w:rFonts w:ascii="仿宋_GB2312" w:eastAsia="仿宋_GB2312" w:cs="仿宋_GB2312" w:hint="eastAsia"/>
          <w:color w:val="auto"/>
          <w:sz w:val="32"/>
          <w:szCs w:val="32"/>
          <w:lang w:eastAsia="zh-CN" w:bidi="ar-SA"/>
        </w:rPr>
        <w:t>数据资源产业发展；负责数据资源相关技术研发、行业数据分析成果转化等工作。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</w:pP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（</w:t>
      </w:r>
      <w:r>
        <w:rPr>
          <w:rFonts w:ascii="仿宋_GB2312" w:eastAsia="仿宋_GB2312" w:cs="仿宋_GB2312"/>
          <w:color w:val="auto"/>
          <w:sz w:val="32"/>
          <w:szCs w:val="32"/>
          <w:lang w:val="en-US" w:eastAsia="zh-CN" w:bidi="ar-SA"/>
        </w:rPr>
        <w:t>8</w:t>
      </w:r>
      <w:r>
        <w:rPr>
          <w:rFonts w:ascii="仿宋_GB2312" w:eastAsia="仿宋_GB2312" w:cs="仿宋_GB2312" w:hint="eastAsia"/>
          <w:color w:val="auto"/>
          <w:sz w:val="32"/>
          <w:szCs w:val="32"/>
          <w:lang w:val="en-US" w:eastAsia="zh-CN" w:bidi="ar-SA"/>
        </w:rPr>
        <w:t>）负责全区数据资源安全保障体系建设，指导各级各部门政务数据资源和公共数据资源的安全保障工作。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/>
          <w:sz w:val="32"/>
          <w:szCs w:val="32"/>
        </w:rPr>
        <w:t>9</w:t>
      </w:r>
      <w:r>
        <w:rPr>
          <w:rFonts w:ascii="仿宋_GB2312" w:eastAsia="仿宋_GB2312" w:hint="eastAsia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sz w:val="32"/>
          <w:szCs w:val="32"/>
        </w:rPr>
        <w:t>贯彻落实党中央、国务院和省委、省政府，市委、市政府关于推进政府职能转变和“放管服”改革、行政审批制度改革、工程建设项目审批制度改革、政务服务管理、公共资源交易管理、社会信用体系建设有关方针政策和法律法规。承担区政府推进政府职能转变和“放管服”改革协调小组办公室的日常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ascii="仿宋_GB2312" w:eastAsia="仿宋_GB2312" w:hint="eastAsia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sz w:val="32"/>
          <w:szCs w:val="32"/>
        </w:rPr>
        <w:t>负责规范全区行政审批行为，创新和完善相关工作体制机制。推进简政放权，清理和规范各类行政许可等管理事项；承担区行政审批制度改革领导小组办公室日常工作；统筹推动各级政务服务标准化、规范化、便利化，推进政务服务集成化高效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/>
          <w:sz w:val="32"/>
          <w:szCs w:val="32"/>
        </w:rPr>
        <w:t>11</w:t>
      </w:r>
      <w:r>
        <w:rPr>
          <w:rFonts w:ascii="仿宋_GB2312" w:eastAsia="仿宋_GB2312" w:hint="eastAsia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sz w:val="32"/>
          <w:szCs w:val="32"/>
        </w:rPr>
        <w:t>负责公共资源交易监督管理工作。拟订全区公共资源交易管理制度和规则并组织实施，编制公共资源交易目录，建设、管理全省统一的公共资源交易电子服务系统，推进公共资源交易领域信用体系建设；负责监督区本级公共资源交易项目进场交易，并对场内交易活动进行监督，将发现的违法违规问题移送有关部门处理；协调开展区本级公共资源交易活动的联动执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/>
          <w:sz w:val="32"/>
          <w:szCs w:val="32"/>
        </w:rPr>
        <w:t>12</w:t>
      </w:r>
      <w:r>
        <w:rPr>
          <w:rFonts w:ascii="仿宋_GB2312" w:eastAsia="仿宋_GB2312" w:hint="eastAsia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sz w:val="32"/>
          <w:szCs w:val="32"/>
        </w:rPr>
        <w:t>负责投资项目、商事登记、市场服务、文教体卫、社会事务、住建交通、生态环境、安全生产、农林畜水、经贸商务、城市管理等</w:t>
      </w:r>
      <w:r>
        <w:rPr>
          <w:rFonts w:ascii="仿宋_GB2312" w:eastAsia="仿宋_GB2312" w:hint="eastAsia"/>
          <w:color w:val="000000"/>
          <w:sz w:val="32"/>
          <w:szCs w:val="32"/>
        </w:rPr>
        <w:t>方面行政审批事项的办理，</w:t>
      </w:r>
      <w:r>
        <w:rPr>
          <w:rFonts w:ascii="仿宋_GB2312" w:eastAsia="仿宋_GB2312" w:hint="eastAsia"/>
          <w:sz w:val="32"/>
          <w:szCs w:val="32"/>
        </w:rPr>
        <w:t>并承担相应的法律责任。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/>
          <w:sz w:val="32"/>
          <w:szCs w:val="32"/>
        </w:rPr>
        <w:t>13</w:t>
      </w:r>
      <w:r>
        <w:rPr>
          <w:rFonts w:ascii="仿宋_GB2312" w:eastAsia="仿宋_GB2312" w:hint="eastAsia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sz w:val="32"/>
          <w:szCs w:val="32"/>
        </w:rPr>
        <w:t>负责协调派驻部门行政审批事项的办理工作，规范、管理和监督派驻部门行政审批行为。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/>
          <w:sz w:val="32"/>
          <w:szCs w:val="32"/>
        </w:rPr>
        <w:t>14</w:t>
      </w:r>
      <w:r>
        <w:rPr>
          <w:rFonts w:ascii="仿宋_GB2312" w:eastAsia="仿宋_GB2312" w:hint="eastAsia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sz w:val="32"/>
          <w:szCs w:val="32"/>
        </w:rPr>
        <w:t>负责对行政审批、政务服务事项流程进行规范和优化，推进审批服务便民化、标准化建设。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color w:val="000000"/>
          <w:sz w:val="32"/>
          <w:szCs w:val="32"/>
        </w:rPr>
      </w:pP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>（</w:t>
      </w:r>
      <w:r>
        <w:rPr>
          <w:rFonts w:ascii="仿宋_GB2312" w:eastAsia="仿宋_GB2312"/>
          <w:color w:val="000000"/>
          <w:sz w:val="32"/>
          <w:szCs w:val="32"/>
        </w:rPr>
        <w:t>15</w:t>
      </w: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color w:val="000000"/>
          <w:sz w:val="32"/>
          <w:szCs w:val="32"/>
        </w:rPr>
        <w:t>统筹推进政务履职和政务运行数字化转型。统筹推进全区“互联网</w:t>
      </w:r>
      <w:r>
        <w:rPr>
          <w:rFonts w:ascii="宋体" w:eastAsia="宋体" w:cs="宋体" w:hint="eastAsia"/>
          <w:color w:val="000000"/>
          <w:sz w:val="32"/>
          <w:szCs w:val="32"/>
          <w:lang w:bidi="ar-SA"/>
        </w:rPr>
        <w:t>＋</w:t>
      </w:r>
      <w:r>
        <w:rPr>
          <w:rFonts w:ascii="仿宋_GB2312" w:eastAsia="仿宋_GB2312" w:hint="eastAsia"/>
          <w:color w:val="000000"/>
          <w:sz w:val="32"/>
          <w:szCs w:val="32"/>
        </w:rPr>
        <w:t>政务服务”工作，构建全区一体化政务服务平台。推行政务服务事项网上办理，形成管理机构、实体大厅、网上平台“三位一体”的政务服务管理模式；推进全区电子证照库建设；推进全省政务服务平台规范化、标准化、集约化建设和互联互通、数据共享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color w:val="000000"/>
          <w:sz w:val="32"/>
          <w:szCs w:val="32"/>
        </w:rPr>
      </w:pP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>（</w:t>
      </w:r>
      <w:r>
        <w:rPr>
          <w:rFonts w:ascii="仿宋_GB2312" w:eastAsia="仿宋_GB2312"/>
          <w:color w:val="000000"/>
          <w:sz w:val="32"/>
          <w:szCs w:val="32"/>
        </w:rPr>
        <w:t>16</w:t>
      </w: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color w:val="000000"/>
          <w:sz w:val="32"/>
          <w:szCs w:val="32"/>
        </w:rPr>
        <w:t>负责全区社会信用体系建设。拟订社会信用体系发展规划和年度工作要点；推动健全信用法规制度和标准体系；负责信用信息数据库建设，配合有关部门做好数据共享平台和网站建设，推动信用信息的汇聚、交换、共享和应用；组织实施守信联合激励和失信联合惩罚制度建设，建立诚信综合监督体系；组织开展失信问题专项治理；加强城市信用建设，培育和发展信用服务市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>（</w:t>
      </w:r>
      <w:r>
        <w:rPr>
          <w:rFonts w:ascii="仿宋_GB2312" w:eastAsia="仿宋_GB2312"/>
          <w:color w:val="000000"/>
          <w:sz w:val="32"/>
          <w:szCs w:val="32"/>
        </w:rPr>
        <w:t>17</w:t>
      </w:r>
      <w:r>
        <w:rPr>
          <w:rFonts w:ascii="仿宋_GB2312" w:eastAsia="仿宋_GB2312" w:hint="eastAsia"/>
          <w:color w:val="000000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color w:val="000000"/>
          <w:sz w:val="32"/>
          <w:szCs w:val="32"/>
        </w:rPr>
        <w:t>负责</w:t>
      </w:r>
      <w:r>
        <w:rPr>
          <w:rFonts w:ascii="仿宋_GB2312" w:eastAsia="仿宋_GB2312" w:hint="eastAsia"/>
          <w:sz w:val="32"/>
          <w:szCs w:val="32"/>
          <w:lang w:eastAsia="zh-CN"/>
        </w:rPr>
        <w:t>对全区行</w:t>
      </w:r>
      <w:r>
        <w:rPr>
          <w:rFonts w:ascii="仿宋_GB2312" w:eastAsia="仿宋_GB2312" w:hint="eastAsia"/>
          <w:sz w:val="32"/>
          <w:szCs w:val="32"/>
        </w:rPr>
        <w:t>政审批、政务服务行为进行监督检查，对窗口工作人员进行日常管理、教育培训和检查考核。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/>
          <w:sz w:val="32"/>
          <w:szCs w:val="32"/>
        </w:rPr>
        <w:t>18</w:t>
      </w:r>
      <w:r>
        <w:rPr>
          <w:rFonts w:ascii="仿宋_GB2312" w:eastAsia="仿宋_GB2312" w:hint="eastAsia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sz w:val="32"/>
          <w:szCs w:val="32"/>
        </w:rPr>
        <w:t>负责区直部门已划转行政许可事项涉及的现场勘验、审图、联合验收等工作。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/>
          <w:sz w:val="32"/>
          <w:szCs w:val="32"/>
        </w:rPr>
        <w:t>19</w:t>
      </w:r>
      <w:r>
        <w:rPr>
          <w:rFonts w:ascii="仿宋_GB2312" w:eastAsia="仿宋_GB2312" w:hint="eastAsia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sz w:val="32"/>
          <w:szCs w:val="32"/>
        </w:rPr>
        <w:t>负责行政审批信息化工作，区级行政审批信息资料的保管、整理、统计、编目和定期检查工作。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before="0" w:after="0" w:line="600" w:lineRule="exact"/>
        <w:ind w:left="0" w:right="0" w:firstLineChars="200" w:firstLine="640"/>
        <w:jc w:val="both"/>
        <w:textAlignment w:val="auto"/>
        <w:outlineLvl w:val="9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（</w:t>
      </w:r>
      <w:r>
        <w:rPr>
          <w:rFonts w:ascii="仿宋_GB2312" w:eastAsia="仿宋_GB2312"/>
          <w:sz w:val="32"/>
          <w:szCs w:val="32"/>
        </w:rPr>
        <w:t>20</w:t>
      </w:r>
      <w:r>
        <w:rPr>
          <w:rFonts w:ascii="仿宋_GB2312" w:eastAsia="仿宋_GB2312" w:hint="eastAsia"/>
          <w:sz w:val="32"/>
          <w:szCs w:val="32"/>
          <w:lang w:eastAsia="zh-CN"/>
        </w:rPr>
        <w:t>）</w:t>
      </w:r>
      <w:r>
        <w:rPr>
          <w:rFonts w:ascii="仿宋_GB2312" w:eastAsia="仿宋_GB2312" w:hint="eastAsia"/>
          <w:sz w:val="32"/>
          <w:szCs w:val="32"/>
        </w:rPr>
        <w:t>完成区委、区政府交办的其他任务。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/>
        <w:textAlignment w:val="auto"/>
        <w:outlineLvl w:val="9"/>
        <w:rPr>
          <w:rFonts w:ascii="仿宋" w:eastAsia="仿宋" w:cs="楷体_GB2312" w:hAnsi="仿宋" w:hint="eastAsia"/>
          <w:b/>
          <w:bCs/>
          <w:sz w:val="32"/>
          <w:szCs w:val="32"/>
          <w:lang w:val="en-US" w:eastAsia="zh-CN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  <w:lang w:val="en-US" w:eastAsia="zh-CN"/>
        </w:rPr>
        <w:t>2、机构情况</w:t>
      </w:r>
    </w:p>
    <w:tbl>
      <w:tblPr>
        <w:tblpPr w:leftFromText="180" w:rightFromText="180" w:vertAnchor="text" w:horzAnchor="page" w:tblpXSpec="center" w:tblpY="10"/>
        <w:tblOverlap w:val="never"/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8"/>
        <w:gridCol w:w="3426"/>
        <w:gridCol w:w="2404"/>
        <w:gridCol w:w="2622"/>
      </w:tblGrid>
      <w:tr>
        <w:trPr>
          <w:trHeight w:val="873"/>
        </w:trPr>
        <w:tc>
          <w:tcPr>
            <w:tcW w:w="9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ascii="仿宋_GB2312" w:eastAsia="仿宋_GB2312" w:cs="Arial Black" w:hAnsi="Calibri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 Black" w:hAnsi="Calibri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42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ascii="仿宋_GB2312" w:eastAsia="仿宋_GB2312" w:cs="Arial Black" w:hAnsi="Calibri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 Black" w:hAnsi="Calibri" w:hint="eastAsia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4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ascii="仿宋_GB2312" w:eastAsia="仿宋_GB2312" w:cs="Arial Black" w:hAnsi="Calibri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 Black" w:hAnsi="Calibri" w:hint="eastAsia"/>
                <w:b/>
                <w:bCs/>
                <w:kern w:val="0"/>
                <w:sz w:val="28"/>
                <w:szCs w:val="28"/>
              </w:rPr>
              <w:t>单位基本性质</w:t>
            </w:r>
          </w:p>
        </w:tc>
        <w:tc>
          <w:tcPr>
            <w:tcW w:w="262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ascii="仿宋_GB2312" w:eastAsia="仿宋_GB2312" w:cs="Arial Black" w:hAnsi="Calibri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 Black" w:hAnsi="Calibri" w:hint="eastAsia"/>
                <w:b/>
                <w:bCs/>
                <w:kern w:val="0"/>
                <w:sz w:val="28"/>
                <w:szCs w:val="28"/>
              </w:rPr>
              <w:t>经费形式</w:t>
            </w:r>
          </w:p>
        </w:tc>
      </w:tr>
      <w:tr>
        <w:trPr>
          <w:trHeight w:val="641"/>
        </w:trPr>
        <w:tc>
          <w:tcPr>
            <w:tcW w:w="9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ascii="仿宋_GB2312" w:eastAsia="仿宋_GB2312" w:cs="Arial Black" w:hAnsi="Calibri"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 Black" w:hAnsi="Calibri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3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  <w:t>石家庄市井陉矿区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 w:hAnsi="Calibri" w:hint="eastAsia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_GB2312" w:eastAsia="仿宋_GB2312" w:cs="ArialUnicodeMS"/>
                <w:kern w:val="0"/>
                <w:sz w:val="28"/>
                <w:szCs w:val="28"/>
              </w:rPr>
              <w:t>数据和政务服务局</w:t>
            </w: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  <w:lang w:eastAsia="zh-CN"/>
              </w:rPr>
              <w:t>本级</w:t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 w:hAnsi="Calibri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  <w:t>行政单位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 w:hAnsi="Calibri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  <w:t>财政拨款</w:t>
            </w:r>
          </w:p>
        </w:tc>
      </w:tr>
      <w:tr>
        <w:trPr>
          <w:trHeight w:val="641"/>
        </w:trPr>
        <w:tc>
          <w:tcPr>
            <w:tcW w:w="9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ascii="仿宋_GB2312" w:eastAsia="仿宋_GB2312" w:cs="Arial Black" w:hAnsi="Calibri"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 Black" w:hAnsi="Calibri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3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  <w:t>石家庄市井陉矿区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 w:hAnsi="Calibri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  <w:t>行政审批服务中心</w:t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  <w:t>财政补助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 w:hAnsi="Calibri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  <w:t>事业单位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 Black" w:hAnsi="Calibri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 Black" w:hAnsi="Calibri" w:hint="eastAsia"/>
                <w:kern w:val="0"/>
                <w:sz w:val="28"/>
                <w:szCs w:val="28"/>
              </w:rPr>
              <w:t>财政性资金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 w:hAnsi="Calibri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_GB2312" w:eastAsia="仿宋_GB2312" w:cs="Arial Black" w:hAnsi="Calibri" w:hint="eastAsia"/>
                <w:kern w:val="0"/>
                <w:sz w:val="28"/>
                <w:szCs w:val="28"/>
              </w:rPr>
              <w:t>基本保证</w:t>
            </w:r>
          </w:p>
        </w:tc>
      </w:tr>
      <w:tr>
        <w:trPr>
          <w:trHeight w:val="641"/>
        </w:trPr>
        <w:tc>
          <w:tcPr>
            <w:tcW w:w="9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auto"/>
              <w:rPr>
                <w:rFonts w:ascii="仿宋_GB2312" w:eastAsia="仿宋_GB2312" w:cs="Arial Black" w:hAnsi="Calibri"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 Black" w:hAnsi="Calibri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3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  <w:t>石家庄市井陉矿区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  <w:t>公共资源交易中心</w:t>
            </w:r>
          </w:p>
        </w:tc>
        <w:tc>
          <w:tcPr>
            <w:tcW w:w="24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  <w:t>财政补助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_GB2312" w:eastAsia="仿宋_GB2312" w:cs="ArialUnicodeMS" w:hint="eastAsia"/>
                <w:kern w:val="0"/>
                <w:sz w:val="28"/>
                <w:szCs w:val="28"/>
              </w:rPr>
              <w:t>事业单位</w:t>
            </w:r>
          </w:p>
        </w:tc>
        <w:tc>
          <w:tcPr>
            <w:tcW w:w="26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 Black" w:hAnsi="Calibri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cs="Arial Black" w:hAnsi="Calibri" w:hint="eastAsia"/>
                <w:kern w:val="0"/>
                <w:sz w:val="28"/>
                <w:szCs w:val="28"/>
              </w:rPr>
              <w:t>财政性资金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after="0" w:line="560" w:lineRule="exact"/>
              <w:jc w:val="center"/>
              <w:textAlignment w:val="auto"/>
              <w:rPr>
                <w:rFonts w:ascii="仿宋_GB2312" w:eastAsia="仿宋_GB2312" w:cs="ArialUnicodeMS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ascii="仿宋_GB2312" w:eastAsia="仿宋_GB2312" w:cs="Arial Black" w:hAnsi="Calibri" w:hint="eastAsia"/>
                <w:kern w:val="0"/>
                <w:sz w:val="28"/>
                <w:szCs w:val="28"/>
              </w:rPr>
              <w:t>基本保证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/>
        <w:textAlignment w:val="auto"/>
        <w:outlineLvl w:val="9"/>
        <w:rPr>
          <w:rFonts w:ascii="仿宋" w:eastAsia="仿宋" w:cs="楷体_GB2312" w:hAnsi="仿宋" w:hint="eastAsia"/>
          <w:b/>
          <w:bCs/>
          <w:sz w:val="32"/>
          <w:szCs w:val="32"/>
          <w:lang w:val="en-US" w:eastAsia="zh-CN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  <w:lang w:val="en-US" w:eastAsia="zh-CN"/>
        </w:rPr>
        <w:t>3、人员情况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hAnsi="仿宋"/>
          <w:sz w:val="32"/>
          <w:szCs w:val="32"/>
          <w:lang w:val="en-US" w:eastAsia="zh-CN"/>
        </w:rPr>
      </w:pPr>
      <w:r>
        <w:rPr>
          <w:rFonts w:ascii="仿宋" w:eastAsia="仿宋" w:hAnsi="仿宋" w:hint="eastAsia"/>
          <w:sz w:val="32"/>
          <w:szCs w:val="32"/>
          <w:lang w:val="en-US" w:eastAsia="zh-CN"/>
        </w:rPr>
        <w:t>截止202</w:t>
      </w:r>
      <w:r>
        <w:rPr>
          <w:rFonts w:ascii="仿宋" w:eastAsia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年12月31日，我部门核定编制人数</w:t>
      </w:r>
      <w:r>
        <w:rPr>
          <w:rFonts w:ascii="仿宋" w:eastAsia="仿宋" w:hAnsi="仿宋"/>
          <w:sz w:val="32"/>
          <w:szCs w:val="32"/>
          <w:lang w:val="en-US" w:eastAsia="zh-CN"/>
        </w:rPr>
        <w:t>31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人，其中行政编制7人，事业编制</w:t>
      </w:r>
      <w:r>
        <w:rPr>
          <w:rFonts w:ascii="仿宋" w:eastAsia="仿宋" w:hAnsi="仿宋"/>
          <w:sz w:val="32"/>
          <w:szCs w:val="32"/>
          <w:lang w:val="en-US" w:eastAsia="zh-CN"/>
        </w:rPr>
        <w:t>24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人；在职人数</w:t>
      </w:r>
      <w:r>
        <w:rPr>
          <w:rFonts w:ascii="仿宋" w:eastAsia="仿宋" w:hAnsi="仿宋"/>
          <w:sz w:val="32"/>
          <w:szCs w:val="32"/>
          <w:lang w:val="en-US" w:eastAsia="zh-CN"/>
        </w:rPr>
        <w:t>21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人，其中行政编制</w:t>
      </w:r>
      <w:r>
        <w:rPr>
          <w:rFonts w:ascii="仿宋" w:eastAsia="仿宋" w:hAnsi="仿宋"/>
          <w:sz w:val="32"/>
          <w:szCs w:val="32"/>
          <w:lang w:val="en-US" w:eastAsia="zh-CN"/>
        </w:rPr>
        <w:t>6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人、事业编制15人。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/>
        <w:textAlignment w:val="auto"/>
        <w:outlineLvl w:val="9"/>
        <w:rPr>
          <w:rFonts w:ascii="仿宋" w:eastAsia="仿宋" w:hAnsi="仿宋"/>
          <w:sz w:val="32"/>
          <w:szCs w:val="32"/>
          <w:lang w:val="en-US" w:eastAsia="zh-CN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  <w:lang w:val="en-US" w:eastAsia="zh-CN"/>
        </w:rPr>
        <w:t>资产情况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hAnsi="仿宋" w:hint="eastAsia"/>
          <w:sz w:val="32"/>
          <w:szCs w:val="32"/>
          <w:lang w:val="en-US" w:eastAsia="zh-CN"/>
        </w:rPr>
      </w:pPr>
      <w:r>
        <w:rPr>
          <w:rFonts w:ascii="仿宋" w:eastAsia="仿宋" w:hAnsi="仿宋" w:hint="eastAsia"/>
          <w:sz w:val="32"/>
          <w:szCs w:val="32"/>
          <w:lang w:val="en-US" w:eastAsia="zh-CN"/>
        </w:rPr>
        <w:t>202</w:t>
      </w:r>
      <w:r>
        <w:rPr>
          <w:rFonts w:ascii="仿宋" w:eastAsia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年年初资产</w:t>
      </w:r>
      <w:r>
        <w:rPr>
          <w:rFonts w:ascii="仿宋" w:eastAsia="仿宋" w:hAnsi="仿宋"/>
          <w:sz w:val="32"/>
          <w:szCs w:val="32"/>
          <w:lang w:val="en-US" w:eastAsia="zh-CN"/>
        </w:rPr>
        <w:t>315.38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万元，年末资产</w:t>
      </w:r>
      <w:r>
        <w:rPr>
          <w:rFonts w:ascii="仿宋" w:eastAsia="仿宋" w:hAnsi="仿宋"/>
          <w:sz w:val="32"/>
          <w:szCs w:val="32"/>
          <w:lang w:val="en-US" w:eastAsia="zh-CN"/>
        </w:rPr>
        <w:t>315.79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万元。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楷体_GB2312" w:hAnsi="仿宋" w:hint="eastAsia"/>
          <w:b/>
          <w:bCs/>
          <w:sz w:val="32"/>
          <w:szCs w:val="32"/>
          <w:lang w:eastAsia="zh-CN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  <w:lang w:eastAsia="zh-CN"/>
        </w:rPr>
        <w:t>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firstLineChars="200" w:firstLine="640"/>
        <w:textAlignment w:val="auto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</w:rPr>
        <w:t>年部门年初预算收入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503.05</w:t>
      </w:r>
      <w:r>
        <w:rPr>
          <w:rFonts w:ascii="仿宋" w:eastAsia="仿宋" w:cs="仿宋" w:hAnsi="仿宋" w:hint="eastAsia"/>
          <w:sz w:val="32"/>
          <w:szCs w:val="32"/>
        </w:rPr>
        <w:t>万元，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其中财政拨款收入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503.05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万元，占100%；</w:t>
      </w:r>
      <w:r>
        <w:rPr>
          <w:rFonts w:ascii="仿宋" w:eastAsia="仿宋" w:cs="仿宋" w:hAnsi="仿宋" w:hint="eastAsia"/>
          <w:sz w:val="32"/>
          <w:szCs w:val="32"/>
        </w:rPr>
        <w:t>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</w:rPr>
        <w:t>年部门预算支出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503.05</w:t>
      </w:r>
      <w:r>
        <w:rPr>
          <w:rFonts w:ascii="仿宋" w:eastAsia="仿宋" w:cs="仿宋" w:hAnsi="仿宋" w:hint="eastAsia"/>
          <w:sz w:val="32"/>
          <w:szCs w:val="32"/>
        </w:rPr>
        <w:t>万元，其中：基本支出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305.06</w:t>
      </w:r>
      <w:r>
        <w:rPr>
          <w:rFonts w:ascii="仿宋" w:eastAsia="仿宋" w:cs="仿宋" w:hAnsi="仿宋" w:hint="eastAsia"/>
          <w:sz w:val="32"/>
          <w:szCs w:val="32"/>
        </w:rPr>
        <w:t>万元，项目支出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197.99</w:t>
      </w:r>
      <w:r>
        <w:rPr>
          <w:rFonts w:ascii="仿宋" w:eastAsia="仿宋" w:cs="仿宋" w:hAnsi="仿宋" w:hint="eastAsia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firstLineChars="200" w:firstLine="640"/>
        <w:textAlignment w:val="auto"/>
        <w:rPr>
          <w:rFonts w:ascii="仿宋" w:eastAsia="仿宋" w:cs="楷体_GB2312" w:hAnsi="仿宋" w:hint="eastAsia"/>
          <w:b/>
          <w:bCs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</w:rPr>
        <w:t>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</w:rPr>
        <w:t>年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部门决算</w:t>
      </w:r>
      <w:r>
        <w:rPr>
          <w:rFonts w:ascii="仿宋" w:eastAsia="仿宋" w:cs="仿宋" w:hAnsi="仿宋" w:hint="eastAsia"/>
          <w:sz w:val="32"/>
          <w:szCs w:val="32"/>
        </w:rPr>
        <w:t>收入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366.62</w:t>
      </w:r>
      <w:r>
        <w:rPr>
          <w:rFonts w:ascii="仿宋" w:eastAsia="仿宋" w:cs="仿宋" w:hAnsi="仿宋" w:hint="eastAsia"/>
          <w:sz w:val="32"/>
          <w:szCs w:val="32"/>
        </w:rPr>
        <w:t>万元,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其中财政拨款收入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366.62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万元，占总收入100%，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决算</w:t>
      </w:r>
      <w:r>
        <w:rPr>
          <w:rFonts w:ascii="仿宋" w:eastAsia="仿宋" w:cs="仿宋" w:hAnsi="仿宋" w:hint="eastAsia"/>
          <w:sz w:val="32"/>
          <w:szCs w:val="32"/>
        </w:rPr>
        <w:t>支出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366.62</w:t>
      </w:r>
      <w:r>
        <w:rPr>
          <w:rFonts w:ascii="仿宋" w:eastAsia="仿宋" w:cs="仿宋" w:hAnsi="仿宋" w:hint="eastAsia"/>
          <w:sz w:val="32"/>
          <w:szCs w:val="32"/>
        </w:rPr>
        <w:t>万元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，</w:t>
      </w:r>
      <w:r>
        <w:rPr>
          <w:rFonts w:ascii="仿宋" w:eastAsia="仿宋" w:cs="仿宋" w:hAnsi="仿宋" w:hint="eastAsia"/>
          <w:sz w:val="32"/>
          <w:szCs w:val="32"/>
        </w:rPr>
        <w:t>其中：基本支出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299.4</w:t>
      </w:r>
      <w:r>
        <w:rPr>
          <w:rFonts w:ascii="仿宋" w:eastAsia="仿宋" w:cs="仿宋" w:hAnsi="仿宋" w:hint="eastAsia"/>
          <w:sz w:val="32"/>
          <w:szCs w:val="32"/>
        </w:rPr>
        <w:t>万元，项目支出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67.22</w:t>
      </w:r>
      <w:r>
        <w:rPr>
          <w:rFonts w:ascii="仿宋" w:eastAsia="仿宋" w:cs="仿宋" w:hAnsi="仿宋" w:hint="eastAsia"/>
          <w:sz w:val="32"/>
          <w:szCs w:val="32"/>
        </w:rPr>
        <w:t>万元</w:t>
      </w:r>
      <w:r>
        <w:rPr>
          <w:rFonts w:ascii="仿宋_GB2312" w:eastAsia="仿宋_GB2312" w:hAnsi="仿宋" w:hint="eastAsia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楷体_GB2312" w:hAnsi="仿宋" w:hint="eastAsia"/>
          <w:b/>
          <w:bCs/>
          <w:sz w:val="32"/>
          <w:szCs w:val="32"/>
          <w:lang w:eastAsia="zh-CN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pStyle w:val="21"/>
        <w:spacing w:line="560" w:lineRule="exact"/>
        <w:ind w:firstLine="561"/>
        <w:rPr>
          <w:rFonts w:ascii="仿宋" w:eastAsia="仿宋" w:cs="仿宋" w:hAnsi="仿宋" w:hint="eastAsia"/>
          <w:sz w:val="32"/>
          <w:szCs w:val="32"/>
          <w:lang w:eastAsia="zh-CN"/>
        </w:rPr>
      </w:pPr>
      <w:r>
        <w:rPr>
          <w:rFonts w:ascii="仿宋" w:eastAsia="仿宋" w:cs="仿宋" w:hAnsi="仿宋" w:hint="eastAsia"/>
          <w:sz w:val="32"/>
          <w:szCs w:val="32"/>
          <w:lang w:eastAsia="zh-CN"/>
        </w:rPr>
        <w:t>坚持以习近平新时代中国特色社会主义思想为指导，深化行政审批制度改革，推广“最多跑一次”办理，202</w:t>
      </w:r>
      <w:r>
        <w:rPr>
          <w:rFonts w:ascii="仿宋" w:eastAsia="仿宋" w:cs="仿宋" w:hAnsi="仿宋"/>
          <w:sz w:val="32"/>
          <w:szCs w:val="32"/>
          <w:lang w:eastAsia="zh-CN"/>
        </w:rPr>
        <w:t>4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 xml:space="preserve">年“最多跑一次”事项实现全覆盖；深化商事制度改革，将企业开办时间保持在3.4个小时以内；深化工程建设项目审批制度改革，将工程建设项目审批时间保持在50个工作日以内，不断提升行政审批办事效率和质量。全面推进各部门各领域信用联合奖惩措施梳理工作，构建以信用为基础的新型监管机制，不断提升社会治理现代化水平。加强和规范审监互动，提升交易服务质量和效率，持续推进高效，公平，公正公共资源交易平台，确保集中采购项目的正常进行及土地招拍挂的顺利开展，完成率100%，按照要求和计划完成应用平台系统的维护，开评标项目完成率≥95%。优化我区营商环境，推进政府治理能力现代化，为新时代建设“现代省会、经济强区”提供保障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</w:t>
      </w:r>
      <w:r>
        <w:rPr>
          <w:rFonts w:ascii="黑体" w:eastAsia="黑体" w:hAnsi="黑体" w:hint="eastAsia"/>
          <w:sz w:val="32"/>
          <w:szCs w:val="32"/>
          <w:lang w:eastAsia="zh-CN"/>
        </w:rPr>
        <w:t>开展</w:t>
      </w:r>
      <w:r>
        <w:rPr>
          <w:rFonts w:ascii="黑体" w:eastAsia="黑体" w:hAnsi="黑体" w:hint="eastAsia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textAlignment w:val="auto"/>
        <w:outlineLvl w:val="9"/>
        <w:rPr>
          <w:rFonts w:ascii="仿宋" w:eastAsia="仿宋" w:cs="楷体_GB2312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  <w:r>
        <w:rPr>
          <w:rFonts w:ascii="仿宋" w:eastAsia="仿宋" w:cs="楷体_GB2312" w:hAnsi="仿宋" w:hint="eastAsia"/>
          <w:b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为进一步提高我局绩效预算管理工作，根据《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中共井陉矿区委、井陉矿区人民政府关于全面落实预算绩效管理的实施意见</w:t>
      </w:r>
      <w:r>
        <w:rPr>
          <w:rFonts w:ascii="仿宋" w:eastAsia="仿宋" w:cs="仿宋" w:hAnsi="仿宋" w:hint="eastAsia"/>
          <w:sz w:val="32"/>
          <w:szCs w:val="32"/>
        </w:rPr>
        <w:t>》（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矿发</w:t>
      </w:r>
      <w:r>
        <w:rPr>
          <w:rFonts w:ascii="仿宋" w:eastAsia="仿宋" w:cs="仿宋" w:hAnsi="仿宋" w:hint="eastAsia"/>
          <w:sz w:val="32"/>
          <w:szCs w:val="32"/>
        </w:rPr>
        <w:t>〔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2019</w:t>
      </w:r>
      <w:r>
        <w:rPr>
          <w:rFonts w:ascii="仿宋" w:eastAsia="仿宋" w:cs="仿宋" w:hAnsi="仿宋" w:hint="eastAsia"/>
          <w:sz w:val="32"/>
          <w:szCs w:val="32"/>
        </w:rPr>
        <w:t>〕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7</w:t>
      </w:r>
      <w:r>
        <w:rPr>
          <w:rFonts w:ascii="仿宋" w:eastAsia="仿宋" w:cs="仿宋" w:hAnsi="仿宋" w:hint="eastAsia"/>
          <w:sz w:val="32"/>
          <w:szCs w:val="32"/>
        </w:rPr>
        <w:t>号）要求，成立绩效评价工作组，对我局所有的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项目资金</w:t>
      </w:r>
      <w:r>
        <w:rPr>
          <w:rFonts w:ascii="仿宋" w:eastAsia="仿宋" w:cs="仿宋" w:hAnsi="仿宋" w:hint="eastAsia"/>
          <w:sz w:val="32"/>
          <w:szCs w:val="32"/>
        </w:rPr>
        <w:t>，开展20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</w:rPr>
        <w:t>年度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部门整体</w:t>
      </w:r>
      <w:r>
        <w:rPr>
          <w:rFonts w:ascii="仿宋" w:eastAsia="仿宋" w:cs="仿宋" w:hAnsi="仿宋" w:hint="eastAsia"/>
          <w:sz w:val="32"/>
          <w:szCs w:val="32"/>
        </w:rPr>
        <w:t>绩效自评工作。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绩效评价工作组根据工作方案，明确任务分工，确定评价程序及时间安排。根据20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</w:rPr>
        <w:t>年初设定的绩效目标完成情况和各绩效指标完成情况进行核实分析，填报《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202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年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区级</w:t>
      </w:r>
      <w:r>
        <w:rPr>
          <w:rFonts w:ascii="仿宋" w:eastAsia="仿宋" w:cs="仿宋" w:hAnsi="仿宋" w:hint="eastAsia"/>
          <w:sz w:val="32"/>
          <w:szCs w:val="32"/>
        </w:rPr>
        <w:t>项目绩效自评表》，并撰写绩效自评报告。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仿宋" w:eastAsia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  <w:lang w:eastAsia="zh-CN"/>
        </w:rPr>
        <w:t>矿区</w:t>
      </w:r>
      <w:r>
        <w:rPr>
          <w:rFonts w:ascii="仿宋" w:eastAsia="仿宋" w:cs="仿宋" w:hAnsi="仿宋"/>
          <w:sz w:val="32"/>
          <w:szCs w:val="32"/>
          <w:lang w:eastAsia="zh-CN"/>
        </w:rPr>
        <w:t>数据和政务服务</w:t>
      </w:r>
      <w:r>
        <w:rPr>
          <w:rFonts w:ascii="仿宋" w:eastAsia="仿宋" w:cs="仿宋" w:hAnsi="仿宋" w:hint="eastAsia"/>
          <w:sz w:val="32"/>
          <w:szCs w:val="32"/>
        </w:rPr>
        <w:t>局20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2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4</w:t>
      </w:r>
      <w:r>
        <w:rPr>
          <w:rFonts w:ascii="仿宋" w:eastAsia="仿宋" w:cs="仿宋" w:hAnsi="仿宋" w:hint="eastAsia"/>
          <w:sz w:val="32"/>
          <w:szCs w:val="32"/>
        </w:rPr>
        <w:t>年度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年初</w:t>
      </w:r>
      <w:r>
        <w:rPr>
          <w:rFonts w:ascii="仿宋" w:eastAsia="仿宋" w:cs="仿宋" w:hAnsi="仿宋" w:hint="eastAsia"/>
          <w:sz w:val="32"/>
          <w:szCs w:val="32"/>
        </w:rPr>
        <w:t>预算共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503.05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万元：人员经费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295.72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万元，日常公用经费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9.34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万元，项目</w:t>
      </w:r>
      <w:r>
        <w:rPr>
          <w:rFonts w:ascii="仿宋" w:eastAsia="仿宋" w:cs="仿宋" w:hAnsi="仿宋" w:hint="eastAsia"/>
          <w:sz w:val="32"/>
          <w:szCs w:val="32"/>
          <w:lang w:eastAsia="zh-CN"/>
        </w:rPr>
        <w:t>经费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197.99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万元，涉及项目</w:t>
      </w:r>
      <w:r>
        <w:rPr>
          <w:rFonts w:ascii="仿宋" w:eastAsia="仿宋" w:cs="仿宋" w:hAnsi="仿宋"/>
          <w:sz w:val="32"/>
          <w:szCs w:val="32"/>
          <w:lang w:val="en-US" w:eastAsia="zh-CN"/>
        </w:rPr>
        <w:t>17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>个</w:t>
      </w:r>
      <w:r>
        <w:rPr>
          <w:rFonts w:ascii="仿宋" w:eastAsia="仿宋" w:cs="仿宋" w:hAnsi="仿宋" w:hint="eastAsia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642" w:right="0" w:firstLine="0"/>
        <w:textAlignment w:val="auto"/>
        <w:outlineLvl w:val="9"/>
        <w:rPr>
          <w:rFonts w:ascii="仿宋" w:eastAsia="仿宋" w:cs="楷体_GB2312" w:hAnsi="仿宋" w:hint="eastAsia"/>
          <w:b/>
          <w:bCs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>自评的方法和过程</w:t>
      </w:r>
    </w:p>
    <w:p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firstLineChars="200" w:firstLine="640"/>
        <w:textAlignment w:val="auto"/>
        <w:rPr>
          <w:rFonts w:ascii="仿宋" w:eastAsia="仿宋" w:cs="楷体_GB2312" w:hAnsi="仿宋" w:hint="eastAsia"/>
          <w:b/>
          <w:bCs/>
          <w:sz w:val="32"/>
          <w:szCs w:val="32"/>
        </w:rPr>
      </w:pPr>
      <w:r>
        <w:rPr>
          <w:rFonts w:ascii="仿宋" w:eastAsia="仿宋" w:cs="楷体_GB2312" w:hAnsi="仿宋" w:hint="eastAsia"/>
          <w:b w:val="0"/>
          <w:bCs w:val="0"/>
          <w:sz w:val="32"/>
          <w:szCs w:val="32"/>
          <w:lang w:eastAsia="zh-CN"/>
        </w:rPr>
        <w:t>本次绩效评价证据收集方法包括了：研究、分析项目预算股室提供的相关文件；整理汇总项目预算股室提供的项目资料、工作总结和合同；根据预算股室提供的基础数据表逐项进行核实；根据项目服务对象填写的问卷调查结果汇总满意度情况。项目在前期的调研基础上，完成了项目绩效评价工作方案，设计了指标体系、评价标准、问卷调查方案等，明确了评价的目的、方法，评价原则。项目严格按照工作方案，通过调研、相关文件的解读、数据采集、文件调查、数据分析、指标评分和撰写的环节，顺利完成了本次绩效评价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textAlignment w:val="auto"/>
        <w:outlineLvl w:val="9"/>
        <w:rPr>
          <w:rFonts w:ascii="黑体" w:eastAsia="黑体" w:hAnsi="黑体" w:hint="eastAsia"/>
          <w:b/>
          <w:bCs/>
          <w:sz w:val="32"/>
          <w:szCs w:val="32"/>
          <w:lang w:eastAsia="zh-CN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 xml:space="preserve">    </w:t>
      </w:r>
      <w:r>
        <w:rPr>
          <w:rFonts w:ascii="仿宋" w:eastAsia="仿宋" w:hAnsi="仿宋" w:hint="eastAsia"/>
          <w:b/>
          <w:bCs/>
          <w:sz w:val="32"/>
          <w:szCs w:val="32"/>
        </w:rPr>
        <w:t xml:space="preserve"> </w:t>
      </w:r>
      <w:r>
        <w:rPr>
          <w:rFonts w:ascii="黑体" w:eastAsia="黑体" w:hAnsi="黑体" w:hint="eastAsia"/>
          <w:sz w:val="32"/>
          <w:szCs w:val="32"/>
        </w:rPr>
        <w:t>三、</w:t>
      </w:r>
      <w:r>
        <w:rPr>
          <w:rFonts w:ascii="黑体" w:eastAsia="黑体" w:hAnsi="黑体" w:hint="eastAsia"/>
          <w:sz w:val="32"/>
          <w:szCs w:val="32"/>
          <w:lang w:eastAsia="zh-CN"/>
        </w:rPr>
        <w:t>部门整体支出</w:t>
      </w:r>
      <w:r>
        <w:rPr>
          <w:rFonts w:ascii="黑体" w:eastAsia="黑体" w:hAnsi="黑体" w:hint="eastAsia"/>
          <w:sz w:val="32"/>
          <w:szCs w:val="32"/>
        </w:rPr>
        <w:t>绩效</w:t>
      </w:r>
      <w:r>
        <w:rPr>
          <w:rFonts w:ascii="黑体" w:eastAsia="黑体" w:hAnsi="黑体" w:hint="eastAsia"/>
          <w:sz w:val="32"/>
          <w:szCs w:val="32"/>
          <w:lang w:eastAsia="zh-CN"/>
        </w:rPr>
        <w:t>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楷体_GB2312" w:hAnsi="仿宋"/>
          <w:b/>
          <w:bCs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  <w:lang w:eastAsia="zh-CN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Chars="200" w:firstLine="640"/>
        <w:textAlignment w:val="auto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绩效目标是贯穿预算绩效管理始终的一条主线，是预算资金安排、事中绩效跟踪和事后绩效评价的重要依据。根据相关文件要求，我局所有年初项目均设定了绩效目标，涉及产出指标和效果指标，但存在绩效指标不够全面、可评性不高、具体指标缺乏量化等问题。主要原因是对绩效目标的认识不够，制定多样化和细化的评价指标和标准需要在实践中不断完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textAlignment w:val="auto"/>
        <w:outlineLvl w:val="9"/>
        <w:rPr>
          <w:rFonts w:ascii="仿宋" w:eastAsia="仿宋" w:hAnsi="仿宋" w:hint="eastAsia"/>
          <w:b/>
          <w:bCs/>
          <w:sz w:val="32"/>
          <w:szCs w:val="32"/>
          <w:lang w:eastAsia="zh-CN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 xml:space="preserve">   </w:t>
      </w:r>
      <w:r>
        <w:rPr>
          <w:rFonts w:ascii="仿宋" w:eastAsia="仿宋" w:cs="楷体_GB2312" w:hAnsi="仿宋" w:hint="eastAsia"/>
          <w:b/>
          <w:bCs/>
          <w:sz w:val="32"/>
          <w:szCs w:val="32"/>
        </w:rPr>
        <w:t xml:space="preserve"> （二）</w:t>
      </w:r>
      <w:r>
        <w:rPr>
          <w:rFonts w:ascii="仿宋" w:eastAsia="仿宋" w:cs="楷体_GB2312" w:hAnsi="仿宋" w:hint="eastAsia"/>
          <w:b/>
          <w:bCs/>
          <w:sz w:val="32"/>
          <w:szCs w:val="32"/>
          <w:lang w:eastAsia="zh-CN"/>
        </w:rPr>
        <w:t>分项绩效目标实现情况及指标分析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1、深化行政审批制度改革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绩效目标：深化证照分离，实施证照联办、一证多址、容缺受理、行政许可告知承诺让办事更便捷、更高效。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绩效指标：各项改革落实落地。 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2、深化商事制度改革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绩效目标：进一步降低市场准入门槛和制度性交易成本、破解“准入不准营”问题，激发市场活力。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绩效指标：将企业开办时间保持在3.4个小时以内。推行“证照分离”改革。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3、深化工程建设项目审批制度改革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绩效目标：完善“石家庄市工程建设项目监督管理系统”功能，推行一个系统统一管理、一张蓝图统筹实施、一个窗口综合受理、一张表单整合材料、一套机制规范运行的“五个一”改革模式，加快项目落地速度。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绩效指标：将工程建设项目审批时间保持在50个工作日以内。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4、加快社会信用体系建设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绩效目标：构建以信用为基础的新型监管机制，畅通信用信息归集整合、交换、公示应用渠道，强化信用监管和信用建设，不断提升社会治理现代化水平。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绩效指标：社会信用体系考核排名保持在第一方阵。 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5、深化公共资源交易体制改革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绩效目标：提升公共资源交易电子化水平，进一步扩大评标公示范围，促进电子合同网签，加强对公共资源交易活动的监督和管理，保障公共交易顺利开展。</w:t>
      </w:r>
    </w:p>
    <w:p>
      <w:pPr>
        <w:pStyle w:val="22"/>
        <w:spacing w:line="560" w:lineRule="exact"/>
        <w:ind w:firstLine="561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绩效指标：确保集中采购项目的正常进行及土地招拍挂的顺利开展，完成率100%，按照要求和计划完成应用平台系统的维护，开评标项目完成率≥95%，确保开评标及应用平台系统安全正常运行。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hAnsi="仿宋"/>
          <w:sz w:val="32"/>
          <w:szCs w:val="32"/>
          <w:lang w:val="en-US" w:eastAsia="zh-CN"/>
        </w:rPr>
      </w:pPr>
      <w:r>
        <w:rPr>
          <w:rFonts w:ascii="仿宋" w:eastAsia="仿宋" w:hAnsi="仿宋" w:hint="eastAsia"/>
          <w:sz w:val="32"/>
          <w:szCs w:val="32"/>
        </w:rPr>
        <w:t>根据</w:t>
      </w:r>
      <w:r>
        <w:rPr>
          <w:rFonts w:ascii="仿宋" w:eastAsia="仿宋" w:hAnsi="仿宋" w:hint="eastAsia"/>
          <w:sz w:val="32"/>
          <w:szCs w:val="32"/>
          <w:lang w:eastAsia="zh-CN"/>
        </w:rPr>
        <w:t>部门职责定位和各项工作履职情况进行综合评价</w:t>
      </w:r>
      <w:r>
        <w:rPr>
          <w:rFonts w:ascii="仿宋" w:eastAsia="仿宋" w:hAnsi="仿宋" w:hint="eastAsia"/>
          <w:sz w:val="32"/>
          <w:szCs w:val="32"/>
        </w:rPr>
        <w:t>，给出总得分，满分100分，得出综合绩效评价等级。</w:t>
      </w:r>
      <w:r>
        <w:rPr>
          <w:rFonts w:ascii="仿宋" w:eastAsia="仿宋" w:hAnsi="仿宋" w:hint="eastAsia"/>
          <w:sz w:val="32"/>
          <w:szCs w:val="32"/>
          <w:lang w:eastAsia="zh-CN"/>
        </w:rPr>
        <w:t>部门整体支出</w:t>
      </w:r>
      <w:r>
        <w:rPr>
          <w:rFonts w:ascii="仿宋" w:eastAsia="仿宋" w:hAnsi="仿宋" w:hint="eastAsia"/>
          <w:sz w:val="32"/>
          <w:szCs w:val="32"/>
        </w:rPr>
        <w:t>综合绩效评价分为4个等级：得分</w:t>
      </w:r>
      <w:r>
        <w:rPr>
          <w:rFonts w:ascii="仿宋" w:eastAsia="仿宋" w:cs="Arial" w:hAnsi="仿宋"/>
          <w:sz w:val="32"/>
          <w:szCs w:val="32"/>
        </w:rPr>
        <w:t>≥</w:t>
      </w:r>
      <w:r>
        <w:rPr>
          <w:rFonts w:ascii="仿宋" w:eastAsia="仿宋" w:hAnsi="仿宋" w:hint="eastAsia"/>
          <w:sz w:val="32"/>
          <w:szCs w:val="32"/>
        </w:rPr>
        <w:t>85分为优秀；75</w:t>
      </w:r>
      <w:r>
        <w:rPr>
          <w:rFonts w:ascii="仿宋" w:eastAsia="仿宋" w:cs="Arial" w:hAnsi="仿宋"/>
          <w:sz w:val="32"/>
          <w:szCs w:val="32"/>
        </w:rPr>
        <w:t>≤</w:t>
      </w:r>
      <w:r>
        <w:rPr>
          <w:rFonts w:ascii="仿宋" w:eastAsia="仿宋" w:hAnsi="仿宋" w:hint="eastAsia"/>
          <w:sz w:val="32"/>
          <w:szCs w:val="32"/>
        </w:rPr>
        <w:t>得分＜85分为良好；60</w:t>
      </w:r>
      <w:r>
        <w:rPr>
          <w:rFonts w:ascii="仿宋" w:eastAsia="仿宋" w:cs="Arial" w:hAnsi="仿宋"/>
          <w:sz w:val="32"/>
          <w:szCs w:val="32"/>
        </w:rPr>
        <w:t>≤</w:t>
      </w:r>
      <w:r>
        <w:rPr>
          <w:rFonts w:ascii="仿宋" w:eastAsia="仿宋" w:hAnsi="仿宋" w:hint="eastAsia"/>
          <w:sz w:val="32"/>
          <w:szCs w:val="32"/>
        </w:rPr>
        <w:t>得分＜75分为一般；得分＜60分为较差。</w:t>
      </w:r>
      <w:r>
        <w:rPr>
          <w:rFonts w:ascii="仿宋" w:eastAsia="仿宋" w:hAnsi="仿宋" w:hint="eastAsia"/>
          <w:sz w:val="32"/>
          <w:szCs w:val="32"/>
          <w:lang w:eastAsia="zh-CN"/>
        </w:rPr>
        <w:t>部门整体支出综合绩效评价分为</w:t>
      </w:r>
      <w:r>
        <w:rPr>
          <w:rFonts w:ascii="仿宋" w:eastAsia="仿宋" w:hAnsi="仿宋" w:hint="eastAsia"/>
          <w:sz w:val="32"/>
          <w:szCs w:val="32"/>
          <w:lang w:val="en-US" w:eastAsia="zh-CN"/>
        </w:rPr>
        <w:t>95分。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hAnsi="仿宋" w:hint="eastAsia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hAnsi="仿宋" w:hint="eastAsia"/>
          <w:b w:val="0"/>
          <w:bCs w:val="0"/>
          <w:sz w:val="32"/>
          <w:szCs w:val="32"/>
          <w:lang w:val="en-US" w:eastAsia="zh-CN"/>
        </w:rPr>
      </w:pPr>
      <w:r>
        <w:rPr>
          <w:rFonts w:ascii="仿宋" w:eastAsia="仿宋" w:hAnsi="仿宋" w:hint="eastAsia"/>
          <w:b w:val="0"/>
          <w:bCs w:val="0"/>
          <w:sz w:val="32"/>
          <w:szCs w:val="32"/>
          <w:lang w:val="en-US" w:eastAsia="zh-CN"/>
        </w:rPr>
        <w:t>1、预算编制工作有待细化。预算编制不够明确和细化，预算编制合理性需要提高，预算执行力度还要进一步加强。</w:t>
      </w:r>
    </w:p>
    <w:p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" w:eastAsia="仿宋" w:cs="黑体" w:hAnsi="仿宋" w:hint="eastAsia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ascii="仿宋" w:eastAsia="仿宋" w:cs="黑体" w:hAnsi="仿宋" w:hint="eastAsia"/>
          <w:b w:val="0"/>
          <w:bCs w:val="0"/>
          <w:kern w:val="2"/>
          <w:sz w:val="32"/>
          <w:szCs w:val="32"/>
          <w:lang w:val="en-US" w:eastAsia="zh-CN" w:bidi="ar-SA"/>
        </w:rPr>
        <w:t>2、因单位编制少导致公用经费不足。</w:t>
      </w:r>
    </w:p>
    <w:p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" w:eastAsia="仿宋" w:cs="黑体" w:hAnsi="仿宋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ascii="仿宋" w:eastAsia="仿宋" w:cs="黑体" w:hAnsi="仿宋" w:hint="eastAsia"/>
          <w:b w:val="0"/>
          <w:bCs w:val="0"/>
          <w:kern w:val="2"/>
          <w:sz w:val="32"/>
          <w:szCs w:val="32"/>
          <w:lang w:val="en-US" w:eastAsia="zh-CN" w:bidi="ar-SA"/>
        </w:rPr>
        <w:t>3、公用经费控制有一定难度，基本为刚性支出。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hAnsi="仿宋" w:hint="eastAsia"/>
          <w:b/>
          <w:bCs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hAnsi="仿宋" w:hint="eastAsia"/>
          <w:b w:val="0"/>
          <w:bCs w:val="0"/>
          <w:sz w:val="32"/>
          <w:szCs w:val="32"/>
          <w:lang w:val="en-US" w:eastAsia="zh-CN"/>
        </w:rPr>
      </w:pPr>
      <w:r>
        <w:rPr>
          <w:rFonts w:ascii="仿宋" w:eastAsia="仿宋" w:hAnsi="仿宋" w:hint="eastAsia"/>
          <w:b w:val="0"/>
          <w:bCs w:val="0"/>
          <w:sz w:val="32"/>
          <w:szCs w:val="32"/>
          <w:lang w:val="en-US" w:eastAsia="zh-CN"/>
        </w:rPr>
        <w:t>1、细化预算编制工作，认真做好预算编制。进一步加强单位内部各股室的预算管理意识，严格按照预算编制的相关制度和要求进行预算编制；全面编制预算项目，优先保障固定性的、相对刚性的费用支出项目，尽量压缩变动性的，有控制空间的费用项目，进一步提高预算编制的科学性、严谨性和可控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hAnsi="仿宋" w:hint="eastAsia"/>
          <w:b w:val="0"/>
          <w:bCs w:val="0"/>
          <w:sz w:val="32"/>
          <w:szCs w:val="32"/>
          <w:lang w:val="en-US" w:eastAsia="zh-CN"/>
        </w:rPr>
      </w:pPr>
      <w:r>
        <w:rPr>
          <w:rFonts w:ascii="仿宋" w:eastAsia="仿宋" w:hAnsi="仿宋" w:hint="eastAsia"/>
          <w:b w:val="0"/>
          <w:bCs w:val="0"/>
          <w:sz w:val="32"/>
          <w:szCs w:val="32"/>
          <w:lang w:val="en-US" w:eastAsia="zh-CN"/>
        </w:rPr>
        <w:t>2、加强财务管理，严格财务审核。加强单位财务管理，健全单位财务管理制度体系，规范单位财务行为。在费用报账支付时，按照预算规定的预算项目和用途进行资金使用审核、列报支付、财务核算，杜绝超支现象的发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Chars="200" w:firstLine="640"/>
        <w:textAlignment w:val="auto"/>
        <w:outlineLvl w:val="9"/>
        <w:rPr>
          <w:rFonts w:ascii="仿宋" w:eastAsia="仿宋" w:cs="黑体" w:hAnsi="仿宋" w:hint="eastAsia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ascii="仿宋" w:eastAsia="仿宋" w:cs="黑体" w:hAnsi="仿宋" w:hint="eastAsia"/>
          <w:b w:val="0"/>
          <w:bCs w:val="0"/>
          <w:kern w:val="2"/>
          <w:sz w:val="32"/>
          <w:szCs w:val="32"/>
          <w:lang w:val="en-US" w:eastAsia="zh-CN" w:bidi="ar-SA"/>
        </w:rPr>
        <w:t>3、完善资产管理，抓好“三公”经费控制。严格编制政府采购年初预算和计划，规范各类资产的购置审批制度，资产采购制度、使用管理制度、资产处置和报废制度等，加强单位内部资产管理工作。严格控制“三公”经费的比例，进一步细化“三公经费”的管理，合理压缩“三公”经费支出。</w:t>
      </w:r>
    </w:p>
    <w:p>
      <w:pPr>
        <w:pStyle w:val="15"/>
        <w:spacing w:line="560" w:lineRule="exact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黑体" w:hAnsi="仿宋" w:hint="eastAsia"/>
          <w:b w:val="0"/>
          <w:bCs w:val="0"/>
          <w:kern w:val="2"/>
          <w:sz w:val="32"/>
          <w:szCs w:val="32"/>
          <w:lang w:val="en-US" w:eastAsia="zh-CN" w:bidi="ar-SA"/>
        </w:rPr>
        <w:t>4、加强相关人员培训，规范部门预算收支核算，切实提高部门预算收支管理水平。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Chars="200" w:firstLine="640"/>
        <w:textAlignment w:val="auto"/>
        <w:outlineLvl w:val="9"/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评价工作组人员名单及签字</w:t>
      </w:r>
    </w:p>
    <w:p>
      <w:pPr>
        <w:pStyle w:val="1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eastAsia"/>
        </w:rPr>
      </w:pP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jc w:val="center"/>
        <w:textAlignment w:val="auto"/>
        <w:outlineLvl w:val="9"/>
        <w:rPr>
          <w:rFonts w:ascii="宋体" w:eastAsia="宋体" w:cs="宋体" w:hAnsi="宋体" w:hint="eastAsia"/>
          <w:sz w:val="44"/>
          <w:szCs w:val="44"/>
          <w:lang w:eastAsia="zh-CN"/>
        </w:rPr>
      </w:pPr>
      <w:r>
        <w:rPr>
          <w:rFonts w:ascii="宋体" w:eastAsia="宋体" w:cs="宋体" w:hAnsi="宋体" w:hint="eastAsia"/>
          <w:sz w:val="44"/>
          <w:szCs w:val="44"/>
          <w:lang w:eastAsia="zh-CN"/>
        </w:rPr>
        <w:t>评价工作组人员名单</w:t>
      </w:r>
    </w:p>
    <w:tbl>
      <w:tblPr>
        <w:jc w:val="left"/>
        <w:tblInd w:w="0" w:type="dxa"/>
        <w:tblW w:w="8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4"/>
        <w:gridCol w:w="1245"/>
        <w:gridCol w:w="2955"/>
        <w:gridCol w:w="3315"/>
      </w:tblGrid>
      <w:tr>
        <w:tc>
          <w:tcPr>
            <w:tcW w:w="1024" w:type="dxa"/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</w:t>
            </w:r>
            <w:r>
              <w:rPr>
                <w:rFonts w:hint="eastAsia"/>
                <w:vertAlign w:val="baseline"/>
                <w:lang w:eastAsia="zh-CN"/>
              </w:rPr>
              <w:t>号</w:t>
            </w:r>
          </w:p>
        </w:tc>
        <w:tc>
          <w:tcPr>
            <w:tcW w:w="1245" w:type="dxa"/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955" w:type="dxa"/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工作单位</w:t>
            </w:r>
          </w:p>
        </w:tc>
        <w:tc>
          <w:tcPr>
            <w:tcW w:w="3315" w:type="dxa"/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职务</w:t>
            </w:r>
          </w:p>
        </w:tc>
      </w:tr>
      <w:tr>
        <w:tc>
          <w:tcPr>
            <w:tcW w:w="10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sz w:val="28"/>
                <w:szCs w:val="28"/>
                <w:vertAlign w:val="baseline"/>
                <w:lang w:eastAsia="zh-CN"/>
              </w:rPr>
              <w:t>张晓亮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区</w:t>
            </w:r>
            <w:r>
              <w:rPr>
                <w:sz w:val="28"/>
                <w:szCs w:val="28"/>
                <w:vertAlign w:val="baseline"/>
                <w:lang w:eastAsia="zh-CN"/>
              </w:rPr>
              <w:t>数据和政务服务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局</w:t>
            </w:r>
          </w:p>
        </w:tc>
        <w:tc>
          <w:tcPr>
            <w:tcW w:w="3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党组书记</w:t>
            </w:r>
          </w:p>
        </w:tc>
      </w:tr>
      <w:tr>
        <w:tc>
          <w:tcPr>
            <w:tcW w:w="10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sz w:val="28"/>
                <w:szCs w:val="28"/>
                <w:vertAlign w:val="baseline"/>
                <w:lang w:eastAsia="zh-CN"/>
              </w:rPr>
              <w:t>苏冬杰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区</w:t>
            </w:r>
            <w:r>
              <w:rPr>
                <w:sz w:val="28"/>
                <w:szCs w:val="28"/>
                <w:vertAlign w:val="baseline"/>
                <w:lang w:eastAsia="zh-CN"/>
              </w:rPr>
              <w:t>数据和政务服务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局</w:t>
            </w:r>
          </w:p>
        </w:tc>
        <w:tc>
          <w:tcPr>
            <w:tcW w:w="3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sz w:val="28"/>
                <w:szCs w:val="28"/>
                <w:vertAlign w:val="baseline"/>
                <w:lang w:eastAsia="zh-CN"/>
              </w:rPr>
              <w:t>局长</w:t>
            </w:r>
          </w:p>
        </w:tc>
      </w:tr>
      <w:tr>
        <w:tc>
          <w:tcPr>
            <w:tcW w:w="10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赵战霞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区</w:t>
            </w:r>
            <w:r>
              <w:rPr>
                <w:sz w:val="28"/>
                <w:szCs w:val="28"/>
                <w:vertAlign w:val="baseline"/>
                <w:lang w:eastAsia="zh-CN"/>
              </w:rPr>
              <w:t>数据和政务服务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局</w:t>
            </w:r>
          </w:p>
        </w:tc>
        <w:tc>
          <w:tcPr>
            <w:tcW w:w="3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副局长、三级主任科员</w:t>
            </w:r>
          </w:p>
        </w:tc>
      </w:tr>
      <w:tr>
        <w:tc>
          <w:tcPr>
            <w:tcW w:w="10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eastAsia="仿宋_GB2312"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sz w:val="28"/>
                <w:szCs w:val="28"/>
                <w:vertAlign w:val="baseline"/>
                <w:lang w:eastAsia="zh-CN"/>
              </w:rPr>
              <w:t>温永丽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区</w:t>
            </w:r>
            <w:r>
              <w:rPr>
                <w:sz w:val="28"/>
                <w:szCs w:val="28"/>
                <w:vertAlign w:val="baseline"/>
                <w:lang w:eastAsia="zh-CN"/>
              </w:rPr>
              <w:t>数据和政务服务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局</w:t>
            </w:r>
          </w:p>
        </w:tc>
        <w:tc>
          <w:tcPr>
            <w:tcW w:w="3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副局长</w:t>
            </w:r>
          </w:p>
        </w:tc>
      </w:tr>
      <w:tr>
        <w:tc>
          <w:tcPr>
            <w:tcW w:w="10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赵燕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区</w:t>
            </w:r>
            <w:r>
              <w:rPr>
                <w:sz w:val="28"/>
                <w:szCs w:val="28"/>
                <w:vertAlign w:val="baseline"/>
                <w:lang w:eastAsia="zh-CN"/>
              </w:rPr>
              <w:t>数据和政务服务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局</w:t>
            </w:r>
          </w:p>
        </w:tc>
        <w:tc>
          <w:tcPr>
            <w:tcW w:w="3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办公室主任</w:t>
            </w:r>
          </w:p>
        </w:tc>
      </w:tr>
      <w:tr>
        <w:tc>
          <w:tcPr>
            <w:tcW w:w="10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张玉辉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区</w:t>
            </w:r>
            <w:r>
              <w:rPr>
                <w:sz w:val="28"/>
                <w:szCs w:val="28"/>
                <w:vertAlign w:val="baseline"/>
                <w:lang w:eastAsia="zh-CN"/>
              </w:rPr>
              <w:t>数据和政务服务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局</w:t>
            </w:r>
          </w:p>
        </w:tc>
        <w:tc>
          <w:tcPr>
            <w:tcW w:w="3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综合审批股、勘验股</w:t>
            </w:r>
            <w:r>
              <w:rPr>
                <w:sz w:val="21"/>
                <w:szCs w:val="21"/>
                <w:vertAlign w:val="baseline"/>
                <w:lang w:eastAsia="zh-CN"/>
              </w:rPr>
              <w:t>负责人</w:t>
            </w:r>
          </w:p>
        </w:tc>
      </w:tr>
      <w:tr>
        <w:tc>
          <w:tcPr>
            <w:tcW w:w="10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谷玉韬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区</w:t>
            </w:r>
            <w:r>
              <w:rPr>
                <w:sz w:val="28"/>
                <w:szCs w:val="28"/>
                <w:vertAlign w:val="baseline"/>
                <w:lang w:eastAsia="zh-CN"/>
              </w:rPr>
              <w:t>数据和政务服务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局</w:t>
            </w:r>
          </w:p>
        </w:tc>
        <w:tc>
          <w:tcPr>
            <w:tcW w:w="3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both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城建交通股、项目投资股</w:t>
            </w:r>
            <w:r>
              <w:rPr>
                <w:sz w:val="21"/>
                <w:szCs w:val="21"/>
                <w:vertAlign w:val="baseline"/>
                <w:lang w:eastAsia="zh-CN"/>
              </w:rPr>
              <w:t>负责人</w:t>
            </w:r>
          </w:p>
        </w:tc>
      </w:tr>
      <w:tr>
        <w:tc>
          <w:tcPr>
            <w:tcW w:w="10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firstLineChars="0" w:firstLine="0"/>
              <w:jc w:val="center"/>
              <w:textAlignment w:val="auto"/>
              <w:rPr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吴改娥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区</w:t>
            </w:r>
            <w:r>
              <w:rPr>
                <w:sz w:val="28"/>
                <w:szCs w:val="28"/>
                <w:vertAlign w:val="baseline"/>
                <w:lang w:eastAsia="zh-CN"/>
              </w:rPr>
              <w:t>数据和政务服务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局</w:t>
            </w:r>
          </w:p>
        </w:tc>
        <w:tc>
          <w:tcPr>
            <w:tcW w:w="3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firstLineChars="200" w:firstLine="42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公共资源交易中心</w:t>
            </w:r>
          </w:p>
        </w:tc>
      </w:tr>
      <w:tr>
        <w:tc>
          <w:tcPr>
            <w:tcW w:w="10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spacing w:line="560" w:lineRule="exact"/>
              <w:ind w:firstLineChars="0" w:firstLine="0"/>
              <w:jc w:val="center"/>
              <w:rPr>
                <w:vertAlign w:val="baseline"/>
                <w:lang w:val="en-US" w:eastAsia="zh-CN"/>
              </w:rPr>
            </w:pPr>
            <w:r>
              <w:rPr>
                <w:vertAlign w:val="baseline"/>
                <w:lang w:val="en-US" w:eastAsia="zh-CN"/>
              </w:rPr>
              <w:t>9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崔薯予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区</w:t>
            </w:r>
            <w:r>
              <w:rPr>
                <w:sz w:val="28"/>
                <w:szCs w:val="28"/>
                <w:vertAlign w:val="baseline"/>
                <w:lang w:eastAsia="zh-CN"/>
              </w:rPr>
              <w:t>数据和政务服务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局</w:t>
            </w:r>
          </w:p>
        </w:tc>
        <w:tc>
          <w:tcPr>
            <w:tcW w:w="3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市场主体股</w:t>
            </w:r>
            <w:r>
              <w:rPr>
                <w:sz w:val="28"/>
                <w:szCs w:val="28"/>
                <w:vertAlign w:val="baseline"/>
                <w:lang w:eastAsia="zh-CN"/>
              </w:rPr>
              <w:t>负责人</w:t>
            </w:r>
          </w:p>
        </w:tc>
      </w:tr>
      <w:tr>
        <w:tc>
          <w:tcPr>
            <w:tcW w:w="10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spacing w:line="560" w:lineRule="exact"/>
              <w:ind w:firstLineChars="0" w:firstLine="0"/>
              <w:jc w:val="center"/>
              <w:rPr>
                <w:vertAlign w:val="baseline"/>
                <w:lang w:val="en-US" w:eastAsia="zh-CN"/>
              </w:rPr>
            </w:pPr>
            <w:r>
              <w:rPr>
                <w:vertAlign w:val="baseline"/>
                <w:lang w:val="en-US" w:eastAsia="zh-CN"/>
              </w:rPr>
              <w:t>10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firstLineChars="0" w:firstLine="0"/>
              <w:jc w:val="center"/>
              <w:rPr>
                <w:sz w:val="28"/>
                <w:szCs w:val="28"/>
                <w:vertAlign w:val="baseline"/>
                <w:lang w:eastAsia="zh-CN"/>
              </w:rPr>
            </w:pPr>
            <w:r>
              <w:rPr>
                <w:sz w:val="28"/>
                <w:szCs w:val="28"/>
                <w:vertAlign w:val="baseline"/>
                <w:lang w:eastAsia="zh-CN"/>
              </w:rPr>
              <w:t>王哲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区</w:t>
            </w:r>
            <w:r>
              <w:rPr>
                <w:sz w:val="28"/>
                <w:szCs w:val="28"/>
                <w:vertAlign w:val="baseline"/>
                <w:lang w:eastAsia="zh-CN"/>
              </w:rPr>
              <w:t>数据和政务服务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局</w:t>
            </w:r>
          </w:p>
        </w:tc>
        <w:tc>
          <w:tcPr>
            <w:tcW w:w="33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15"/>
              <w:spacing w:line="560" w:lineRule="exact"/>
              <w:ind w:left="0" w:firstLineChars="0" w:firstLine="0"/>
              <w:jc w:val="center"/>
              <w:rPr>
                <w:rFonts w:hint="eastAsia"/>
                <w:sz w:val="28"/>
                <w:szCs w:val="28"/>
                <w:vertAlign w:val="baseline"/>
                <w:lang w:eastAsia="zh-CN"/>
              </w:rPr>
            </w:pPr>
            <w:r>
              <w:rPr>
                <w:sz w:val="28"/>
                <w:szCs w:val="28"/>
                <w:vertAlign w:val="baseline"/>
                <w:lang w:eastAsia="zh-CN"/>
              </w:rPr>
              <w:t>数据</w:t>
            </w:r>
            <w:r>
              <w:rPr>
                <w:rFonts w:hint="eastAsia"/>
                <w:sz w:val="28"/>
                <w:szCs w:val="28"/>
                <w:vertAlign w:val="baseline"/>
                <w:lang w:eastAsia="zh-CN"/>
              </w:rPr>
              <w:t>股</w:t>
            </w:r>
            <w:r>
              <w:rPr>
                <w:sz w:val="28"/>
                <w:szCs w:val="28"/>
                <w:vertAlign w:val="baseline"/>
                <w:lang w:eastAsia="zh-CN"/>
              </w:rPr>
              <w:t>负责人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/>
        <w:textAlignment w:val="auto"/>
        <w:outlineLvl w:val="9"/>
        <w:rPr>
          <w:rFonts w:ascii="仿宋" w:eastAsia="仿宋" w:hAnsi="仿宋"/>
        </w:rPr>
      </w:pPr>
    </w:p>
    <w:sectPr>
      <w:footerReference w:type="default" r:id="rId2"/>
      <w:pgSz w:w="11906" w:h="16838"/>
      <w:pgMar w:top="1440" w:right="1474" w:bottom="1440" w:left="1587" w:header="851" w:footer="992" w:gutter="0"/>
      <w:pgNumType w:fmt="numberInDash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Calibri">
    <w:panose1 w:val="020F0502020204030204"/>
    <w:charset w:val="00"/>
    <w:family w:val="swiss"/>
    <w:pitch w:val="variable"/>
    <w:sig w:usb0="E10002FF" w:usb1="4000ACFF" w:usb2="00000009" w:usb3="00000000" w:csb0="2000019F" w:csb1="00000000"/>
  </w:font>
  <w:font w:name="宋体">
    <w:panose1 w:val="02010600030101010101"/>
    <w:charset w:val="7A"/>
    <w:family w:val="auto"/>
    <w:pitch w:val="variable"/>
    <w:sig w:usb0="00000003" w:usb1="288F0000" w:usb2="0000000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2000009F" w:csb1="DFD70000"/>
  </w:font>
  <w:font w:name="ArialUnicodeMS">
    <w:altName w:val="Malgun Gothic"/>
    <w:panose1 w:val="00000000000000000000"/>
    <w:charset w:val="81"/>
    <w:family w:val="auto"/>
    <w:pitch w:val="variable"/>
    <w:sig w:usb0="00000000" w:usb1="00000000" w:usb2="00000010" w:usb3="00000000" w:csb0="00080001" w:csb1="0000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Times New Roman">
    <w:panose1 w:val="02020603050405020304"/>
    <w:charset w:val="86"/>
    <w:family w:val="swiss"/>
    <w:pitch w:val="variable"/>
    <w:sig w:usb0="E0002AFF" w:usb1="C0007841" w:usb2="00000009" w:usb3="00000000" w:csb0="400001FF" w:csb1="FFFF0000"/>
  </w:font>
  <w:font w:name="方正小标宋简体">
    <w:panose1 w:val="03000509000000000000"/>
    <w:charset w:val="86"/>
    <w:family w:val="auto"/>
    <w:pitch w:val="variable"/>
    <w:sig w:usb0="00000001" w:usb1="080E0000" w:usb2="00000000" w:usb3="00000000" w:csb0="00040000" w:csb1="00000000"/>
  </w:font>
  <w:font w:name="方正仿宋_GBK">
    <w:altName w:val="宋体"/>
    <w:panose1 w:val="00000000000000000000"/>
    <w:charset w:val="86"/>
    <w:family w:val="roman"/>
    <w:pitch w:val="variable"/>
    <w:sig w:usb0="00000000" w:usb1="00000000" w:usb2="00000000" w:usb3="00000000" w:csb0="0000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enter" w:pos="4153"/>
        <w:tab w:val="right" w:pos="8306"/>
      </w:tabs>
    </w:pPr>
    <w:r>
      <w:rPr>
        <w:rFonts w:ascii="Calibri" w:eastAsia="宋体" w:cs="黑体" w:hAnsi="Calibri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298" distR="114298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77101" cy="162820"/>
              <wp:effectExtent l="0" t="0" r="0" b="0"/>
              <wp:wrapNone/>
              <wp:docPr id="1" name="Quad Arrow 3073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277101" cy="162820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round/>
                      </a:ln>
                    </wps:spPr>
                    <wps:txbx id="2"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type="#_x0000_t202" id="Quad Arrow 3073 3" o:spid="_x0000_s3" filled="f" stroked="f" style="position:absolute;margin-left:2.6617408pt;margin-top:0.0pt;width:21.818996pt;height:12.820483pt;z-index:12;mso-position-horizontal:center;mso-position-horizontal-relative:margin;mso-position-vertical:absolute;mso-wrap-distance-left:8.999863pt;mso-wrap-distance-right:8.999863pt;mso-wrap-style:none;">
              <v:stroke color="#000000"/>
              <v:textbox id="848" inset="0mm,0mm,0mm,0mm" o:insetmode="custom" style="layout-flow:horizontal;v-text-anchor:top;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59A86B04"/>
    <w:multiLevelType w:val="singleLevel"/>
    <w:tmpl w:val="59A86B04"/>
    <w:lvl w:ilvl="0">
      <w:start w:val="4"/>
      <w:numFmt w:val="decimal"/>
      <w:lvlRestart w:val="0"/>
      <w:suff w:val="nothing"/>
      <w:lvlText w:val="%1、"/>
      <w:lvlJc w:val="left"/>
      <w:pPr>
        <w:ind w:left="0" w:hanging="0"/>
      </w:pPr>
    </w:lvl>
  </w:abstractNum>
  <w:abstractNum w:abstractNumId="1">
    <w:nsid w:val="1C24762E"/>
    <w:multiLevelType w:val="singleLevel"/>
    <w:tmpl w:val="1C24762E"/>
    <w:lvl w:ilvl="0">
      <w:start w:val="2"/>
      <w:numFmt w:val="chineseCounting"/>
      <w:lvlRestart w:val="0"/>
      <w:suff w:val="nothing"/>
      <w:lvlText w:val="（%1）"/>
      <w:lvlJc w:val="left"/>
      <w:pPr>
        <w:ind w:left="0" w:hanging="0"/>
      </w:pPr>
      <w:rPr>
        <w:rFonts w:hint="eastAsia"/>
      </w:rPr>
    </w:lvl>
  </w:abstractNum>
  <w:abstractNum w:abstractNumId="2">
    <w:nsid w:val="0516AA81"/>
    <w:multiLevelType w:val="singleLevel"/>
    <w:tmpl w:val="0516AA81"/>
    <w:lvl w:ilvl="0">
      <w:start w:val="2"/>
      <w:numFmt w:val="chineseCounting"/>
      <w:lvlRestart w:val="0"/>
      <w:suff w:val="nothing"/>
      <w:lvlText w:val="（%1）"/>
      <w:lvlJc w:val="left"/>
      <w:pPr>
        <w:ind w:left="642" w:hanging="0"/>
      </w:pPr>
      <w:rPr>
        <w:rFonts w:hint="eastAsia"/>
      </w:rPr>
    </w:lvl>
  </w:abstractNum>
  <w:abstractNum w:abstractNumId="3">
    <w:nsid w:val="5E68489B"/>
    <w:multiLevelType w:val="singleLevel"/>
    <w:tmpl w:val="5E68489B"/>
    <w:lvl w:ilvl="0">
      <w:start w:val="1"/>
      <w:numFmt w:val="chineseCounting"/>
      <w:lvlRestart w:val="0"/>
      <w:suff w:val="nothing"/>
      <w:lvlText w:val="（%1）"/>
      <w:lvlJc w:val="left"/>
      <w:pPr>
        <w:ind w:left="0" w:hanging="0"/>
      </w:pPr>
    </w:lvl>
  </w:abstractNum>
  <w:abstractNum w:abstractNumId="4">
    <w:nsid w:val="F2FD7656"/>
    <w:multiLevelType w:val="singleLevel"/>
    <w:tmpl w:val="F2FD7656"/>
    <w:lvl w:ilvl="0">
      <w:start w:val="6"/>
      <w:numFmt w:val="chineseCounting"/>
      <w:lvlRestart w:val="0"/>
      <w:suff w:val="nothing"/>
      <w:lvlText w:val="%1、"/>
      <w:lvlJc w:val="left"/>
      <w:pPr>
        <w:ind w:left="0" w:hanging="0"/>
      </w:pPr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commondata" w:val="eyJoZGlkIjoiMWFmZGE4YzhhMmYzODg3Y2FiYmQ5NjMyMjMxZGViZjI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next w:val="15"/>
    <w:pPr>
      <w:widowControl w:val="0"/>
      <w:jc w:val="both"/>
    </w:pPr>
    <w:rPr>
      <w:rFonts w:ascii="Calibri" w:eastAsia="宋体" w:cs="黑体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Normal Indent"/>
    <w:basedOn w:val="0"/>
    <w:next w:val="16"/>
    <w:pPr>
      <w:ind w:firstLineChars="200" w:firstLine="200"/>
    </w:pPr>
    <w:rPr>
      <w:rFonts w:eastAsia="仿宋_GB2312"/>
      <w:sz w:val="30"/>
    </w:rPr>
  </w:style>
  <w:style w:type="paragraph" w:styleId="16">
    <w:name w:val="Subtitle"/>
    <w:basedOn w:val="0"/>
    <w:pPr>
      <w:spacing w:line="700" w:lineRule="exact"/>
      <w:jc w:val="center"/>
      <w:outlineLvl w:val="1"/>
    </w:pPr>
    <w:rPr>
      <w:rFonts w:ascii="Arial" w:eastAsia="方正小标宋简体" w:cs="Arial" w:hAnsi="Arial"/>
      <w:b/>
      <w:bCs/>
      <w:kern w:val="28"/>
      <w:sz w:val="44"/>
      <w:szCs w:val="44"/>
    </w:rPr>
  </w:style>
  <w:style w:type="paragraph" w:styleId="17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8">
    <w:name w:val="header"/>
    <w:basedOn w:val="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19">
    <w:name w:val="footnote text"/>
    <w:basedOn w:val="0"/>
    <w:pPr>
      <w:snapToGrid w:val="0"/>
      <w:jc w:val="left"/>
    </w:pPr>
    <w:rPr>
      <w:sz w:val="18"/>
      <w:szCs w:val="18"/>
    </w:rPr>
  </w:style>
  <w:style w:type="paragraph" w:styleId="20">
    <w:name w:val="annotation text"/>
    <w:basedOn w:val="0"/>
    <w:pPr>
      <w:jc w:val="left"/>
    </w:pPr>
  </w:style>
  <w:style w:type="paragraph" w:customStyle="1" w:styleId="21">
    <w:name w:val="插入文本样式-插入总体目标文件"/>
    <w:basedOn w:val="0"/>
    <w:pPr>
      <w:spacing w:line="500" w:lineRule="exact"/>
      <w:ind w:firstLine="560"/>
    </w:pPr>
    <w:rPr>
      <w:rFonts w:ascii="Times New Roman" w:eastAsia="方正仿宋_GBK" w:cs="Times New Roman" w:hAnsi="Times New Roman"/>
      <w:sz w:val="28"/>
      <w:szCs w:val="24"/>
      <w:lang w:val="en-US" w:eastAsia="uk-UA" w:bidi="ar-SA"/>
    </w:rPr>
  </w:style>
  <w:style w:type="paragraph" w:customStyle="1" w:styleId="22">
    <w:name w:val="插入文本样式-插入职责分类绩效目标文件"/>
    <w:basedOn w:val="0"/>
    <w:pPr>
      <w:spacing w:line="500" w:lineRule="exact"/>
      <w:ind w:firstLine="560"/>
    </w:pPr>
    <w:rPr>
      <w:rFonts w:ascii="Times New Roman" w:eastAsia="方正仿宋_GBK" w:cs="Times New Roman" w:hAnsi="Times New Roman"/>
      <w:sz w:val="28"/>
      <w:szCs w:val="24"/>
      <w:lang w:val="en-US" w:eastAsia="uk-UA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23CF8199-67EE-4FCB-8411-3F4CCA6FEED7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359</TotalTime>
  <Application>Yozo_Office27021597764231179</Application>
  <Pages>10</Pages>
  <Words>0</Words>
  <Characters>3725</Characters>
  <Lines>0</Lines>
  <Paragraphs>84</Paragraphs>
  <CharactersWithSpaces>4967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附件3：</dc:title>
  <dc:creator>欣欣大人</dc:creator>
  <cp:lastModifiedBy>Administrator</cp:lastModifiedBy>
  <cp:revision>0</cp:revision>
  <cp:lastPrinted>2024-04-17T00:08:12Z</cp:lastPrinted>
  <dcterms:created xsi:type="dcterms:W3CDTF">2020-02-04T03:46:00Z</dcterms:created>
  <dcterms:modified xsi:type="dcterms:W3CDTF">2025-07-09T02:45:00Z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2052-11.1.0.13703</vt:lpwstr>
  </property>
  <property fmtid="{D5CDD505-2E9C-101B-9397-08002B2CF9AE}" pid="3" name="ICV">
    <vt:lpwstr>14C5DA8972104B84949AD7A7467302EC</vt:lpwstr>
  </property>
</Properties>
</file>