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CC316F">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69A67C5A">
      <w:pPr>
        <w:spacing w:line="560" w:lineRule="exact"/>
        <w:jc w:val="center"/>
        <w:rPr>
          <w:rFonts w:ascii="宋体" w:hAnsi="宋体" w:cs="宋体"/>
          <w:b/>
          <w:bCs/>
          <w:sz w:val="44"/>
          <w:szCs w:val="44"/>
        </w:rPr>
      </w:pPr>
    </w:p>
    <w:p w14:paraId="4F1254A9">
      <w:pPr>
        <w:spacing w:line="560" w:lineRule="exact"/>
        <w:jc w:val="center"/>
        <w:rPr>
          <w:rFonts w:ascii="宋体" w:hAnsi="宋体" w:cs="宋体"/>
          <w:b/>
          <w:bCs/>
          <w:sz w:val="44"/>
          <w:szCs w:val="44"/>
        </w:rPr>
      </w:pPr>
      <w:r>
        <w:rPr>
          <w:rFonts w:hint="eastAsia" w:ascii="宋体" w:hAnsi="宋体" w:cs="宋体"/>
          <w:b/>
          <w:bCs/>
          <w:sz w:val="44"/>
          <w:szCs w:val="44"/>
        </w:rPr>
        <w:t>井陉矿区融媒体中心</w:t>
      </w:r>
    </w:p>
    <w:p w14:paraId="24B0092C">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609072DC">
      <w:pPr>
        <w:spacing w:line="560" w:lineRule="exact"/>
        <w:jc w:val="center"/>
        <w:rPr>
          <w:rFonts w:ascii="华文楷体" w:eastAsia="华文楷体"/>
          <w:sz w:val="32"/>
          <w:szCs w:val="32"/>
        </w:rPr>
      </w:pPr>
    </w:p>
    <w:p w14:paraId="6B05416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号）文件精神，遵循“科学性、规范性、客观性和公正性”的原则，对井陉矿区融媒体中心2024年整体支出情况实施了财政支出绩效自评价，形成本评价报告。</w:t>
      </w:r>
    </w:p>
    <w:p w14:paraId="392500B2">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10C519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A5416A1">
      <w:pPr>
        <w:keepNext/>
        <w:keepLines/>
        <w:pageBreakBefore w:val="0"/>
        <w:kinsoku/>
        <w:wordWrap/>
        <w:overflowPunct/>
        <w:topLinePunct w:val="0"/>
        <w:autoSpaceDE w:val="0"/>
        <w:autoSpaceDN/>
        <w:bidi w:val="0"/>
        <w:spacing w:line="600" w:lineRule="exact"/>
        <w:ind w:firstLine="640" w:firstLineChars="200"/>
        <w:jc w:val="left"/>
        <w:textAlignment w:val="auto"/>
        <w:outlineLvl w:val="0"/>
        <w:rPr>
          <w:rFonts w:ascii="仿宋" w:hAnsi="仿宋" w:eastAsia="仿宋"/>
          <w:sz w:val="32"/>
          <w:szCs w:val="32"/>
        </w:rPr>
      </w:pPr>
      <w:r>
        <w:rPr>
          <w:rFonts w:ascii="仿宋" w:hAnsi="仿宋" w:eastAsia="仿宋"/>
          <w:sz w:val="32"/>
          <w:szCs w:val="32"/>
        </w:rPr>
        <w:t>重点完成新闻宣传及电视节目</w:t>
      </w:r>
      <w:r>
        <w:rPr>
          <w:rFonts w:hint="eastAsia" w:ascii="仿宋" w:hAnsi="仿宋" w:eastAsia="仿宋"/>
          <w:sz w:val="32"/>
          <w:szCs w:val="32"/>
        </w:rPr>
        <w:t>播出</w:t>
      </w:r>
      <w:r>
        <w:rPr>
          <w:rFonts w:ascii="仿宋" w:hAnsi="仿宋" w:eastAsia="仿宋"/>
          <w:sz w:val="32"/>
          <w:szCs w:val="32"/>
        </w:rPr>
        <w:t>，推动传统媒体与新媒体融合发展，不断扩大党媒覆盖面，抢占舆论引导阵地，宣传上级党委、政府的决策部署，中心工作及重点工作，宣传本地党委和政府工作安排，传播本地政经资讯；向基层干部群众提供政务服务、生活服务、社会</w:t>
      </w:r>
      <w:r>
        <w:rPr>
          <w:rFonts w:hint="eastAsia" w:ascii="仿宋" w:hAnsi="仿宋" w:eastAsia="仿宋"/>
          <w:sz w:val="32"/>
          <w:szCs w:val="32"/>
        </w:rPr>
        <w:t>传播</w:t>
      </w:r>
      <w:r>
        <w:rPr>
          <w:rFonts w:ascii="仿宋" w:hAnsi="仿宋" w:eastAsia="仿宋"/>
          <w:sz w:val="32"/>
          <w:szCs w:val="32"/>
        </w:rPr>
        <w:t>等综合服务。更好的服务于区委、区政府，服务于全区人民，形成强有力的舆论引导力。</w:t>
      </w:r>
    </w:p>
    <w:p w14:paraId="36E12767">
      <w:pPr>
        <w:pageBreakBefore w:val="0"/>
        <w:kinsoku/>
        <w:wordWrap/>
        <w:overflowPunct/>
        <w:topLinePunct w:val="0"/>
        <w:autoSpaceDE w:val="0"/>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2.机构情况。</w:t>
      </w:r>
    </w:p>
    <w:p w14:paraId="5315E520">
      <w:pPr>
        <w:pageBreakBefore w:val="0"/>
        <w:kinsoku/>
        <w:wordWrap/>
        <w:overflowPunct/>
        <w:topLinePunct w:val="0"/>
        <w:autoSpaceDE w:val="0"/>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石家庄市井陉矿区融媒体中心为一级预算单位，单位性质为事业单位，规格为正科级。</w:t>
      </w:r>
    </w:p>
    <w:p w14:paraId="542139AB">
      <w:pPr>
        <w:pageBreakBefore w:val="0"/>
        <w:kinsoku/>
        <w:wordWrap/>
        <w:overflowPunct/>
        <w:topLinePunct w:val="0"/>
        <w:autoSpaceDE w:val="0"/>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3.人员情况。</w:t>
      </w:r>
    </w:p>
    <w:p w14:paraId="7EFB8FDB">
      <w:pPr>
        <w:pageBreakBefore w:val="0"/>
        <w:kinsoku/>
        <w:wordWrap/>
        <w:overflowPunct/>
        <w:topLinePunct w:val="0"/>
        <w:autoSpaceDE w:val="0"/>
        <w:autoSpaceDN/>
        <w:bidi w:val="0"/>
        <w:adjustRightInd w:val="0"/>
        <w:snapToGrid w:val="0"/>
        <w:spacing w:line="600" w:lineRule="exact"/>
        <w:ind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单位编制人数21人，实有在编人数</w:t>
      </w:r>
      <w:r>
        <w:rPr>
          <w:rFonts w:hint="eastAsia" w:ascii="仿宋" w:hAnsi="仿宋" w:eastAsia="仿宋"/>
          <w:sz w:val="32"/>
          <w:szCs w:val="32"/>
          <w:highlight w:val="none"/>
          <w:lang w:val="en-US" w:eastAsia="zh-CN"/>
        </w:rPr>
        <w:t>15</w:t>
      </w:r>
      <w:r>
        <w:rPr>
          <w:rFonts w:hint="eastAsia" w:ascii="仿宋" w:hAnsi="仿宋" w:eastAsia="仿宋"/>
          <w:sz w:val="32"/>
          <w:szCs w:val="32"/>
          <w:highlight w:val="none"/>
        </w:rPr>
        <w:t>人。退休人员</w:t>
      </w:r>
      <w:r>
        <w:rPr>
          <w:rFonts w:hint="eastAsia" w:ascii="仿宋" w:hAnsi="仿宋" w:eastAsia="仿宋"/>
          <w:sz w:val="32"/>
          <w:szCs w:val="32"/>
          <w:highlight w:val="none"/>
          <w:lang w:val="en-US" w:eastAsia="zh-CN"/>
        </w:rPr>
        <w:t>9</w:t>
      </w:r>
      <w:r>
        <w:rPr>
          <w:rFonts w:hint="eastAsia" w:ascii="仿宋" w:hAnsi="仿宋" w:eastAsia="仿宋"/>
          <w:sz w:val="32"/>
          <w:szCs w:val="32"/>
          <w:highlight w:val="none"/>
        </w:rPr>
        <w:t>名。</w:t>
      </w:r>
    </w:p>
    <w:p w14:paraId="7CD000DA">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43F5E2C">
      <w:pPr>
        <w:pageBreakBefore w:val="0"/>
        <w:kinsoku/>
        <w:wordWrap/>
        <w:overflowPunct/>
        <w:topLinePunct w:val="0"/>
        <w:autoSpaceDE w:val="0"/>
        <w:autoSpaceDN/>
        <w:bidi w:val="0"/>
        <w:adjustRightInd w:val="0"/>
        <w:snapToGrid w:val="0"/>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本部门</w:t>
      </w:r>
      <w:r>
        <w:rPr>
          <w:rFonts w:hint="eastAsia" w:ascii="仿宋" w:hAnsi="仿宋" w:eastAsia="仿宋" w:cs="Times New Roman"/>
          <w:sz w:val="32"/>
          <w:szCs w:val="32"/>
          <w:lang w:val="en-US" w:eastAsia="zh-CN"/>
        </w:rPr>
        <w:t>2024</w:t>
      </w:r>
      <w:r>
        <w:rPr>
          <w:rFonts w:hint="eastAsia" w:ascii="仿宋" w:hAnsi="仿宋" w:eastAsia="仿宋" w:cs="Times New Roman"/>
          <w:sz w:val="32"/>
          <w:szCs w:val="32"/>
        </w:rPr>
        <w:t>年度一般公共预算收入年初预算数</w:t>
      </w:r>
      <w:r>
        <w:rPr>
          <w:rFonts w:hint="eastAsia" w:ascii="仿宋_GB2312" w:hAnsi="仿宋" w:eastAsia="仿宋_GB2312" w:cs="Times New Roman"/>
          <w:sz w:val="32"/>
          <w:szCs w:val="32"/>
          <w:lang w:val="en-US" w:eastAsia="zh-CN"/>
        </w:rPr>
        <w:t>717.33</w:t>
      </w:r>
      <w:r>
        <w:rPr>
          <w:rFonts w:hint="eastAsia" w:ascii="仿宋" w:hAnsi="仿宋" w:eastAsia="仿宋" w:cs="Times New Roman"/>
          <w:sz w:val="32"/>
          <w:szCs w:val="32"/>
        </w:rPr>
        <w:t>万元，财政拨款收入决算数</w:t>
      </w:r>
      <w:r>
        <w:rPr>
          <w:rFonts w:hint="eastAsia" w:ascii="仿宋" w:hAnsi="仿宋" w:eastAsia="仿宋"/>
          <w:sz w:val="32"/>
          <w:szCs w:val="32"/>
          <w:lang w:val="en-US" w:eastAsia="zh-CN"/>
        </w:rPr>
        <w:t>429.62</w:t>
      </w:r>
      <w:r>
        <w:rPr>
          <w:rFonts w:hint="eastAsia" w:ascii="仿宋" w:hAnsi="仿宋" w:eastAsia="仿宋" w:cs="Times New Roman"/>
          <w:sz w:val="32"/>
          <w:szCs w:val="32"/>
        </w:rPr>
        <w:t>万元，比年初预算减少</w:t>
      </w:r>
      <w:r>
        <w:rPr>
          <w:rFonts w:hint="eastAsia" w:ascii="仿宋_GB2312" w:hAnsi="仿宋" w:eastAsia="仿宋_GB2312" w:cs="Times New Roman"/>
          <w:sz w:val="32"/>
          <w:szCs w:val="32"/>
          <w:lang w:val="en-US" w:eastAsia="zh-CN"/>
        </w:rPr>
        <w:t>287.71</w:t>
      </w:r>
      <w:r>
        <w:rPr>
          <w:rFonts w:hint="eastAsia" w:ascii="仿宋" w:hAnsi="仿宋" w:eastAsia="仿宋" w:cs="Times New Roman"/>
          <w:sz w:val="32"/>
          <w:szCs w:val="32"/>
        </w:rPr>
        <w:t>万元，决算数小于年初预算数主要原因是</w:t>
      </w:r>
      <w:r>
        <w:rPr>
          <w:rFonts w:hint="eastAsia" w:ascii="仿宋" w:hAnsi="仿宋" w:eastAsia="仿宋"/>
          <w:sz w:val="32"/>
          <w:szCs w:val="32"/>
        </w:rPr>
        <w:t>按照区财政实际情况及绩效指标设定等因素，支出各项经费。</w:t>
      </w:r>
    </w:p>
    <w:p w14:paraId="409D278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9897C1C">
      <w:pPr>
        <w:pageBreakBefore w:val="0"/>
        <w:kinsoku/>
        <w:wordWrap/>
        <w:overflowPunct/>
        <w:topLinePunct w:val="0"/>
        <w:autoSpaceDE w:val="0"/>
        <w:autoSpaceDN/>
        <w:bidi w:val="0"/>
        <w:adjustRightInd w:val="0"/>
        <w:snapToGrid w:val="0"/>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lang w:val="en-US" w:eastAsia="zh-CN"/>
        </w:rPr>
        <w:t>2024</w:t>
      </w:r>
      <w:r>
        <w:rPr>
          <w:rFonts w:hint="eastAsia" w:ascii="仿宋" w:hAnsi="仿宋" w:eastAsia="仿宋" w:cs="Times New Roman"/>
          <w:sz w:val="32"/>
          <w:szCs w:val="32"/>
        </w:rPr>
        <w:t>年矿区融媒体中心围绕区委、区政府决策部署做好宣传报道，在服务好区委、区政府工作基础上，为我区各项工作开展提供强有力的现场服务和舆论保障；</w:t>
      </w:r>
      <w:r>
        <w:fldChar w:fldCharType="begin"/>
      </w:r>
      <w:r>
        <w:instrText xml:space="preserve"> HYPERLINK "https://www.so.com/link?m=acDI1or31m1iMKLdNM4M+ab/PO9nTZfLxNrx9++TUeFDJVN8PqqkMAZmawc9fraCD5a2r4783lsVv9fYcGkwC6VeH9ZUSj9JUvWhEsOjiqlV7liX9m2pm2r47WSMwyuXrg2JfT9K39jHkuo9rfDLXwDA/qUw33uUEtCo6qyXVPzMyxfo49L9wzs8b+MxCzRInlK58/ZY9eA1AuihrixWscnQc3MOFGbz4d4wIaunEq1E0uWjvqoq4B4pCJyBPFiIvoeTByApU2Qw=" </w:instrText>
      </w:r>
      <w:r>
        <w:fldChar w:fldCharType="separate"/>
      </w:r>
      <w:r>
        <w:rPr>
          <w:rFonts w:hint="eastAsia" w:ascii="仿宋" w:hAnsi="仿宋" w:eastAsia="仿宋" w:cs="Times New Roman"/>
          <w:sz w:val="32"/>
          <w:szCs w:val="32"/>
        </w:rPr>
        <w:t>构建全媒体宣传新矩阵</w:t>
      </w:r>
      <w:r>
        <w:rPr>
          <w:rFonts w:hint="eastAsia" w:ascii="仿宋" w:hAnsi="仿宋" w:eastAsia="仿宋" w:cs="Times New Roman"/>
          <w:sz w:val="32"/>
          <w:szCs w:val="32"/>
        </w:rPr>
        <w:fldChar w:fldCharType="end"/>
      </w:r>
      <w:r>
        <w:rPr>
          <w:rFonts w:hint="eastAsia" w:ascii="仿宋" w:hAnsi="仿宋" w:eastAsia="仿宋" w:cs="Times New Roman"/>
          <w:sz w:val="32"/>
          <w:szCs w:val="32"/>
        </w:rPr>
        <w:t>，推动传统媒体与新兴媒体融合发展，不断扩大党媒覆盖面；完成电视节目创新及设备逐年淘汰和更新，更好的服务于区委、区政府，形成强有力的舆论引导力。</w:t>
      </w:r>
    </w:p>
    <w:p w14:paraId="779117F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035418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4C44618">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区融媒体中心高度重视</w:t>
      </w:r>
      <w:r>
        <w:rPr>
          <w:rFonts w:ascii="仿宋" w:hAnsi="仿宋" w:eastAsia="仿宋" w:cs="Times New Roman"/>
          <w:sz w:val="32"/>
          <w:szCs w:val="32"/>
        </w:rPr>
        <w:t>此项绩效自评工作</w:t>
      </w:r>
      <w:r>
        <w:rPr>
          <w:rFonts w:hint="eastAsia" w:ascii="仿宋" w:hAnsi="仿宋" w:eastAsia="仿宋" w:cs="Times New Roman"/>
          <w:sz w:val="32"/>
          <w:szCs w:val="32"/>
        </w:rPr>
        <w:t>，制定自评工作方案，明确评价内容等。</w:t>
      </w:r>
      <w:r>
        <w:rPr>
          <w:rFonts w:ascii="仿宋" w:hAnsi="仿宋" w:eastAsia="仿宋" w:cs="Times New Roman"/>
          <w:sz w:val="32"/>
          <w:szCs w:val="32"/>
        </w:rPr>
        <w:t>要求各内设科室提前准备相关资料，积极配合做好自评工作。评价以</w:t>
      </w:r>
      <w:r>
        <w:rPr>
          <w:rFonts w:hint="eastAsia" w:ascii="仿宋" w:hAnsi="仿宋" w:eastAsia="仿宋" w:cs="Times New Roman"/>
          <w:sz w:val="32"/>
          <w:szCs w:val="32"/>
          <w:lang w:val="en-US" w:eastAsia="zh-CN"/>
        </w:rPr>
        <w:t>2024</w:t>
      </w:r>
      <w:r>
        <w:rPr>
          <w:rFonts w:ascii="仿宋" w:hAnsi="仿宋" w:eastAsia="仿宋" w:cs="Times New Roman"/>
          <w:sz w:val="32"/>
          <w:szCs w:val="32"/>
        </w:rPr>
        <w:t>年初预算确定的项目绩效目标和绩效指标为依据，通过对相关账目进行核实，对比各绩效指标完成情况，进一步分析和总结，对</w:t>
      </w:r>
      <w:r>
        <w:rPr>
          <w:rFonts w:hint="eastAsia" w:ascii="仿宋" w:hAnsi="仿宋" w:eastAsia="仿宋" w:cs="Times New Roman"/>
          <w:sz w:val="32"/>
          <w:szCs w:val="32"/>
          <w:lang w:val="en-US" w:eastAsia="zh-CN"/>
        </w:rPr>
        <w:t>6</w:t>
      </w:r>
      <w:r>
        <w:rPr>
          <w:rFonts w:ascii="仿宋" w:hAnsi="仿宋" w:eastAsia="仿宋" w:cs="Times New Roman"/>
          <w:sz w:val="32"/>
          <w:szCs w:val="32"/>
        </w:rPr>
        <w:t>个项目进行了自评价，</w:t>
      </w:r>
      <w:r>
        <w:rPr>
          <w:rFonts w:hint="eastAsia" w:ascii="仿宋" w:hAnsi="仿宋" w:eastAsia="仿宋" w:cs="Times New Roman"/>
          <w:sz w:val="32"/>
          <w:szCs w:val="32"/>
        </w:rPr>
        <w:t>并完成填报《202</w:t>
      </w:r>
      <w:r>
        <w:rPr>
          <w:rFonts w:hint="eastAsia" w:ascii="仿宋" w:hAnsi="仿宋" w:eastAsia="仿宋" w:cs="Times New Roman"/>
          <w:sz w:val="32"/>
          <w:szCs w:val="32"/>
          <w:lang w:val="en-US" w:eastAsia="zh-CN"/>
        </w:rPr>
        <w:t>4</w:t>
      </w:r>
      <w:r>
        <w:rPr>
          <w:rFonts w:hint="eastAsia" w:ascii="仿宋" w:hAnsi="仿宋" w:eastAsia="仿宋" w:cs="Times New Roman"/>
          <w:sz w:val="32"/>
          <w:szCs w:val="32"/>
        </w:rPr>
        <w:t>年区级项目绩效自评表》及相关工作报告等绩效内容。</w:t>
      </w:r>
    </w:p>
    <w:p w14:paraId="57FBF390">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EB059B8">
      <w:pPr>
        <w:pageBreakBefore w:val="0"/>
        <w:kinsoku/>
        <w:wordWrap/>
        <w:overflowPunct/>
        <w:topLinePunct w:val="0"/>
        <w:autoSpaceDE w:val="0"/>
        <w:autoSpaceDN/>
        <w:bidi w:val="0"/>
        <w:spacing w:line="600" w:lineRule="exact"/>
        <w:ind w:left="319" w:leftChars="152" w:firstLine="320" w:firstLineChars="100"/>
        <w:textAlignment w:val="auto"/>
        <w:rPr>
          <w:rFonts w:ascii="仿宋" w:hAnsi="仿宋" w:eastAsia="仿宋"/>
          <w:sz w:val="32"/>
          <w:szCs w:val="32"/>
        </w:rPr>
      </w:pPr>
      <w:r>
        <w:rPr>
          <w:rFonts w:hint="eastAsia" w:ascii="仿宋" w:hAnsi="仿宋" w:eastAsia="仿宋"/>
          <w:sz w:val="32"/>
          <w:szCs w:val="32"/>
        </w:rPr>
        <w:t>本次绩效评价证据收集办法包括了：研究、分析项目业务科</w:t>
      </w:r>
    </w:p>
    <w:p w14:paraId="288A6749">
      <w:pPr>
        <w:pageBreakBefore w:val="0"/>
        <w:kinsoku/>
        <w:wordWrap/>
        <w:overflowPunct/>
        <w:topLinePunct w:val="0"/>
        <w:autoSpaceDN/>
        <w:bidi w:val="0"/>
        <w:spacing w:line="600" w:lineRule="exact"/>
        <w:textAlignment w:val="auto"/>
        <w:rPr>
          <w:szCs w:val="21"/>
        </w:rPr>
      </w:pPr>
      <w:r>
        <w:rPr>
          <w:rFonts w:hint="eastAsia" w:ascii="仿宋" w:hAnsi="仿宋" w:eastAsia="仿宋"/>
          <w:sz w:val="32"/>
          <w:szCs w:val="32"/>
        </w:rPr>
        <w:t>室提供的相关文件；整理汇总项目业务科室提供的项目合同及相关资料等；根据业务科室提供的基础数据表逐项进行核实；根据项目服务对象的满意度情况汇总。项目在前期的调研基础上，完成了项目绩效评价工作方案，设计了指标体系、评价标准等相关方面，明确了评价的目的、方法，评价原则。项目严格按照工作方案，通过调研、相关文件的解读、数据采集、文件调查、数据分析、指标评分和撰写的环节，顺利完成了本次绩效评价工作。</w:t>
      </w:r>
      <w:r>
        <w:rPr>
          <w:rFonts w:hint="eastAsia" w:ascii="仿宋" w:hAnsi="仿宋" w:eastAsia="仿宋" w:cs="楷体_GB2312"/>
          <w:b/>
          <w:bCs/>
          <w:sz w:val="32"/>
          <w:szCs w:val="32"/>
        </w:rPr>
        <w:t xml:space="preserve">   </w:t>
      </w:r>
    </w:p>
    <w:p w14:paraId="5BF0B457">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C4B07FE">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2055F08">
      <w:pPr>
        <w:pStyle w:val="10"/>
        <w:pageBreakBefore w:val="0"/>
        <w:kinsoku/>
        <w:wordWrap/>
        <w:overflowPunct/>
        <w:topLinePunct w:val="0"/>
        <w:autoSpaceDE w:val="0"/>
        <w:autoSpaceDN/>
        <w:bidi w:val="0"/>
        <w:spacing w:line="600" w:lineRule="exact"/>
        <w:ind w:firstLine="640"/>
        <w:textAlignment w:val="auto"/>
        <w:rPr>
          <w:rFonts w:ascii="仿宋" w:hAnsi="仿宋" w:eastAsia="仿宋"/>
          <w:sz w:val="32"/>
          <w:szCs w:val="32"/>
        </w:rPr>
      </w:pPr>
      <w:r>
        <w:rPr>
          <w:rFonts w:hint="eastAsia" w:ascii="仿宋" w:hAnsi="仿宋" w:eastAsia="仿宋"/>
          <w:sz w:val="32"/>
          <w:szCs w:val="32"/>
        </w:rPr>
        <w:t>参与本次评价的项目共计</w:t>
      </w:r>
      <w:r>
        <w:rPr>
          <w:rFonts w:hint="eastAsia" w:ascii="仿宋" w:hAnsi="仿宋" w:eastAsia="仿宋"/>
          <w:sz w:val="32"/>
          <w:szCs w:val="32"/>
          <w:lang w:val="en-US" w:eastAsia="zh-CN"/>
        </w:rPr>
        <w:t>6</w:t>
      </w:r>
      <w:r>
        <w:rPr>
          <w:rFonts w:hint="eastAsia" w:ascii="仿宋" w:hAnsi="仿宋" w:eastAsia="仿宋"/>
          <w:sz w:val="32"/>
          <w:szCs w:val="32"/>
        </w:rPr>
        <w:t>个，包括：专项水电费</w:t>
      </w:r>
      <w:r>
        <w:rPr>
          <w:rFonts w:hint="eastAsia" w:ascii="仿宋" w:hAnsi="仿宋" w:eastAsia="仿宋"/>
          <w:sz w:val="32"/>
          <w:szCs w:val="32"/>
          <w:lang w:eastAsia="zh-CN"/>
        </w:rPr>
        <w:t>、</w:t>
      </w:r>
      <w:r>
        <w:rPr>
          <w:rFonts w:hint="eastAsia" w:ascii="仿宋" w:hAnsi="仿宋" w:eastAsia="仿宋"/>
          <w:sz w:val="32"/>
          <w:szCs w:val="32"/>
        </w:rPr>
        <w:t>劳务派遣经费、IPTV线路租赁及设备终端费、宣传工作经费等共计</w:t>
      </w:r>
      <w:r>
        <w:rPr>
          <w:rFonts w:hint="eastAsia" w:ascii="仿宋" w:hAnsi="仿宋" w:eastAsia="仿宋"/>
          <w:sz w:val="32"/>
          <w:szCs w:val="32"/>
          <w:lang w:val="en-US" w:eastAsia="zh-CN"/>
        </w:rPr>
        <w:t>6</w:t>
      </w:r>
      <w:r>
        <w:rPr>
          <w:rFonts w:hint="eastAsia" w:ascii="仿宋" w:hAnsi="仿宋" w:eastAsia="仿宋"/>
          <w:sz w:val="32"/>
          <w:szCs w:val="32"/>
        </w:rPr>
        <w:t>个项目，整体绩效工作完成较好。</w:t>
      </w:r>
    </w:p>
    <w:p w14:paraId="254AFCA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30C1836">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cs="Times New Roman"/>
          <w:sz w:val="32"/>
          <w:szCs w:val="32"/>
        </w:rPr>
      </w:pPr>
      <w:r>
        <w:rPr>
          <w:rFonts w:hint="eastAsia" w:ascii="仿宋" w:hAnsi="仿宋" w:eastAsia="仿宋" w:cs="Times New Roman"/>
          <w:sz w:val="32"/>
          <w:szCs w:val="32"/>
        </w:rPr>
        <w:t>1.预算执行情况。</w:t>
      </w:r>
      <w:r>
        <w:rPr>
          <w:rFonts w:hint="eastAsia" w:ascii="仿宋" w:hAnsi="仿宋" w:eastAsia="仿宋" w:cs="Times New Roman"/>
          <w:sz w:val="32"/>
          <w:szCs w:val="32"/>
          <w:lang w:val="en-US" w:eastAsia="zh-CN"/>
        </w:rPr>
        <w:t>2024年财政拨款收入429.62万元，其中：一般公共预算收入429.62万元。2024年支出429.62万元，其中基本支出301.42万元，项目支出128.2万元。</w:t>
      </w:r>
    </w:p>
    <w:p w14:paraId="6866F2BA">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cs="Times New Roman"/>
          <w:sz w:val="32"/>
          <w:szCs w:val="32"/>
        </w:rPr>
      </w:pPr>
      <w:r>
        <w:rPr>
          <w:rFonts w:hint="eastAsia" w:ascii="仿宋" w:hAnsi="仿宋" w:eastAsia="仿宋" w:cs="Times New Roman"/>
          <w:sz w:val="32"/>
          <w:szCs w:val="32"/>
        </w:rPr>
        <w:t xml:space="preserve"> (</w:t>
      </w:r>
      <w:r>
        <w:rPr>
          <w:rFonts w:hint="eastAsia" w:ascii="仿宋" w:hAnsi="仿宋" w:eastAsia="仿宋" w:cs="Times New Roman"/>
          <w:sz w:val="32"/>
          <w:szCs w:val="32"/>
          <w:lang w:val="en-US" w:eastAsia="zh-CN"/>
        </w:rPr>
        <w:t>1</w:t>
      </w:r>
      <w:r>
        <w:rPr>
          <w:rFonts w:hint="eastAsia" w:ascii="仿宋" w:hAnsi="仿宋" w:eastAsia="仿宋" w:cs="Times New Roman"/>
          <w:sz w:val="32"/>
          <w:szCs w:val="32"/>
        </w:rPr>
        <w:t>)IPTV线路租赁及设备终端费</w:t>
      </w:r>
    </w:p>
    <w:p w14:paraId="14DB8A9F">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cs="Times New Roman"/>
          <w:sz w:val="32"/>
          <w:szCs w:val="32"/>
        </w:rPr>
      </w:pPr>
      <w:r>
        <w:rPr>
          <w:rFonts w:hint="eastAsia" w:ascii="仿宋" w:hAnsi="仿宋" w:eastAsia="仿宋" w:cs="Times New Roman"/>
          <w:sz w:val="32"/>
          <w:szCs w:val="32"/>
        </w:rPr>
        <w:t>1.资金支出进度</w:t>
      </w:r>
    </w:p>
    <w:p w14:paraId="28446FF2">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该项目年初预算3.6万元，支出3.6万元，总体支出进度100%</w:t>
      </w:r>
    </w:p>
    <w:p w14:paraId="4516BC2E">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2.产出指标和效益指标完成情况</w:t>
      </w:r>
    </w:p>
    <w:p w14:paraId="3F6BC4B9">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按照全年预算计划，IPTV 线路租赁及设备终端费全年预算 3.6 万元，已按照合同内容全部按照进度完成支付。</w:t>
      </w:r>
    </w:p>
    <w:p w14:paraId="024BCD28">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绩效指标为4个，评价等级为优秀。</w:t>
      </w:r>
    </w:p>
    <w:p w14:paraId="32C2DAD9">
      <w:pPr>
        <w:pageBreakBefore w:val="0"/>
        <w:kinsoku/>
        <w:wordWrap/>
        <w:overflowPunct/>
        <w:topLinePunct w:val="0"/>
        <w:autoSpaceDE w:val="0"/>
        <w:autoSpaceDN/>
        <w:bidi w:val="0"/>
        <w:snapToGrid w:val="0"/>
        <w:spacing w:line="600" w:lineRule="exact"/>
        <w:ind w:firstLine="320" w:firstLineChars="100"/>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val="en-US" w:eastAsia="zh-CN"/>
        </w:rPr>
        <w:t>2</w:t>
      </w:r>
      <w:r>
        <w:rPr>
          <w:rFonts w:ascii="仿宋" w:hAnsi="仿宋" w:eastAsia="仿宋"/>
          <w:sz w:val="32"/>
          <w:szCs w:val="32"/>
        </w:rPr>
        <w:t>）</w:t>
      </w:r>
      <w:r>
        <w:rPr>
          <w:rFonts w:hint="eastAsia" w:ascii="仿宋" w:hAnsi="仿宋" w:eastAsia="仿宋"/>
          <w:sz w:val="32"/>
          <w:szCs w:val="32"/>
        </w:rPr>
        <w:t>专项水电费</w:t>
      </w:r>
    </w:p>
    <w:p w14:paraId="5E3C3796">
      <w:pPr>
        <w:pageBreakBefore w:val="0"/>
        <w:kinsoku/>
        <w:wordWrap/>
        <w:overflowPunct/>
        <w:topLinePunct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1.资金支出进度</w:t>
      </w:r>
    </w:p>
    <w:p w14:paraId="3915DB38">
      <w:pPr>
        <w:pageBreakBefore w:val="0"/>
        <w:kinsoku/>
        <w:wordWrap/>
        <w:overflowPunct/>
        <w:topLinePunct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该项目调整预算数0.</w:t>
      </w:r>
      <w:r>
        <w:rPr>
          <w:rFonts w:hint="eastAsia" w:ascii="仿宋" w:hAnsi="仿宋" w:eastAsia="仿宋"/>
          <w:sz w:val="32"/>
          <w:szCs w:val="32"/>
          <w:lang w:val="en-US" w:eastAsia="zh-CN"/>
        </w:rPr>
        <w:t>63</w:t>
      </w:r>
      <w:r>
        <w:rPr>
          <w:rFonts w:hint="eastAsia" w:ascii="仿宋" w:hAnsi="仿宋" w:eastAsia="仿宋"/>
          <w:sz w:val="32"/>
          <w:szCs w:val="32"/>
        </w:rPr>
        <w:t>万元，支出0.</w:t>
      </w:r>
      <w:r>
        <w:rPr>
          <w:rFonts w:hint="eastAsia" w:ascii="仿宋" w:hAnsi="仿宋" w:eastAsia="仿宋"/>
          <w:sz w:val="32"/>
          <w:szCs w:val="32"/>
          <w:lang w:val="en-US" w:eastAsia="zh-CN"/>
        </w:rPr>
        <w:t>63</w:t>
      </w:r>
      <w:r>
        <w:rPr>
          <w:rFonts w:hint="eastAsia" w:ascii="仿宋" w:hAnsi="仿宋" w:eastAsia="仿宋"/>
          <w:sz w:val="32"/>
          <w:szCs w:val="32"/>
        </w:rPr>
        <w:t>万元，总体支出进度</w:t>
      </w:r>
      <w:r>
        <w:rPr>
          <w:rFonts w:hint="eastAsia" w:ascii="仿宋" w:hAnsi="仿宋" w:eastAsia="仿宋"/>
          <w:sz w:val="32"/>
          <w:szCs w:val="32"/>
          <w:lang w:val="en-US" w:eastAsia="zh-CN"/>
        </w:rPr>
        <w:t>100</w:t>
      </w:r>
      <w:r>
        <w:rPr>
          <w:rFonts w:hint="eastAsia" w:ascii="仿宋" w:hAnsi="仿宋" w:eastAsia="仿宋"/>
          <w:sz w:val="32"/>
          <w:szCs w:val="32"/>
        </w:rPr>
        <w:t>%</w:t>
      </w:r>
    </w:p>
    <w:p w14:paraId="55FBE591">
      <w:pPr>
        <w:pageBreakBefore w:val="0"/>
        <w:kinsoku/>
        <w:wordWrap/>
        <w:overflowPunct/>
        <w:topLinePunct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2.产出指标和效益指标完成情况</w:t>
      </w:r>
    </w:p>
    <w:p w14:paraId="57C3C4A3">
      <w:pPr>
        <w:pageBreakBefore w:val="0"/>
        <w:kinsoku/>
        <w:wordWrap/>
        <w:overflowPunct/>
        <w:topLinePunct w:val="0"/>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按照专项水电费项目的实际情况，已全部用于我单位用水用电，保障融媒体中心电视播出信号等工作正常运行。按照区财政实际情况，财政下拨经费</w:t>
      </w:r>
      <w:r>
        <w:rPr>
          <w:rFonts w:hint="eastAsia" w:ascii="仿宋" w:hAnsi="仿宋" w:eastAsia="仿宋"/>
          <w:sz w:val="32"/>
          <w:szCs w:val="32"/>
          <w:lang w:val="en-US" w:eastAsia="zh-CN"/>
        </w:rPr>
        <w:t>0.63</w:t>
      </w:r>
      <w:r>
        <w:rPr>
          <w:rFonts w:hint="eastAsia" w:ascii="仿宋" w:hAnsi="仿宋" w:eastAsia="仿宋"/>
          <w:sz w:val="32"/>
          <w:szCs w:val="32"/>
        </w:rPr>
        <w:t>万元，已全部用于日常用水用电等工作实际支出。</w:t>
      </w:r>
    </w:p>
    <w:p w14:paraId="0490A258">
      <w:pPr>
        <w:pageBreakBefore w:val="0"/>
        <w:kinsoku/>
        <w:wordWrap/>
        <w:overflowPunct/>
        <w:topLinePunct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绩效指标为4个，评价等级为</w:t>
      </w:r>
      <w:r>
        <w:rPr>
          <w:rFonts w:hint="eastAsia" w:ascii="仿宋" w:hAnsi="仿宋" w:eastAsia="仿宋"/>
          <w:sz w:val="32"/>
          <w:szCs w:val="32"/>
          <w:lang w:val="en-US" w:eastAsia="zh-CN"/>
        </w:rPr>
        <w:t>优秀</w:t>
      </w:r>
      <w:r>
        <w:rPr>
          <w:rFonts w:hint="eastAsia" w:ascii="仿宋" w:hAnsi="仿宋" w:eastAsia="仿宋"/>
          <w:sz w:val="32"/>
          <w:szCs w:val="32"/>
        </w:rPr>
        <w:t>。</w:t>
      </w:r>
    </w:p>
    <w:p w14:paraId="7D935012">
      <w:pPr>
        <w:pageBreakBefore w:val="0"/>
        <w:kinsoku/>
        <w:wordWrap/>
        <w:overflowPunct/>
        <w:topLinePunct w:val="0"/>
        <w:autoSpaceDE w:val="0"/>
        <w:autoSpaceDN/>
        <w:bidi w:val="0"/>
        <w:snapToGrid w:val="0"/>
        <w:spacing w:line="600" w:lineRule="exact"/>
        <w:ind w:firstLine="320" w:firstLineChars="100"/>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val="en-US" w:eastAsia="zh-CN"/>
        </w:rPr>
        <w:t>3</w:t>
      </w:r>
      <w:r>
        <w:rPr>
          <w:rFonts w:ascii="仿宋" w:hAnsi="仿宋" w:eastAsia="仿宋"/>
          <w:sz w:val="32"/>
          <w:szCs w:val="32"/>
        </w:rPr>
        <w:t>）</w:t>
      </w:r>
      <w:r>
        <w:rPr>
          <w:rFonts w:hint="eastAsia" w:ascii="仿宋" w:hAnsi="仿宋" w:eastAsia="仿宋"/>
          <w:sz w:val="32"/>
          <w:szCs w:val="32"/>
        </w:rPr>
        <w:t>宣传工作经费</w:t>
      </w:r>
    </w:p>
    <w:p w14:paraId="640868FA">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1.资金支出进度</w:t>
      </w:r>
    </w:p>
    <w:p w14:paraId="798DCB30">
      <w:pPr>
        <w:pageBreakBefore w:val="0"/>
        <w:kinsoku/>
        <w:wordWrap/>
        <w:overflowPunct/>
        <w:topLinePunct w:val="0"/>
        <w:autoSpaceDN/>
        <w:bidi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该项目调整预算数</w:t>
      </w:r>
      <w:r>
        <w:rPr>
          <w:rFonts w:hint="eastAsia" w:ascii="仿宋" w:hAnsi="仿宋" w:eastAsia="仿宋"/>
          <w:sz w:val="32"/>
          <w:szCs w:val="32"/>
          <w:lang w:val="en-US" w:eastAsia="zh-CN"/>
        </w:rPr>
        <w:t>1.7</w:t>
      </w:r>
      <w:r>
        <w:rPr>
          <w:rFonts w:hint="eastAsia" w:ascii="仿宋" w:hAnsi="仿宋" w:eastAsia="仿宋"/>
          <w:sz w:val="32"/>
          <w:szCs w:val="32"/>
        </w:rPr>
        <w:t>万元，支出</w:t>
      </w:r>
      <w:r>
        <w:rPr>
          <w:rFonts w:hint="eastAsia" w:ascii="仿宋" w:hAnsi="仿宋" w:eastAsia="仿宋"/>
          <w:sz w:val="32"/>
          <w:szCs w:val="32"/>
          <w:lang w:val="en-US" w:eastAsia="zh-CN"/>
        </w:rPr>
        <w:t>1.7</w:t>
      </w:r>
      <w:r>
        <w:rPr>
          <w:rFonts w:hint="eastAsia" w:ascii="仿宋" w:hAnsi="仿宋" w:eastAsia="仿宋"/>
          <w:sz w:val="32"/>
          <w:szCs w:val="32"/>
        </w:rPr>
        <w:t>万元，总体支出进度</w:t>
      </w:r>
      <w:r>
        <w:rPr>
          <w:rFonts w:hint="eastAsia" w:ascii="仿宋" w:hAnsi="仿宋" w:eastAsia="仿宋"/>
          <w:sz w:val="32"/>
          <w:szCs w:val="32"/>
          <w:lang w:val="en-US" w:eastAsia="zh-CN"/>
        </w:rPr>
        <w:t>100</w:t>
      </w:r>
      <w:r>
        <w:rPr>
          <w:rFonts w:hint="eastAsia" w:ascii="仿宋" w:hAnsi="仿宋" w:eastAsia="仿宋"/>
          <w:sz w:val="32"/>
          <w:szCs w:val="32"/>
        </w:rPr>
        <w:t>%</w:t>
      </w:r>
    </w:p>
    <w:p w14:paraId="11851005">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2.产出指标和效益指标完成情况</w:t>
      </w:r>
    </w:p>
    <w:p w14:paraId="36514B4A">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用于围绕全区重点中心工作拍摄制作专题片，专题片头AE等特效制作，提高重点工作宣传度；专题栏目后期包装等相关新闻宣传经费，保障宣传工作顺利开展。按照区财政实际情况，宣传工作经费项目已全部完成支出。</w:t>
      </w:r>
    </w:p>
    <w:p w14:paraId="761EC002">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绩效指标为4个，评价等级为优秀。</w:t>
      </w:r>
    </w:p>
    <w:p w14:paraId="0FC7DCFE">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)劳务派遣</w:t>
      </w:r>
    </w:p>
    <w:p w14:paraId="090FDA92">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1.资金支出进度</w:t>
      </w:r>
    </w:p>
    <w:p w14:paraId="5B23BE85">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该项目的</w:t>
      </w:r>
      <w:r>
        <w:rPr>
          <w:rFonts w:hint="eastAsia" w:ascii="仿宋" w:hAnsi="仿宋" w:eastAsia="仿宋"/>
          <w:sz w:val="32"/>
          <w:szCs w:val="32"/>
          <w:lang w:val="en-US" w:eastAsia="zh-CN"/>
        </w:rPr>
        <w:t>调整</w:t>
      </w:r>
      <w:r>
        <w:rPr>
          <w:rFonts w:hint="eastAsia" w:ascii="仿宋" w:hAnsi="仿宋" w:eastAsia="仿宋"/>
          <w:sz w:val="32"/>
          <w:szCs w:val="32"/>
        </w:rPr>
        <w:t>预算数是</w:t>
      </w:r>
      <w:r>
        <w:rPr>
          <w:rFonts w:hint="eastAsia" w:ascii="仿宋" w:hAnsi="仿宋" w:eastAsia="仿宋"/>
          <w:sz w:val="32"/>
          <w:szCs w:val="32"/>
          <w:lang w:val="en-US" w:eastAsia="zh-CN"/>
        </w:rPr>
        <w:t>68.485461</w:t>
      </w:r>
      <w:r>
        <w:rPr>
          <w:rFonts w:hint="eastAsia" w:ascii="仿宋" w:hAnsi="仿宋" w:eastAsia="仿宋"/>
          <w:sz w:val="32"/>
          <w:szCs w:val="32"/>
        </w:rPr>
        <w:t>万元，支出</w:t>
      </w:r>
      <w:r>
        <w:rPr>
          <w:rFonts w:hint="eastAsia" w:ascii="仿宋" w:hAnsi="仿宋" w:eastAsia="仿宋"/>
          <w:sz w:val="32"/>
          <w:szCs w:val="32"/>
          <w:lang w:val="en-US" w:eastAsia="zh-CN"/>
        </w:rPr>
        <w:t>68.485461</w:t>
      </w:r>
      <w:r>
        <w:rPr>
          <w:rFonts w:hint="eastAsia" w:ascii="仿宋" w:hAnsi="仿宋" w:eastAsia="仿宋"/>
          <w:sz w:val="32"/>
          <w:szCs w:val="32"/>
        </w:rPr>
        <w:t>万元，总体支出进度</w:t>
      </w:r>
      <w:r>
        <w:rPr>
          <w:rFonts w:hint="eastAsia" w:ascii="仿宋" w:hAnsi="仿宋" w:eastAsia="仿宋"/>
          <w:sz w:val="32"/>
          <w:szCs w:val="32"/>
          <w:lang w:val="en-US" w:eastAsia="zh-CN"/>
        </w:rPr>
        <w:t>100</w:t>
      </w:r>
      <w:r>
        <w:rPr>
          <w:rFonts w:hint="eastAsia" w:ascii="仿宋" w:hAnsi="仿宋" w:eastAsia="仿宋"/>
          <w:sz w:val="32"/>
          <w:szCs w:val="32"/>
        </w:rPr>
        <w:t>%</w:t>
      </w:r>
    </w:p>
    <w:p w14:paraId="5B754F04">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2.产出指标和效益指标完成情况</w:t>
      </w:r>
    </w:p>
    <w:p w14:paraId="3752D4D0">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劳务派遣项目经费用于劳务派遣人员工资、保险等相关经费支出。我单位按月支付融媒体中心劳务派遣人员的工资、保险等，全年共计支付</w:t>
      </w:r>
      <w:r>
        <w:rPr>
          <w:rFonts w:hint="eastAsia" w:ascii="仿宋" w:hAnsi="仿宋" w:eastAsia="仿宋"/>
          <w:sz w:val="32"/>
          <w:szCs w:val="32"/>
          <w:lang w:val="en-US" w:eastAsia="zh-CN"/>
        </w:rPr>
        <w:t>68.485461</w:t>
      </w:r>
      <w:r>
        <w:rPr>
          <w:rFonts w:hint="eastAsia" w:ascii="仿宋" w:hAnsi="仿宋" w:eastAsia="仿宋"/>
          <w:sz w:val="32"/>
          <w:szCs w:val="32"/>
        </w:rPr>
        <w:t>万元，第四度按进度已全部拨付完成。</w:t>
      </w:r>
    </w:p>
    <w:p w14:paraId="641B7707">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绩效指标为4个，评价等级为优秀。</w:t>
      </w:r>
    </w:p>
    <w:p w14:paraId="3643D33D">
      <w:pPr>
        <w:pageBreakBefore w:val="0"/>
        <w:kinsoku/>
        <w:wordWrap/>
        <w:overflowPunct/>
        <w:topLinePunct w:val="0"/>
        <w:autoSpaceDE w:val="0"/>
        <w:autoSpaceDN/>
        <w:bidi w:val="0"/>
        <w:snapToGrid w:val="0"/>
        <w:spacing w:line="600" w:lineRule="exact"/>
        <w:ind w:firstLine="320" w:firstLineChars="100"/>
        <w:textAlignment w:val="auto"/>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lang w:val="en-US" w:eastAsia="zh-CN"/>
        </w:rPr>
        <w:t>5</w:t>
      </w:r>
      <w:r>
        <w:rPr>
          <w:rFonts w:ascii="仿宋" w:hAnsi="仿宋" w:eastAsia="仿宋"/>
          <w:sz w:val="32"/>
          <w:szCs w:val="32"/>
        </w:rPr>
        <w:t>）</w:t>
      </w:r>
      <w:r>
        <w:rPr>
          <w:rFonts w:hint="eastAsia" w:ascii="仿宋" w:hAnsi="仿宋" w:eastAsia="仿宋"/>
          <w:sz w:val="32"/>
          <w:szCs w:val="32"/>
        </w:rPr>
        <w:t>融媒体中心搬迁升级及监理</w:t>
      </w:r>
    </w:p>
    <w:p w14:paraId="31EC54C0">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1.资金支出进度</w:t>
      </w:r>
    </w:p>
    <w:p w14:paraId="3DC5C97D">
      <w:pPr>
        <w:pageBreakBefore w:val="0"/>
        <w:kinsoku/>
        <w:wordWrap/>
        <w:overflowPunct/>
        <w:topLinePunct w:val="0"/>
        <w:autoSpaceDN/>
        <w:bidi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该项目调整预算数50.22681万元，支出50.22681万元。</w:t>
      </w:r>
    </w:p>
    <w:p w14:paraId="2854EED4">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2.产出指标和效益指标完成情况</w:t>
      </w:r>
    </w:p>
    <w:p w14:paraId="2EF2B056">
      <w:pPr>
        <w:pageBreakBefore w:val="0"/>
        <w:kinsoku/>
        <w:wordWrap/>
        <w:overflowPunct/>
        <w:topLinePunct w:val="0"/>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为推动媒体融合发展，巩固壮大主流思想舆论阵地，对融媒体中心进行搬迁升级。区融媒体中心搬迁升级项目，用于新址整体软硬件设备购置更新升级及新址环境改造，项目内容包括：矿区融媒体中心新址空间改造与融媒体功能业务区改造、广电系统迁移与升级和软件建设等。</w:t>
      </w:r>
    </w:p>
    <w:p w14:paraId="04638786">
      <w:pPr>
        <w:pageBreakBefore w:val="0"/>
        <w:kinsoku/>
        <w:wordWrap/>
        <w:overflowPunct/>
        <w:topLinePunct w:val="0"/>
        <w:autoSpaceDN/>
        <w:bidi w:val="0"/>
        <w:spacing w:line="600" w:lineRule="exact"/>
        <w:ind w:firstLine="640" w:firstLineChars="200"/>
        <w:textAlignment w:val="auto"/>
      </w:pPr>
      <w:r>
        <w:rPr>
          <w:rFonts w:hint="eastAsia" w:ascii="仿宋" w:hAnsi="仿宋" w:eastAsia="仿宋"/>
          <w:sz w:val="32"/>
          <w:szCs w:val="32"/>
        </w:rPr>
        <w:t>绩效指标为4个，评价等级为</w:t>
      </w:r>
      <w:r>
        <w:rPr>
          <w:rFonts w:hint="eastAsia" w:ascii="仿宋" w:hAnsi="仿宋" w:eastAsia="仿宋"/>
          <w:sz w:val="32"/>
          <w:szCs w:val="32"/>
          <w:lang w:val="en-US" w:eastAsia="zh-CN"/>
        </w:rPr>
        <w:t>优秀</w:t>
      </w:r>
      <w:r>
        <w:rPr>
          <w:rFonts w:hint="eastAsia" w:ascii="仿宋" w:hAnsi="仿宋" w:eastAsia="仿宋"/>
          <w:sz w:val="32"/>
          <w:szCs w:val="32"/>
        </w:rPr>
        <w:t>。</w:t>
      </w:r>
    </w:p>
    <w:p w14:paraId="5CB3D48F">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是贯穿预算绩效管理始终的一条主线，是预算资金安排、绩效跟踪和绩效评价的重要依据，根据相关文件要求，我单位所有项目均设定了绩效目标，涉及产出指标和效益指标，但存在绩效指标不够健全、可评性不高、具体指标缺乏量化等问题，主要原因是对绩效目标的认识不够，制定多样化和细化的评价指标和标准需要在实践中不断完善。</w:t>
      </w:r>
    </w:p>
    <w:p w14:paraId="54E4B21D">
      <w:pPr>
        <w:pageBreakBefore w:val="0"/>
        <w:numPr>
          <w:ilvl w:val="0"/>
          <w:numId w:val="4"/>
        </w:numPr>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保安经费</w:t>
      </w:r>
    </w:p>
    <w:p w14:paraId="25422FE9">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1.资金支出进度</w:t>
      </w:r>
    </w:p>
    <w:p w14:paraId="65FFA7F7">
      <w:pPr>
        <w:pageBreakBefore w:val="0"/>
        <w:kinsoku/>
        <w:wordWrap/>
        <w:overflowPunct/>
        <w:topLinePunct w:val="0"/>
        <w:autoSpaceDN/>
        <w:bidi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该项目调整预算数3.552万元，支出3.552万元。</w:t>
      </w:r>
    </w:p>
    <w:p w14:paraId="744B6A69">
      <w:pPr>
        <w:pageBreakBefore w:val="0"/>
        <w:kinsoku/>
        <w:wordWrap/>
        <w:overflowPunct/>
        <w:topLinePunct w:val="0"/>
        <w:autoSpaceDE w:val="0"/>
        <w:autoSpaceDN/>
        <w:bidi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2.产出指标和效益指标完成情况</w:t>
      </w:r>
    </w:p>
    <w:p w14:paraId="4D80A52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按照</w:t>
      </w:r>
      <w:r>
        <w:rPr>
          <w:rFonts w:hint="eastAsia" w:ascii="仿宋" w:hAnsi="仿宋" w:eastAsia="仿宋"/>
          <w:sz w:val="32"/>
          <w:szCs w:val="32"/>
          <w:lang w:val="en-US" w:eastAsia="zh-CN"/>
        </w:rPr>
        <w:t>本单位工作</w:t>
      </w:r>
      <w:r>
        <w:rPr>
          <w:rFonts w:hint="eastAsia" w:ascii="仿宋" w:hAnsi="仿宋" w:eastAsia="仿宋"/>
          <w:sz w:val="32"/>
          <w:szCs w:val="32"/>
        </w:rPr>
        <w:t>实际需要，井陉矿区融媒体中心特申请保安经费项目预算经费，全部用于</w:t>
      </w:r>
      <w:r>
        <w:rPr>
          <w:rFonts w:hint="eastAsia" w:ascii="仿宋" w:hAnsi="仿宋" w:eastAsia="仿宋"/>
          <w:sz w:val="32"/>
          <w:szCs w:val="32"/>
          <w:lang w:val="en-US" w:eastAsia="zh-CN"/>
        </w:rPr>
        <w:t>单位门岗人员支出</w:t>
      </w:r>
      <w:r>
        <w:rPr>
          <w:rFonts w:hint="eastAsia" w:ascii="仿宋" w:hAnsi="仿宋" w:eastAsia="仿宋"/>
          <w:sz w:val="32"/>
          <w:szCs w:val="32"/>
        </w:rPr>
        <w:t>，保障融媒体中心</w:t>
      </w:r>
      <w:r>
        <w:rPr>
          <w:rFonts w:hint="eastAsia" w:ascii="仿宋" w:hAnsi="仿宋" w:eastAsia="仿宋"/>
          <w:sz w:val="32"/>
          <w:szCs w:val="32"/>
          <w:lang w:val="en-US" w:eastAsia="zh-CN"/>
        </w:rPr>
        <w:t>工作有序开展</w:t>
      </w:r>
      <w:r>
        <w:rPr>
          <w:rFonts w:hint="eastAsia" w:ascii="仿宋" w:hAnsi="仿宋" w:eastAsia="仿宋"/>
          <w:sz w:val="32"/>
          <w:szCs w:val="32"/>
        </w:rPr>
        <w:t>。按区财政实际情况，调整预算数</w:t>
      </w:r>
      <w:r>
        <w:rPr>
          <w:rFonts w:hint="eastAsia" w:ascii="仿宋" w:hAnsi="仿宋" w:eastAsia="仿宋"/>
          <w:sz w:val="32"/>
          <w:szCs w:val="32"/>
          <w:lang w:val="en-US" w:eastAsia="zh-CN"/>
        </w:rPr>
        <w:t>3.552</w:t>
      </w:r>
      <w:r>
        <w:rPr>
          <w:rFonts w:hint="eastAsia" w:ascii="仿宋" w:hAnsi="仿宋" w:eastAsia="仿宋"/>
          <w:sz w:val="32"/>
          <w:szCs w:val="32"/>
        </w:rPr>
        <w:t>万元，下拨经费</w:t>
      </w:r>
      <w:r>
        <w:rPr>
          <w:rFonts w:hint="eastAsia" w:ascii="仿宋" w:hAnsi="仿宋" w:eastAsia="仿宋"/>
          <w:sz w:val="32"/>
          <w:szCs w:val="32"/>
          <w:lang w:val="en-US" w:eastAsia="zh-CN"/>
        </w:rPr>
        <w:t>3.552</w:t>
      </w:r>
      <w:r>
        <w:rPr>
          <w:rFonts w:hint="eastAsia" w:ascii="仿宋" w:hAnsi="仿宋" w:eastAsia="仿宋"/>
          <w:sz w:val="32"/>
          <w:szCs w:val="32"/>
        </w:rPr>
        <w:t>万元，已全部用于</w:t>
      </w:r>
      <w:r>
        <w:rPr>
          <w:rFonts w:hint="eastAsia" w:ascii="仿宋" w:hAnsi="仿宋" w:eastAsia="仿宋"/>
          <w:sz w:val="32"/>
          <w:szCs w:val="32"/>
          <w:lang w:val="en-US" w:eastAsia="zh-CN"/>
        </w:rPr>
        <w:t>门岗人员</w:t>
      </w:r>
      <w:r>
        <w:rPr>
          <w:rFonts w:hint="eastAsia" w:ascii="仿宋" w:hAnsi="仿宋" w:eastAsia="仿宋"/>
          <w:sz w:val="32"/>
          <w:szCs w:val="32"/>
        </w:rPr>
        <w:t>支出。</w:t>
      </w:r>
    </w:p>
    <w:p w14:paraId="4207A16E">
      <w:pPr>
        <w:pageBreakBefore w:val="0"/>
        <w:kinsoku/>
        <w:wordWrap/>
        <w:overflowPunct/>
        <w:topLinePunct w:val="0"/>
        <w:autoSpaceDN/>
        <w:bidi w:val="0"/>
        <w:spacing w:line="600" w:lineRule="exact"/>
        <w:ind w:firstLine="640" w:firstLineChars="200"/>
        <w:textAlignment w:val="auto"/>
      </w:pPr>
      <w:r>
        <w:rPr>
          <w:rFonts w:hint="eastAsia" w:ascii="仿宋" w:hAnsi="仿宋" w:eastAsia="仿宋"/>
          <w:sz w:val="32"/>
          <w:szCs w:val="32"/>
        </w:rPr>
        <w:t>绩效指标为4个，评价等级为</w:t>
      </w:r>
      <w:r>
        <w:rPr>
          <w:rFonts w:hint="eastAsia" w:ascii="仿宋" w:hAnsi="仿宋" w:eastAsia="仿宋"/>
          <w:sz w:val="32"/>
          <w:szCs w:val="32"/>
          <w:lang w:val="en-US" w:eastAsia="zh-CN"/>
        </w:rPr>
        <w:t>优秀</w:t>
      </w:r>
      <w:r>
        <w:rPr>
          <w:rFonts w:hint="eastAsia" w:ascii="仿宋" w:hAnsi="仿宋" w:eastAsia="仿宋"/>
          <w:sz w:val="32"/>
          <w:szCs w:val="32"/>
        </w:rPr>
        <w:t>。</w:t>
      </w:r>
    </w:p>
    <w:p w14:paraId="535CEFB0">
      <w:pPr>
        <w:pageBreakBefore w:val="0"/>
        <w:kinsoku/>
        <w:wordWrap/>
        <w:overflowPunct/>
        <w:topLinePunct w:val="0"/>
        <w:autoSpaceDE w:val="0"/>
        <w:autoSpaceDN/>
        <w:bidi w:val="0"/>
        <w:snapToGrid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绩效目标是贯穿预算绩效管理始终的一条主线，是预算资金安排、绩效跟踪和绩效评价的重要依据，根据相关文件要求，我单位所有项目均设定了绩效目标，涉及产出指标和效益指标，但存在绩效指标不够健全、可评性不高、具体指标缺乏量化等问题，主要原因是对绩效目标的认识不够，制定多样化和细化的评价指标和标准需要在实践中不断完善。</w:t>
      </w:r>
    </w:p>
    <w:p w14:paraId="4CEF4B0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5ACA747">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69BC6E7F">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F90BB35">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561CD71">
      <w:pPr>
        <w:pageBreakBefore w:val="0"/>
        <w:kinsoku/>
        <w:wordWrap/>
        <w:overflowPunct/>
        <w:topLinePunct w:val="0"/>
        <w:autoSpaceDN/>
        <w:bidi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在绩效自评过程中，我单位的项目支出绩效管理存在以下问题：</w:t>
      </w:r>
    </w:p>
    <w:p w14:paraId="2ED597F9">
      <w:pPr>
        <w:pageBreakBefore w:val="0"/>
        <w:kinsoku/>
        <w:wordWrap/>
        <w:overflowPunct/>
        <w:topLinePunct w:val="0"/>
        <w:autoSpaceDN/>
        <w:bidi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一是预算执行进度和效率有待加强。年终执行项目绩效会因资金未到位、项目调整等客观因素导致年终未能按时完成绩效目标或影响预算执行进度情况。</w:t>
      </w:r>
    </w:p>
    <w:p w14:paraId="59D64AAF">
      <w:pPr>
        <w:pageBreakBefore w:val="0"/>
        <w:kinsoku/>
        <w:wordWrap/>
        <w:overflowPunct/>
        <w:topLinePunct w:val="0"/>
        <w:autoSpaceDN/>
        <w:bidi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二是年初预算编制精细化不够。</w:t>
      </w:r>
    </w:p>
    <w:p w14:paraId="1ED5BC57">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2F0C585">
      <w:pPr>
        <w:pageBreakBefore w:val="0"/>
        <w:kinsoku/>
        <w:wordWrap/>
        <w:overflowPunct/>
        <w:topLinePunct w:val="0"/>
        <w:autoSpaceDE w:val="0"/>
        <w:autoSpaceDN/>
        <w:bidi w:val="0"/>
        <w:spacing w:line="600" w:lineRule="exact"/>
        <w:ind w:firstLine="640" w:firstLineChars="200"/>
        <w:textAlignment w:val="auto"/>
        <w:rPr>
          <w:rFonts w:ascii="仿宋" w:hAnsi="仿宋" w:eastAsia="仿宋"/>
          <w:sz w:val="32"/>
          <w:szCs w:val="32"/>
        </w:rPr>
      </w:pPr>
      <w:r>
        <w:rPr>
          <w:rFonts w:hint="eastAsia" w:ascii="楷体" w:hAnsi="楷体" w:eastAsia="楷体"/>
          <w:bCs/>
          <w:sz w:val="32"/>
          <w:szCs w:val="32"/>
          <w:lang w:val="en-US" w:eastAsia="zh-CN"/>
        </w:rPr>
        <w:t xml:space="preserve"> </w:t>
      </w:r>
      <w:r>
        <w:rPr>
          <w:rFonts w:hint="eastAsia" w:ascii="仿宋" w:hAnsi="仿宋" w:eastAsia="仿宋"/>
          <w:sz w:val="32"/>
          <w:szCs w:val="32"/>
        </w:rPr>
        <w:t>针对绩效自评存在的问题，我单位积极采取措施，分别从以下方面进行改进：</w:t>
      </w:r>
    </w:p>
    <w:p w14:paraId="2D19387F">
      <w:pPr>
        <w:pageBreakBefore w:val="0"/>
        <w:kinsoku/>
        <w:wordWrap/>
        <w:overflowPunct/>
        <w:topLinePunct w:val="0"/>
        <w:autoSpaceDE w:val="0"/>
        <w:autoSpaceDN/>
        <w:bidi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是切实加快预算执行进度，密切关注目标任务开展情况，提升资金使用效率，确保实际工作切合绩效目标。今后我单位将严格预算执行进度的相关要求，督促各业务科室加快项目实施进度，适时调整自身工作方向和内容，确保绩效目标得到全面贯彻执行，切实加大预算执行力度，提高预算资金使用效率，确保年底全部执行完所有的预算指标，全面完成单位年初制定的各项目标任务。若因客观因素未能完成绩效目标，则严格按照区财政绩效目标调整要求，及时调整年初制定的绩效指标，确保绩效目标顺利完成。</w:t>
      </w:r>
    </w:p>
    <w:p w14:paraId="5DBB7AAE">
      <w:pPr>
        <w:pageBreakBefore w:val="0"/>
        <w:kinsoku/>
        <w:wordWrap/>
        <w:overflowPunct/>
        <w:topLinePunct w:val="0"/>
        <w:autoSpaceDE w:val="0"/>
        <w:autoSpaceDN/>
        <w:bidi w:val="0"/>
        <w:spacing w:line="60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二是深化预算执行率与预算编制有机结合。将上一年预算执行情况作为下一年预算编制的重要依据，对预算执行缓慢的处室，严格控制其下一年预算资金。</w:t>
      </w:r>
    </w:p>
    <w:p w14:paraId="1DA3919B">
      <w:pPr>
        <w:pageBreakBefore w:val="0"/>
        <w:kinsoku/>
        <w:wordWrap/>
        <w:overflowPunct/>
        <w:topLinePunct w:val="0"/>
        <w:autoSpaceDE w:val="0"/>
        <w:autoSpaceDN/>
        <w:bidi w:val="0"/>
        <w:spacing w:line="600" w:lineRule="exact"/>
        <w:ind w:firstLine="640" w:firstLineChars="200"/>
        <w:textAlignment w:val="auto"/>
        <w:rPr>
          <w:rFonts w:hint="eastAsia" w:ascii="仿宋" w:hAnsi="仿宋" w:eastAsia="仿宋"/>
          <w:sz w:val="32"/>
          <w:szCs w:val="32"/>
        </w:rPr>
      </w:pPr>
    </w:p>
    <w:p w14:paraId="1B9CFBA3">
      <w:pPr>
        <w:pageBreakBefore w:val="0"/>
        <w:kinsoku/>
        <w:wordWrap/>
        <w:overflowPunct/>
        <w:topLinePunct w:val="0"/>
        <w:autoSpaceDE w:val="0"/>
        <w:autoSpaceDN/>
        <w:bidi w:val="0"/>
        <w:spacing w:line="600" w:lineRule="exact"/>
        <w:ind w:firstLine="640" w:firstLineChars="200"/>
        <w:textAlignment w:val="auto"/>
        <w:rPr>
          <w:rFonts w:hint="eastAsia" w:ascii="仿宋" w:hAnsi="仿宋" w:eastAsia="仿宋"/>
          <w:sz w:val="32"/>
          <w:szCs w:val="32"/>
        </w:rPr>
      </w:pPr>
    </w:p>
    <w:p w14:paraId="35774ACF">
      <w:pPr>
        <w:pageBreakBefore w:val="0"/>
        <w:kinsoku/>
        <w:wordWrap/>
        <w:overflowPunct/>
        <w:topLinePunct w:val="0"/>
        <w:autoSpaceDE w:val="0"/>
        <w:autoSpaceDN/>
        <w:bidi w:val="0"/>
        <w:spacing w:line="600" w:lineRule="exact"/>
        <w:ind w:firstLine="640" w:firstLineChars="200"/>
        <w:textAlignment w:val="auto"/>
        <w:rPr>
          <w:rFonts w:hint="eastAsia" w:ascii="仿宋" w:hAnsi="仿宋" w:eastAsia="仿宋"/>
          <w:sz w:val="32"/>
          <w:szCs w:val="32"/>
        </w:rPr>
      </w:pPr>
    </w:p>
    <w:p w14:paraId="5F567312">
      <w:pPr>
        <w:pageBreakBefore w:val="0"/>
        <w:kinsoku/>
        <w:wordWrap/>
        <w:overflowPunct/>
        <w:topLinePunct w:val="0"/>
        <w:autoSpaceDE w:val="0"/>
        <w:autoSpaceDN/>
        <w:bidi w:val="0"/>
        <w:spacing w:line="600" w:lineRule="exact"/>
        <w:ind w:firstLine="640" w:firstLineChars="200"/>
        <w:textAlignment w:val="auto"/>
        <w:rPr>
          <w:rFonts w:hint="eastAsia" w:ascii="仿宋" w:hAnsi="仿宋" w:eastAsia="仿宋"/>
          <w:sz w:val="32"/>
          <w:szCs w:val="32"/>
        </w:rPr>
      </w:pPr>
    </w:p>
    <w:p w14:paraId="55821446">
      <w:pPr>
        <w:pageBreakBefore w:val="0"/>
        <w:kinsoku/>
        <w:wordWrap/>
        <w:overflowPunct/>
        <w:topLinePunct w:val="0"/>
        <w:autoSpaceDE w:val="0"/>
        <w:autoSpaceDN/>
        <w:bidi w:val="0"/>
        <w:spacing w:line="600" w:lineRule="exact"/>
        <w:ind w:firstLine="640" w:firstLineChars="200"/>
        <w:textAlignment w:val="auto"/>
        <w:rPr>
          <w:rFonts w:hint="eastAsia" w:ascii="仿宋" w:hAnsi="仿宋" w:eastAsia="仿宋"/>
          <w:sz w:val="32"/>
          <w:szCs w:val="32"/>
        </w:rPr>
      </w:pPr>
    </w:p>
    <w:p w14:paraId="0F029E16">
      <w:pPr>
        <w:numPr>
          <w:ilvl w:val="0"/>
          <w:numId w:val="5"/>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46D33162">
      <w:pPr>
        <w:widowControl w:val="0"/>
        <w:numPr>
          <w:ilvl w:val="0"/>
          <w:numId w:val="0"/>
        </w:numPr>
        <w:adjustRightInd w:val="0"/>
        <w:snapToGrid w:val="0"/>
        <w:spacing w:line="560" w:lineRule="exact"/>
        <w:jc w:val="center"/>
        <w:rPr>
          <w:rFonts w:hint="eastAsia" w:ascii="仿宋" w:hAnsi="仿宋" w:eastAsia="仿宋"/>
          <w:sz w:val="36"/>
          <w:szCs w:val="36"/>
        </w:rPr>
      </w:pPr>
      <w:r>
        <w:rPr>
          <w:rFonts w:hint="eastAsia" w:ascii="仿宋" w:hAnsi="仿宋" w:eastAsia="仿宋"/>
          <w:sz w:val="36"/>
          <w:szCs w:val="36"/>
        </w:rPr>
        <w:t>评价工作组人员名单</w:t>
      </w:r>
    </w:p>
    <w:p w14:paraId="211DF80B">
      <w:pPr>
        <w:keepNext w:val="0"/>
        <w:keepLines w:val="0"/>
        <w:pageBreakBefore w:val="0"/>
        <w:widowControl w:val="0"/>
        <w:numPr>
          <w:ilvl w:val="0"/>
          <w:numId w:val="0"/>
        </w:numPr>
        <w:kinsoku/>
        <w:wordWrap/>
        <w:overflowPunct/>
        <w:topLinePunct w:val="0"/>
        <w:autoSpaceDE/>
        <w:autoSpaceDN/>
        <w:bidi w:val="0"/>
        <w:adjustRightInd w:val="0"/>
        <w:snapToGrid w:val="0"/>
        <w:spacing w:line="400" w:lineRule="exact"/>
        <w:jc w:val="center"/>
        <w:textAlignment w:val="auto"/>
        <w:rPr>
          <w:rFonts w:hint="eastAsia" w:ascii="仿宋" w:hAnsi="仿宋" w:eastAsia="仿宋"/>
          <w:sz w:val="36"/>
          <w:szCs w:val="36"/>
        </w:rPr>
      </w:pPr>
    </w:p>
    <w:tbl>
      <w:tblPr>
        <w:tblStyle w:val="8"/>
        <w:tblW w:w="9500" w:type="dxa"/>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4"/>
        <w:gridCol w:w="1150"/>
        <w:gridCol w:w="2950"/>
        <w:gridCol w:w="2966"/>
        <w:gridCol w:w="1500"/>
      </w:tblGrid>
      <w:tr w14:paraId="7BC81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8" w:hRule="atLeast"/>
        </w:trPr>
        <w:tc>
          <w:tcPr>
            <w:tcW w:w="934" w:type="dxa"/>
            <w:tcBorders>
              <w:top w:val="single" w:color="auto" w:sz="4" w:space="0"/>
              <w:left w:val="single" w:color="auto" w:sz="4" w:space="0"/>
              <w:bottom w:val="single" w:color="auto" w:sz="4" w:space="0"/>
              <w:right w:val="single" w:color="auto" w:sz="4" w:space="0"/>
            </w:tcBorders>
            <w:vAlign w:val="center"/>
          </w:tcPr>
          <w:p w14:paraId="02B14453">
            <w:pPr>
              <w:autoSpaceDE w:val="0"/>
              <w:spacing w:line="560" w:lineRule="exact"/>
              <w:jc w:val="center"/>
              <w:rPr>
                <w:rFonts w:ascii="仿宋" w:hAnsi="仿宋" w:eastAsia="仿宋"/>
                <w:sz w:val="30"/>
                <w:szCs w:val="30"/>
              </w:rPr>
            </w:pPr>
            <w:r>
              <w:rPr>
                <w:rFonts w:hint="eastAsia" w:ascii="仿宋" w:hAnsi="仿宋" w:eastAsia="仿宋"/>
                <w:sz w:val="30"/>
                <w:szCs w:val="30"/>
              </w:rPr>
              <w:t>序号</w:t>
            </w:r>
          </w:p>
        </w:tc>
        <w:tc>
          <w:tcPr>
            <w:tcW w:w="1150" w:type="dxa"/>
            <w:tcBorders>
              <w:top w:val="single" w:color="auto" w:sz="4" w:space="0"/>
              <w:left w:val="single" w:color="auto" w:sz="4" w:space="0"/>
              <w:bottom w:val="single" w:color="auto" w:sz="4" w:space="0"/>
              <w:right w:val="single" w:color="auto" w:sz="4" w:space="0"/>
            </w:tcBorders>
            <w:vAlign w:val="center"/>
          </w:tcPr>
          <w:p w14:paraId="6DFBE0F2">
            <w:pPr>
              <w:autoSpaceDE w:val="0"/>
              <w:spacing w:line="560" w:lineRule="exact"/>
              <w:jc w:val="center"/>
              <w:rPr>
                <w:rFonts w:ascii="仿宋" w:hAnsi="仿宋" w:eastAsia="仿宋"/>
                <w:sz w:val="30"/>
                <w:szCs w:val="30"/>
              </w:rPr>
            </w:pPr>
            <w:r>
              <w:rPr>
                <w:rFonts w:hint="eastAsia" w:ascii="仿宋" w:hAnsi="仿宋" w:eastAsia="仿宋"/>
                <w:sz w:val="30"/>
                <w:szCs w:val="30"/>
              </w:rPr>
              <w:t>姓名</w:t>
            </w:r>
          </w:p>
        </w:tc>
        <w:tc>
          <w:tcPr>
            <w:tcW w:w="2950" w:type="dxa"/>
            <w:tcBorders>
              <w:top w:val="single" w:color="auto" w:sz="4" w:space="0"/>
              <w:left w:val="single" w:color="auto" w:sz="4" w:space="0"/>
              <w:bottom w:val="single" w:color="auto" w:sz="4" w:space="0"/>
              <w:right w:val="single" w:color="auto" w:sz="4" w:space="0"/>
            </w:tcBorders>
            <w:vAlign w:val="center"/>
          </w:tcPr>
          <w:p w14:paraId="3F490742">
            <w:pPr>
              <w:autoSpaceDE w:val="0"/>
              <w:spacing w:line="560" w:lineRule="exact"/>
              <w:jc w:val="center"/>
              <w:rPr>
                <w:rFonts w:ascii="仿宋" w:hAnsi="仿宋" w:eastAsia="仿宋"/>
                <w:sz w:val="30"/>
                <w:szCs w:val="30"/>
              </w:rPr>
            </w:pPr>
            <w:r>
              <w:rPr>
                <w:rFonts w:hint="eastAsia" w:ascii="仿宋" w:hAnsi="仿宋" w:eastAsia="仿宋"/>
                <w:sz w:val="30"/>
                <w:szCs w:val="30"/>
              </w:rPr>
              <w:t>工作单位</w:t>
            </w:r>
          </w:p>
        </w:tc>
        <w:tc>
          <w:tcPr>
            <w:tcW w:w="2966" w:type="dxa"/>
            <w:tcBorders>
              <w:top w:val="single" w:color="auto" w:sz="4" w:space="0"/>
              <w:left w:val="single" w:color="auto" w:sz="4" w:space="0"/>
              <w:bottom w:val="single" w:color="auto" w:sz="4" w:space="0"/>
              <w:right w:val="single" w:color="auto" w:sz="4" w:space="0"/>
            </w:tcBorders>
            <w:vAlign w:val="center"/>
          </w:tcPr>
          <w:p w14:paraId="2AA3B0EF">
            <w:pPr>
              <w:autoSpaceDE w:val="0"/>
              <w:spacing w:line="560" w:lineRule="exact"/>
              <w:jc w:val="center"/>
              <w:rPr>
                <w:rFonts w:ascii="仿宋" w:hAnsi="仿宋" w:eastAsia="仿宋"/>
                <w:sz w:val="30"/>
                <w:szCs w:val="30"/>
              </w:rPr>
            </w:pPr>
            <w:r>
              <w:rPr>
                <w:rFonts w:hint="eastAsia" w:ascii="仿宋" w:hAnsi="仿宋" w:eastAsia="仿宋"/>
                <w:sz w:val="30"/>
                <w:szCs w:val="30"/>
              </w:rPr>
              <w:t>职务</w:t>
            </w:r>
          </w:p>
        </w:tc>
        <w:tc>
          <w:tcPr>
            <w:tcW w:w="1500" w:type="dxa"/>
            <w:tcBorders>
              <w:top w:val="single" w:color="auto" w:sz="4" w:space="0"/>
              <w:left w:val="single" w:color="auto" w:sz="4" w:space="0"/>
              <w:bottom w:val="single" w:color="auto" w:sz="4" w:space="0"/>
              <w:right w:val="single" w:color="auto" w:sz="4" w:space="0"/>
            </w:tcBorders>
            <w:vAlign w:val="center"/>
          </w:tcPr>
          <w:p w14:paraId="58C01C79">
            <w:pPr>
              <w:autoSpaceDE w:val="0"/>
              <w:spacing w:line="560" w:lineRule="exact"/>
              <w:jc w:val="center"/>
              <w:rPr>
                <w:rFonts w:ascii="仿宋" w:hAnsi="仿宋" w:eastAsia="仿宋"/>
                <w:sz w:val="30"/>
                <w:szCs w:val="30"/>
              </w:rPr>
            </w:pPr>
            <w:r>
              <w:rPr>
                <w:rFonts w:hint="eastAsia" w:ascii="仿宋" w:hAnsi="仿宋" w:eastAsia="仿宋"/>
                <w:sz w:val="30"/>
                <w:szCs w:val="30"/>
              </w:rPr>
              <w:t>签名</w:t>
            </w:r>
          </w:p>
        </w:tc>
      </w:tr>
      <w:tr w14:paraId="5568E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trPr>
        <w:tc>
          <w:tcPr>
            <w:tcW w:w="934" w:type="dxa"/>
            <w:tcBorders>
              <w:top w:val="single" w:color="auto" w:sz="4" w:space="0"/>
              <w:left w:val="single" w:color="auto" w:sz="4" w:space="0"/>
              <w:bottom w:val="single" w:color="auto" w:sz="4" w:space="0"/>
              <w:right w:val="single" w:color="auto" w:sz="4" w:space="0"/>
            </w:tcBorders>
            <w:vAlign w:val="center"/>
          </w:tcPr>
          <w:p w14:paraId="301DBBA6">
            <w:pPr>
              <w:autoSpaceDE w:val="0"/>
              <w:spacing w:line="560" w:lineRule="exact"/>
              <w:jc w:val="center"/>
              <w:rPr>
                <w:rFonts w:ascii="仿宋" w:hAnsi="仿宋" w:eastAsia="仿宋"/>
                <w:sz w:val="30"/>
                <w:szCs w:val="30"/>
              </w:rPr>
            </w:pPr>
            <w:r>
              <w:rPr>
                <w:rFonts w:hint="eastAsia" w:ascii="仿宋" w:hAnsi="仿宋" w:eastAsia="仿宋"/>
                <w:sz w:val="30"/>
                <w:szCs w:val="30"/>
              </w:rPr>
              <w:t>1</w:t>
            </w:r>
          </w:p>
        </w:tc>
        <w:tc>
          <w:tcPr>
            <w:tcW w:w="1150" w:type="dxa"/>
            <w:tcBorders>
              <w:top w:val="single" w:color="auto" w:sz="4" w:space="0"/>
              <w:left w:val="single" w:color="auto" w:sz="4" w:space="0"/>
              <w:bottom w:val="single" w:color="auto" w:sz="4" w:space="0"/>
              <w:right w:val="single" w:color="auto" w:sz="4" w:space="0"/>
            </w:tcBorders>
            <w:vAlign w:val="center"/>
          </w:tcPr>
          <w:p w14:paraId="0A6B98D6">
            <w:pPr>
              <w:autoSpaceDE w:val="0"/>
              <w:spacing w:line="560" w:lineRule="exact"/>
              <w:jc w:val="center"/>
              <w:rPr>
                <w:rFonts w:ascii="仿宋" w:hAnsi="仿宋" w:eastAsia="仿宋"/>
                <w:sz w:val="30"/>
                <w:szCs w:val="30"/>
                <w:highlight w:val="yellow"/>
              </w:rPr>
            </w:pPr>
            <w:r>
              <w:rPr>
                <w:rFonts w:hint="eastAsia" w:ascii="仿宋" w:hAnsi="仿宋" w:eastAsia="仿宋"/>
                <w:sz w:val="30"/>
                <w:szCs w:val="30"/>
                <w:highlight w:val="none"/>
                <w:lang w:val="en-US" w:eastAsia="zh-CN"/>
              </w:rPr>
              <w:t>李永强</w:t>
            </w:r>
          </w:p>
        </w:tc>
        <w:tc>
          <w:tcPr>
            <w:tcW w:w="2950" w:type="dxa"/>
            <w:tcBorders>
              <w:top w:val="single" w:color="auto" w:sz="4" w:space="0"/>
              <w:left w:val="single" w:color="auto" w:sz="4" w:space="0"/>
              <w:bottom w:val="single" w:color="auto" w:sz="4" w:space="0"/>
              <w:right w:val="single" w:color="auto" w:sz="4" w:space="0"/>
            </w:tcBorders>
            <w:vAlign w:val="center"/>
          </w:tcPr>
          <w:p w14:paraId="1EDE4F17">
            <w:pPr>
              <w:autoSpaceDE w:val="0"/>
              <w:spacing w:line="560" w:lineRule="exact"/>
              <w:jc w:val="center"/>
              <w:rPr>
                <w:rFonts w:ascii="仿宋" w:hAnsi="仿宋" w:eastAsia="仿宋"/>
                <w:sz w:val="30"/>
                <w:szCs w:val="30"/>
                <w:highlight w:val="yellow"/>
              </w:rPr>
            </w:pPr>
            <w:r>
              <w:rPr>
                <w:rFonts w:hint="eastAsia" w:ascii="仿宋" w:hAnsi="仿宋" w:eastAsia="仿宋"/>
                <w:sz w:val="30"/>
                <w:szCs w:val="30"/>
                <w:lang w:val="en-US" w:eastAsia="zh-CN"/>
              </w:rPr>
              <w:t>井陉矿区委</w:t>
            </w:r>
            <w:r>
              <w:rPr>
                <w:rFonts w:hint="eastAsia" w:ascii="仿宋" w:hAnsi="仿宋" w:eastAsia="仿宋"/>
                <w:sz w:val="30"/>
                <w:szCs w:val="30"/>
              </w:rPr>
              <w:t>宣传部</w:t>
            </w:r>
          </w:p>
        </w:tc>
        <w:tc>
          <w:tcPr>
            <w:tcW w:w="2966" w:type="dxa"/>
            <w:tcBorders>
              <w:top w:val="single" w:color="auto" w:sz="4" w:space="0"/>
              <w:left w:val="single" w:color="auto" w:sz="4" w:space="0"/>
              <w:bottom w:val="single" w:color="auto" w:sz="4" w:space="0"/>
              <w:right w:val="single" w:color="auto" w:sz="4" w:space="0"/>
            </w:tcBorders>
            <w:vAlign w:val="center"/>
          </w:tcPr>
          <w:p w14:paraId="65F8AEE7">
            <w:pPr>
              <w:autoSpaceDE w:val="0"/>
              <w:spacing w:line="560" w:lineRule="exact"/>
              <w:jc w:val="left"/>
              <w:rPr>
                <w:rFonts w:ascii="仿宋" w:hAnsi="仿宋" w:eastAsia="仿宋"/>
                <w:sz w:val="30"/>
                <w:szCs w:val="30"/>
                <w:highlight w:val="yellow"/>
              </w:rPr>
            </w:pPr>
            <w:r>
              <w:rPr>
                <w:rFonts w:hint="eastAsia" w:ascii="仿宋" w:hAnsi="仿宋" w:eastAsia="仿宋"/>
                <w:sz w:val="30"/>
                <w:szCs w:val="30"/>
                <w:lang w:val="en-US" w:eastAsia="zh-CN"/>
              </w:rPr>
              <w:t>井陉矿区委</w:t>
            </w:r>
            <w:r>
              <w:rPr>
                <w:rFonts w:hint="eastAsia" w:ascii="仿宋" w:hAnsi="仿宋" w:eastAsia="仿宋"/>
                <w:sz w:val="30"/>
                <w:szCs w:val="30"/>
              </w:rPr>
              <w:t>宣传部</w:t>
            </w:r>
            <w:r>
              <w:rPr>
                <w:rFonts w:hint="eastAsia" w:ascii="仿宋" w:hAnsi="仿宋" w:eastAsia="仿宋"/>
                <w:sz w:val="30"/>
                <w:szCs w:val="30"/>
                <w:lang w:val="en-US" w:eastAsia="zh-CN"/>
              </w:rPr>
              <w:t>常务副</w:t>
            </w:r>
            <w:r>
              <w:rPr>
                <w:rFonts w:hint="eastAsia" w:ascii="仿宋" w:hAnsi="仿宋" w:eastAsia="仿宋"/>
                <w:sz w:val="30"/>
                <w:szCs w:val="30"/>
              </w:rPr>
              <w:t>部长</w:t>
            </w:r>
            <w:r>
              <w:rPr>
                <w:rFonts w:hint="eastAsia" w:ascii="仿宋" w:hAnsi="仿宋" w:eastAsia="仿宋"/>
                <w:sz w:val="30"/>
                <w:szCs w:val="30"/>
                <w:lang w:eastAsia="zh-CN"/>
              </w:rPr>
              <w:t>（</w:t>
            </w:r>
            <w:r>
              <w:rPr>
                <w:rFonts w:hint="eastAsia" w:ascii="仿宋" w:hAnsi="仿宋" w:eastAsia="仿宋"/>
                <w:sz w:val="30"/>
                <w:szCs w:val="30"/>
                <w:lang w:val="en-US" w:eastAsia="zh-CN"/>
              </w:rPr>
              <w:t>代管区融媒体中心</w:t>
            </w:r>
            <w:r>
              <w:rPr>
                <w:rFonts w:hint="eastAsia" w:ascii="仿宋" w:hAnsi="仿宋" w:eastAsia="仿宋"/>
                <w:sz w:val="30"/>
                <w:szCs w:val="30"/>
                <w:lang w:eastAsia="zh-CN"/>
              </w:rPr>
              <w:t>）</w:t>
            </w:r>
          </w:p>
        </w:tc>
        <w:tc>
          <w:tcPr>
            <w:tcW w:w="1500" w:type="dxa"/>
            <w:tcBorders>
              <w:top w:val="single" w:color="auto" w:sz="4" w:space="0"/>
              <w:left w:val="single" w:color="auto" w:sz="4" w:space="0"/>
              <w:bottom w:val="single" w:color="auto" w:sz="4" w:space="0"/>
              <w:right w:val="single" w:color="auto" w:sz="4" w:space="0"/>
            </w:tcBorders>
            <w:vAlign w:val="center"/>
          </w:tcPr>
          <w:p w14:paraId="01058E9E">
            <w:pPr>
              <w:tabs>
                <w:tab w:val="left" w:pos="400"/>
              </w:tabs>
              <w:autoSpaceDE w:val="0"/>
              <w:spacing w:line="560" w:lineRule="exact"/>
              <w:jc w:val="left"/>
              <w:rPr>
                <w:rFonts w:hint="eastAsia" w:ascii="仿宋" w:hAnsi="仿宋" w:eastAsia="仿宋"/>
                <w:sz w:val="30"/>
                <w:szCs w:val="30"/>
                <w:lang w:eastAsia="zh-CN"/>
              </w:rPr>
            </w:pPr>
            <w:r>
              <w:rPr>
                <w:rFonts w:hint="eastAsia" w:ascii="仿宋" w:hAnsi="仿宋" w:eastAsia="仿宋"/>
                <w:sz w:val="30"/>
                <w:szCs w:val="30"/>
                <w:lang w:eastAsia="zh-CN"/>
              </w:rPr>
              <w:tab/>
            </w:r>
            <w:bookmarkStart w:id="0" w:name="_GoBack"/>
            <w:bookmarkEnd w:id="0"/>
          </w:p>
        </w:tc>
      </w:tr>
      <w:tr w14:paraId="41B1D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trPr>
        <w:tc>
          <w:tcPr>
            <w:tcW w:w="934" w:type="dxa"/>
            <w:tcBorders>
              <w:top w:val="single" w:color="auto" w:sz="4" w:space="0"/>
              <w:left w:val="single" w:color="auto" w:sz="4" w:space="0"/>
              <w:bottom w:val="single" w:color="auto" w:sz="4" w:space="0"/>
              <w:right w:val="single" w:color="auto" w:sz="4" w:space="0"/>
            </w:tcBorders>
            <w:vAlign w:val="center"/>
          </w:tcPr>
          <w:p w14:paraId="1F561626">
            <w:pPr>
              <w:autoSpaceDE w:val="0"/>
              <w:spacing w:line="560" w:lineRule="exact"/>
              <w:jc w:val="center"/>
              <w:rPr>
                <w:rFonts w:ascii="仿宋" w:hAnsi="仿宋" w:eastAsia="仿宋"/>
                <w:sz w:val="30"/>
                <w:szCs w:val="30"/>
              </w:rPr>
            </w:pPr>
            <w:r>
              <w:rPr>
                <w:rFonts w:hint="eastAsia" w:ascii="仿宋" w:hAnsi="仿宋" w:eastAsia="仿宋"/>
                <w:sz w:val="30"/>
                <w:szCs w:val="30"/>
              </w:rPr>
              <w:t>2</w:t>
            </w:r>
          </w:p>
        </w:tc>
        <w:tc>
          <w:tcPr>
            <w:tcW w:w="1150" w:type="dxa"/>
            <w:tcBorders>
              <w:top w:val="single" w:color="auto" w:sz="4" w:space="0"/>
              <w:left w:val="single" w:color="auto" w:sz="4" w:space="0"/>
              <w:bottom w:val="single" w:color="auto" w:sz="4" w:space="0"/>
              <w:right w:val="single" w:color="auto" w:sz="4" w:space="0"/>
            </w:tcBorders>
            <w:vAlign w:val="center"/>
          </w:tcPr>
          <w:p w14:paraId="694911F1">
            <w:pPr>
              <w:autoSpaceDE w:val="0"/>
              <w:spacing w:line="560" w:lineRule="exact"/>
              <w:jc w:val="center"/>
              <w:rPr>
                <w:rFonts w:ascii="仿宋" w:hAnsi="仿宋" w:eastAsia="仿宋"/>
                <w:sz w:val="30"/>
                <w:szCs w:val="30"/>
              </w:rPr>
            </w:pPr>
            <w:r>
              <w:rPr>
                <w:rFonts w:hint="eastAsia" w:ascii="仿宋" w:hAnsi="仿宋" w:eastAsia="仿宋"/>
                <w:sz w:val="30"/>
                <w:szCs w:val="30"/>
              </w:rPr>
              <w:t>于斌</w:t>
            </w:r>
          </w:p>
        </w:tc>
        <w:tc>
          <w:tcPr>
            <w:tcW w:w="2950" w:type="dxa"/>
            <w:tcBorders>
              <w:top w:val="single" w:color="auto" w:sz="4" w:space="0"/>
              <w:left w:val="single" w:color="auto" w:sz="4" w:space="0"/>
              <w:bottom w:val="single" w:color="auto" w:sz="4" w:space="0"/>
              <w:right w:val="single" w:color="auto" w:sz="4" w:space="0"/>
            </w:tcBorders>
            <w:vAlign w:val="center"/>
          </w:tcPr>
          <w:p w14:paraId="66B6C025">
            <w:pPr>
              <w:autoSpaceDE w:val="0"/>
              <w:spacing w:line="560" w:lineRule="exact"/>
              <w:jc w:val="center"/>
              <w:rPr>
                <w:rFonts w:ascii="仿宋" w:hAnsi="仿宋" w:eastAsia="仿宋"/>
                <w:sz w:val="30"/>
                <w:szCs w:val="30"/>
              </w:rPr>
            </w:pPr>
            <w:r>
              <w:rPr>
                <w:rFonts w:hint="eastAsia" w:ascii="仿宋" w:hAnsi="仿宋" w:eastAsia="仿宋"/>
                <w:sz w:val="30"/>
                <w:szCs w:val="30"/>
              </w:rPr>
              <w:t>井陉矿区融媒体中心</w:t>
            </w:r>
          </w:p>
        </w:tc>
        <w:tc>
          <w:tcPr>
            <w:tcW w:w="2966" w:type="dxa"/>
            <w:tcBorders>
              <w:top w:val="single" w:color="auto" w:sz="4" w:space="0"/>
              <w:left w:val="single" w:color="auto" w:sz="4" w:space="0"/>
              <w:bottom w:val="single" w:color="auto" w:sz="4" w:space="0"/>
              <w:right w:val="single" w:color="auto" w:sz="4" w:space="0"/>
            </w:tcBorders>
            <w:vAlign w:val="center"/>
          </w:tcPr>
          <w:p w14:paraId="061107EC">
            <w:pPr>
              <w:autoSpaceDE w:val="0"/>
              <w:spacing w:line="560" w:lineRule="exact"/>
              <w:jc w:val="center"/>
              <w:rPr>
                <w:rFonts w:ascii="仿宋" w:hAnsi="仿宋" w:eastAsia="仿宋"/>
                <w:sz w:val="30"/>
                <w:szCs w:val="30"/>
              </w:rPr>
            </w:pPr>
            <w:r>
              <w:rPr>
                <w:rFonts w:hint="eastAsia" w:ascii="仿宋" w:hAnsi="仿宋" w:eastAsia="仿宋"/>
                <w:sz w:val="30"/>
                <w:szCs w:val="30"/>
              </w:rPr>
              <w:t>区融媒体中心副主任兼总编辑</w:t>
            </w:r>
          </w:p>
        </w:tc>
        <w:tc>
          <w:tcPr>
            <w:tcW w:w="1500" w:type="dxa"/>
            <w:tcBorders>
              <w:top w:val="single" w:color="auto" w:sz="4" w:space="0"/>
              <w:left w:val="single" w:color="auto" w:sz="4" w:space="0"/>
              <w:bottom w:val="single" w:color="auto" w:sz="4" w:space="0"/>
              <w:right w:val="single" w:color="auto" w:sz="4" w:space="0"/>
            </w:tcBorders>
            <w:vAlign w:val="center"/>
          </w:tcPr>
          <w:p w14:paraId="1EC735ED">
            <w:pPr>
              <w:autoSpaceDE w:val="0"/>
              <w:spacing w:line="560" w:lineRule="exact"/>
              <w:jc w:val="center"/>
              <w:rPr>
                <w:rFonts w:ascii="仿宋" w:hAnsi="仿宋" w:eastAsia="仿宋"/>
                <w:sz w:val="30"/>
                <w:szCs w:val="30"/>
              </w:rPr>
            </w:pPr>
          </w:p>
        </w:tc>
      </w:tr>
      <w:tr w14:paraId="14CC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934" w:type="dxa"/>
            <w:tcBorders>
              <w:top w:val="single" w:color="auto" w:sz="4" w:space="0"/>
              <w:left w:val="single" w:color="auto" w:sz="4" w:space="0"/>
              <w:bottom w:val="single" w:color="auto" w:sz="4" w:space="0"/>
              <w:right w:val="single" w:color="auto" w:sz="4" w:space="0"/>
            </w:tcBorders>
            <w:vAlign w:val="center"/>
          </w:tcPr>
          <w:p w14:paraId="3DF38EEB">
            <w:pPr>
              <w:autoSpaceDE w:val="0"/>
              <w:spacing w:line="560" w:lineRule="exact"/>
              <w:jc w:val="center"/>
              <w:rPr>
                <w:rFonts w:ascii="仿宋" w:hAnsi="仿宋" w:eastAsia="仿宋"/>
                <w:sz w:val="30"/>
                <w:szCs w:val="30"/>
              </w:rPr>
            </w:pPr>
            <w:r>
              <w:rPr>
                <w:rFonts w:hint="eastAsia" w:ascii="仿宋" w:hAnsi="仿宋" w:eastAsia="仿宋"/>
                <w:sz w:val="30"/>
                <w:szCs w:val="30"/>
              </w:rPr>
              <w:t>3</w:t>
            </w:r>
          </w:p>
        </w:tc>
        <w:tc>
          <w:tcPr>
            <w:tcW w:w="1150" w:type="dxa"/>
            <w:tcBorders>
              <w:top w:val="single" w:color="auto" w:sz="4" w:space="0"/>
              <w:left w:val="single" w:color="auto" w:sz="4" w:space="0"/>
              <w:bottom w:val="single" w:color="auto" w:sz="4" w:space="0"/>
              <w:right w:val="single" w:color="auto" w:sz="4" w:space="0"/>
            </w:tcBorders>
            <w:vAlign w:val="center"/>
          </w:tcPr>
          <w:p w14:paraId="3BB1860B">
            <w:pPr>
              <w:autoSpaceDE w:val="0"/>
              <w:spacing w:line="560" w:lineRule="exact"/>
              <w:jc w:val="center"/>
              <w:rPr>
                <w:rFonts w:ascii="仿宋" w:hAnsi="仿宋" w:eastAsia="仿宋"/>
                <w:sz w:val="30"/>
                <w:szCs w:val="30"/>
              </w:rPr>
            </w:pPr>
            <w:r>
              <w:rPr>
                <w:rFonts w:hint="eastAsia" w:ascii="仿宋" w:hAnsi="仿宋" w:eastAsia="仿宋"/>
                <w:sz w:val="30"/>
                <w:szCs w:val="30"/>
              </w:rPr>
              <w:t>王泽明</w:t>
            </w:r>
          </w:p>
        </w:tc>
        <w:tc>
          <w:tcPr>
            <w:tcW w:w="2950" w:type="dxa"/>
            <w:tcBorders>
              <w:top w:val="single" w:color="auto" w:sz="4" w:space="0"/>
              <w:left w:val="single" w:color="auto" w:sz="4" w:space="0"/>
              <w:bottom w:val="single" w:color="auto" w:sz="4" w:space="0"/>
              <w:right w:val="single" w:color="auto" w:sz="4" w:space="0"/>
            </w:tcBorders>
            <w:vAlign w:val="center"/>
          </w:tcPr>
          <w:p w14:paraId="1698AEDD">
            <w:pPr>
              <w:autoSpaceDE w:val="0"/>
              <w:spacing w:line="560" w:lineRule="exact"/>
              <w:jc w:val="center"/>
              <w:rPr>
                <w:rFonts w:ascii="仿宋" w:hAnsi="仿宋" w:eastAsia="仿宋"/>
                <w:sz w:val="30"/>
                <w:szCs w:val="30"/>
              </w:rPr>
            </w:pPr>
            <w:r>
              <w:rPr>
                <w:rFonts w:hint="eastAsia" w:ascii="仿宋" w:hAnsi="仿宋" w:eastAsia="仿宋"/>
                <w:sz w:val="30"/>
                <w:szCs w:val="30"/>
              </w:rPr>
              <w:t>井陉矿区融媒体中心</w:t>
            </w:r>
          </w:p>
        </w:tc>
        <w:tc>
          <w:tcPr>
            <w:tcW w:w="2966" w:type="dxa"/>
            <w:tcBorders>
              <w:top w:val="single" w:color="auto" w:sz="4" w:space="0"/>
              <w:left w:val="single" w:color="auto" w:sz="4" w:space="0"/>
              <w:bottom w:val="single" w:color="auto" w:sz="4" w:space="0"/>
              <w:right w:val="single" w:color="auto" w:sz="4" w:space="0"/>
            </w:tcBorders>
            <w:vAlign w:val="center"/>
          </w:tcPr>
          <w:p w14:paraId="5D1D64B1">
            <w:pPr>
              <w:autoSpaceDE w:val="0"/>
              <w:spacing w:line="560" w:lineRule="exact"/>
              <w:jc w:val="center"/>
              <w:rPr>
                <w:rFonts w:ascii="仿宋" w:hAnsi="仿宋" w:eastAsia="仿宋"/>
                <w:sz w:val="30"/>
                <w:szCs w:val="30"/>
              </w:rPr>
            </w:pPr>
            <w:r>
              <w:rPr>
                <w:rFonts w:hint="eastAsia" w:ascii="仿宋" w:hAnsi="仿宋" w:eastAsia="仿宋"/>
                <w:sz w:val="30"/>
                <w:szCs w:val="30"/>
              </w:rPr>
              <w:t>区融媒体中心副主任</w:t>
            </w:r>
          </w:p>
        </w:tc>
        <w:tc>
          <w:tcPr>
            <w:tcW w:w="1500" w:type="dxa"/>
            <w:tcBorders>
              <w:top w:val="single" w:color="auto" w:sz="4" w:space="0"/>
              <w:left w:val="single" w:color="auto" w:sz="4" w:space="0"/>
              <w:bottom w:val="single" w:color="auto" w:sz="4" w:space="0"/>
              <w:right w:val="single" w:color="auto" w:sz="4" w:space="0"/>
            </w:tcBorders>
            <w:vAlign w:val="center"/>
          </w:tcPr>
          <w:p w14:paraId="1BBAD099">
            <w:pPr>
              <w:autoSpaceDE w:val="0"/>
              <w:spacing w:line="560" w:lineRule="exact"/>
              <w:jc w:val="center"/>
              <w:rPr>
                <w:rFonts w:ascii="仿宋" w:hAnsi="仿宋" w:eastAsia="仿宋"/>
                <w:sz w:val="30"/>
                <w:szCs w:val="30"/>
              </w:rPr>
            </w:pPr>
          </w:p>
        </w:tc>
      </w:tr>
    </w:tbl>
    <w:p w14:paraId="440DBC32">
      <w:pPr>
        <w:widowControl w:val="0"/>
        <w:numPr>
          <w:ilvl w:val="0"/>
          <w:numId w:val="0"/>
        </w:numPr>
        <w:adjustRightInd w:val="0"/>
        <w:snapToGrid w:val="0"/>
        <w:spacing w:line="560" w:lineRule="exact"/>
        <w:jc w:val="both"/>
        <w:rPr>
          <w:rFonts w:hint="eastAsia" w:ascii="黑体" w:hAnsi="黑体" w:eastAsia="黑体"/>
          <w:sz w:val="32"/>
          <w:szCs w:val="32"/>
        </w:rPr>
      </w:pPr>
    </w:p>
    <w:p w14:paraId="6864540E">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书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B400C7">
    <w:pPr>
      <w:pStyle w:val="5"/>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439B5AD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439B5AD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13493E08"/>
    <w:multiLevelType w:val="singleLevel"/>
    <w:tmpl w:val="13493E08"/>
    <w:lvl w:ilvl="0" w:tentative="0">
      <w:start w:val="2"/>
      <w:numFmt w:val="chineseCounting"/>
      <w:suff w:val="nothing"/>
      <w:lvlText w:val="（%1）"/>
      <w:lvlJc w:val="left"/>
      <w:rPr>
        <w:rFonts w:hint="eastAsia"/>
      </w:rPr>
    </w:lvl>
  </w:abstractNum>
  <w:abstractNum w:abstractNumId="2">
    <w:nsid w:val="392F29EF"/>
    <w:multiLevelType w:val="singleLevel"/>
    <w:tmpl w:val="392F29EF"/>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4">
    <w:nsid w:val="64642813"/>
    <w:multiLevelType w:val="singleLevel"/>
    <w:tmpl w:val="64642813"/>
    <w:lvl w:ilvl="0" w:tentative="0">
      <w:start w:val="6"/>
      <w:numFmt w:val="decimal"/>
      <w:suff w:val="nothing"/>
      <w:lvlText w:val="（%1）"/>
      <w:lvlJc w:val="left"/>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05C6ADC"/>
    <w:rsid w:val="00F1728D"/>
    <w:rsid w:val="0AB74F07"/>
    <w:rsid w:val="0C952613"/>
    <w:rsid w:val="2CEC1D09"/>
    <w:rsid w:val="2F3759E4"/>
    <w:rsid w:val="46825EB8"/>
    <w:rsid w:val="545519E1"/>
    <w:rsid w:val="552548D6"/>
    <w:rsid w:val="57AF48B9"/>
    <w:rsid w:val="679F46BE"/>
    <w:rsid w:val="730218E9"/>
    <w:rsid w:val="744D3038"/>
    <w:rsid w:val="7F511C2E"/>
    <w:rsid w:val="7F911B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2">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9">
    <w:name w:val="Default Paragraph Font"/>
    <w:uiPriority w:val="0"/>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table" w:styleId="8">
    <w:name w:val="Table Grid"/>
    <w:basedOn w:val="7"/>
    <w:unhideWhenUsed/>
    <w:qFormat/>
    <w:uiPriority w:val="99"/>
    <w:pPr>
      <w:widowControl w:val="0"/>
      <w:jc w:val="both"/>
    </w:pPr>
    <w:rPr>
      <w:rFonts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0">
    <w:name w:val="List Paragraph"/>
    <w:basedOn w:val="1"/>
    <w:qFormat/>
    <w:uiPriority w:val="34"/>
    <w:pPr>
      <w:ind w:firstLine="420" w:firstLineChars="200"/>
    </w:pPr>
  </w:style>
  <w:style w:type="paragraph" w:customStyle="1" w:styleId="11">
    <w:name w:val="单元格样式4"/>
    <w:basedOn w:val="1"/>
    <w:qFormat/>
    <w:uiPriority w:val="0"/>
    <w:pPr>
      <w:widowControl/>
      <w:jc w:val="right"/>
    </w:pPr>
    <w:rPr>
      <w:rFonts w:ascii="方正书宋_GBK" w:hAnsi="方正书宋_GBK" w:cs="宋体"/>
      <w:kern w:val="0"/>
      <w:szCs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8</Pages>
  <Words>3207</Words>
  <Characters>3398</Characters>
  <Lines>0</Lines>
  <Paragraphs>29</Paragraphs>
  <TotalTime>0</TotalTime>
  <ScaleCrop>false</ScaleCrop>
  <LinksUpToDate>false</LinksUpToDate>
  <CharactersWithSpaces>3423</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KuRo</cp:lastModifiedBy>
  <cp:lastPrinted>2024-03-06T07:40:00Z</cp:lastPrinted>
  <dcterms:modified xsi:type="dcterms:W3CDTF">2025-07-18T03:12:35Z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eyJoZGlkIjoiZDgwMzYyMDlmZTNlOTJiOGNkMDM3NTMyYjI4MzliOTkiLCJ1c2VySWQiOiIzNzYzODQ3MjUifQ==</vt:lpwstr>
  </property>
</Properties>
</file>