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515B27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7C4EE03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3011C373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矿区红十字会</w:t>
      </w:r>
    </w:p>
    <w:p w14:paraId="1196CF7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ascii="宋体" w:hAnsi="宋体" w:cs="宋体"/>
          <w:b/>
          <w:bCs/>
          <w:sz w:val="44"/>
          <w:szCs w:val="44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0222074E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1301A6C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矿区红十字会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DBDF7C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458F18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26D6BC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部门职责</w:t>
      </w:r>
    </w:p>
    <w:p w14:paraId="777FED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认真贯彻执行《中华人民共和国红十字会法》和《中国红十字会章程》，指导基层组织开展各项工作；</w:t>
      </w:r>
    </w:p>
    <w:p w14:paraId="7D195C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开展救灾的准备工作，在自然灾害和突发事件中，对伤病员和其他受害者实施救助；</w:t>
      </w:r>
    </w:p>
    <w:p w14:paraId="2C4B27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sz w:val="32"/>
          <w:szCs w:val="32"/>
        </w:rPr>
        <w:t>开展人道领域内的社区服务和社会公益活动；普及卫生救护和防病知识，组织群众参加初级卫生救护培训和现场救护；</w:t>
      </w:r>
    </w:p>
    <w:p w14:paraId="63C2CB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/>
          <w:sz w:val="32"/>
          <w:szCs w:val="32"/>
        </w:rPr>
        <w:t>依据《中华人民共和国红十字会法》和《中华人民共和国献血法》规定，推动无偿献血工作；</w:t>
      </w:r>
    </w:p>
    <w:p w14:paraId="36BF8B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/>
          <w:sz w:val="32"/>
          <w:szCs w:val="32"/>
        </w:rPr>
        <w:t>开展有益于青少年身心健康的红十字青少年活动；</w:t>
      </w:r>
    </w:p>
    <w:p w14:paraId="24B181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/>
          <w:sz w:val="32"/>
          <w:szCs w:val="32"/>
        </w:rPr>
        <w:t>开展与有关组织的交流合作；</w:t>
      </w:r>
    </w:p>
    <w:p w14:paraId="61B2C2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/>
          <w:sz w:val="32"/>
          <w:szCs w:val="32"/>
        </w:rPr>
        <w:t>依法开展募捐活动；</w:t>
      </w:r>
    </w:p>
    <w:p w14:paraId="4957B9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/>
          <w:sz w:val="32"/>
          <w:szCs w:val="32"/>
        </w:rPr>
        <w:t>完成区委、区政府交办的其他有关工作。</w:t>
      </w:r>
    </w:p>
    <w:p w14:paraId="476611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组织机构及人员：矿区红十字会为参公事业单位，设置一个综合办公室，负责日常工作。现有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C86D2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资产情况：通用设备13.28万元，家具、用具、装具及动植物1.23万元。总价值为14.51万元。</w:t>
      </w:r>
    </w:p>
    <w:p w14:paraId="411D0916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5E340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1、收入说明</w:t>
      </w:r>
    </w:p>
    <w:p w14:paraId="62F9BB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部门预算</w:t>
      </w:r>
      <w:r>
        <w:rPr>
          <w:rFonts w:hint="eastAsia" w:ascii="仿宋" w:hAnsi="仿宋" w:eastAsia="仿宋" w:cs="仿宋"/>
          <w:sz w:val="32"/>
          <w:szCs w:val="32"/>
        </w:rPr>
        <w:t>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入合计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95.37</w:t>
      </w:r>
      <w:r>
        <w:rPr>
          <w:rFonts w:hint="eastAsia" w:ascii="仿宋" w:hAnsi="仿宋" w:eastAsia="仿宋" w:cs="仿宋"/>
          <w:sz w:val="32"/>
          <w:szCs w:val="32"/>
        </w:rPr>
        <w:t>万元，其中：</w:t>
      </w:r>
      <w:r>
        <w:rPr>
          <w:rFonts w:hint="eastAsia" w:ascii="仿宋_GB2312" w:hAnsi="Times New Roman" w:eastAsia="仿宋_GB2312" w:cs="Wingdings"/>
          <w:sz w:val="32"/>
          <w:szCs w:val="32"/>
        </w:rPr>
        <w:t>一般公共预算财政拨款收入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95.37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_GB2312" w:hAnsi="Times New Roman" w:eastAsia="仿宋_GB2312" w:cs="Wingdings"/>
          <w:sz w:val="32"/>
          <w:szCs w:val="32"/>
        </w:rPr>
        <w:t>政府性基金预算财政拨款收入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0 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_GB2312" w:hAnsi="Times New Roman" w:eastAsia="仿宋_GB2312" w:cs="Wingdings"/>
          <w:color w:val="000000" w:themeColor="text1"/>
          <w:sz w:val="32"/>
          <w:szCs w:val="32"/>
        </w:rPr>
        <w:t>上级补助收入</w:t>
      </w:r>
      <w:r>
        <w:rPr>
          <w:rFonts w:hint="eastAsia" w:ascii="仿宋" w:hAnsi="仿宋" w:eastAsia="仿宋" w:cs="仿宋"/>
          <w:sz w:val="32"/>
          <w:szCs w:val="32"/>
        </w:rPr>
        <w:t>0万元，其他来源收入0万元。</w:t>
      </w:r>
    </w:p>
    <w:p w14:paraId="7C9A17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2、支出说明</w:t>
      </w:r>
    </w:p>
    <w:p w14:paraId="0F2D9A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年部门支出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合计</w:t>
      </w:r>
      <w:r>
        <w:rPr>
          <w:rFonts w:hint="eastAsia" w:ascii="仿宋" w:hAnsi="仿宋" w:eastAsia="仿宋" w:cs="仿宋"/>
          <w:sz w:val="32"/>
          <w:szCs w:val="32"/>
        </w:rPr>
        <w:t>为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80.83</w:t>
      </w:r>
      <w:r>
        <w:rPr>
          <w:rFonts w:hint="eastAsia" w:ascii="仿宋" w:hAnsi="仿宋" w:eastAsia="仿宋" w:cs="仿宋"/>
          <w:sz w:val="32"/>
          <w:szCs w:val="32"/>
        </w:rPr>
        <w:t>万元，其中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基本支出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74.81</w:t>
      </w:r>
      <w:r>
        <w:rPr>
          <w:rFonts w:hint="eastAsia" w:ascii="仿宋" w:hAnsi="仿宋" w:eastAsia="仿宋" w:cs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70.21</w:t>
      </w:r>
      <w:r>
        <w:rPr>
          <w:rFonts w:hint="eastAsia" w:ascii="仿宋" w:hAnsi="仿宋" w:eastAsia="仿宋" w:cs="仿宋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4.60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项目支出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6.02</w:t>
      </w:r>
      <w:r>
        <w:rPr>
          <w:rFonts w:hint="eastAsia" w:ascii="仿宋" w:hAnsi="仿宋" w:eastAsia="仿宋" w:cs="仿宋"/>
          <w:sz w:val="32"/>
          <w:szCs w:val="32"/>
        </w:rPr>
        <w:t>万元，主要为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红十字会劳务派遣经费、养老保险补缴费用（梅冬）等的支出。</w:t>
      </w:r>
    </w:p>
    <w:p w14:paraId="2021E57F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252F1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做好应急救护知识普及和救护员培训工作，提高红十字救护员和应急救护知识，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开展各类宣传活动制作展牌、条幅和宣传材料等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；完善党的领导和党的建设各项任务，全面提升机关基层党支部建设水平。支付劳务派遣人员工资及社保，保证工作正常开展。为职工办理养老保险补缴，保障职工权益等。</w:t>
      </w:r>
    </w:p>
    <w:p w14:paraId="55EA6569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631B9821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C44A7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高度重视此项绩效自评工作，</w:t>
      </w:r>
      <w:r>
        <w:rPr>
          <w:rFonts w:hint="eastAsia" w:ascii="仿宋" w:hAnsi="仿宋" w:eastAsia="仿宋" w:cs="仿宋"/>
          <w:sz w:val="32"/>
          <w:szCs w:val="32"/>
        </w:rPr>
        <w:t>成立绩效评价工作组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单位一把手</w:t>
      </w:r>
      <w:r>
        <w:rPr>
          <w:rFonts w:hint="eastAsia" w:ascii="仿宋_GB2312" w:hAnsi="仿宋_GB2312" w:eastAsia="仿宋_GB2312" w:cs="仿宋_GB2312"/>
          <w:sz w:val="32"/>
          <w:szCs w:val="32"/>
        </w:rPr>
        <w:t>担任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组长</w:t>
      </w:r>
      <w:r>
        <w:rPr>
          <w:rFonts w:hint="eastAsia" w:ascii="仿宋_GB2312" w:hAnsi="仿宋_GB2312" w:eastAsia="仿宋_GB2312" w:cs="仿宋_GB2312"/>
          <w:sz w:val="32"/>
          <w:szCs w:val="32"/>
        </w:rPr>
        <w:t>，成员包括财务主管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和单位其他</w:t>
      </w:r>
      <w:r>
        <w:rPr>
          <w:rFonts w:hint="eastAsia" w:ascii="仿宋_GB2312" w:hAnsi="仿宋_GB2312" w:eastAsia="仿宋_GB2312" w:cs="仿宋_GB2312"/>
          <w:sz w:val="32"/>
          <w:szCs w:val="32"/>
        </w:rPr>
        <w:t>人员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担任</w:t>
      </w:r>
      <w:r>
        <w:rPr>
          <w:rFonts w:hint="eastAsia" w:ascii="仿宋_GB2312" w:hAnsi="仿宋_GB2312" w:eastAsia="仿宋_GB2312" w:cs="仿宋_GB2312"/>
          <w:sz w:val="32"/>
          <w:szCs w:val="32"/>
        </w:rPr>
        <w:t>，按照通知要求，评价组事先制定了自评工作方案，明确评价内容、评价程序及时间安排，并组织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单位相关人员召</w:t>
      </w:r>
      <w:r>
        <w:rPr>
          <w:rFonts w:hint="eastAsia" w:ascii="仿宋_GB2312" w:hAnsi="仿宋_GB2312" w:eastAsia="仿宋_GB2312" w:cs="仿宋_GB2312"/>
          <w:sz w:val="32"/>
          <w:szCs w:val="32"/>
        </w:rPr>
        <w:t>开专题会议，要求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提前准备相关资料，积极配合做好自评工作。评价以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年初预算确定的项目绩效目标和绩效指标为依据，通过对相关账目进行核实，对比各绩效指标完成情况，进一步分析和总结，</w:t>
      </w:r>
      <w:r>
        <w:rPr>
          <w:rFonts w:hint="eastAsia" w:ascii="仿宋" w:hAnsi="仿宋" w:eastAsia="仿宋" w:cs="仿宋"/>
          <w:sz w:val="32"/>
          <w:szCs w:val="32"/>
        </w:rPr>
        <w:t>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年度绩效自评工作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并撰写绩效自评报告。</w:t>
      </w:r>
    </w:p>
    <w:p w14:paraId="6904E49E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46FD7E4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为确保该项目自评工作的科学性、严谨、公开、透明，绩效评价小组，从项目立项、预算编制、组织实施、绩效评价等关键环节，对照绩效指标及评分标准逐条开展自评。</w:t>
      </w:r>
    </w:p>
    <w:p w14:paraId="0BA04913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D51316C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044CDD1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围绕年初制定目标已做好应急救护知识普及和救护员培训工作，提高红十字救护员和应急救护知识，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开展各类宣传活动制作展牌、条幅和宣传材料等</w:t>
      </w:r>
      <w:r>
        <w:rPr>
          <w:rFonts w:hint="eastAsia" w:ascii="仿宋" w:hAnsi="仿宋" w:eastAsia="仿宋"/>
          <w:sz w:val="32"/>
          <w:szCs w:val="32"/>
          <w:lang w:eastAsia="zh-CN"/>
        </w:rPr>
        <w:t>。完善党的领导和党的建设各项任务，全面提升机关基层党支部建设水平。支付劳务派遣人员工资及社保，保证工作正常开展。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为职工办理养老保险补缴，保障职工权益</w:t>
      </w:r>
      <w:r>
        <w:rPr>
          <w:rFonts w:hint="eastAsia" w:ascii="仿宋" w:hAnsi="仿宋" w:eastAsia="仿宋"/>
          <w:sz w:val="32"/>
          <w:szCs w:val="32"/>
          <w:lang w:eastAsia="zh-CN"/>
        </w:rPr>
        <w:t>等。</w:t>
      </w:r>
    </w:p>
    <w:p w14:paraId="515902EB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2174B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2024年度绩效指标开展情况，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总分设定为100分。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统一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设置为：产出指标40分（包含数量、质量、时效、成本），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数量指标：组织宣传活动培训次数情况10分，质量指标：培训合格率量10分，时效指标：全年、服务周期、及时拨付10分，成本指标：项目总成本3分。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预算执行率指标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分、效益指标40分（包含经济效益、社会效益、生态效益、可持续影响），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完成率34.5分。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满意度指标：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服务对象满意度10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分。</w:t>
      </w:r>
      <w:bookmarkStart w:id="0" w:name="_GoBack"/>
      <w:bookmarkEnd w:id="0"/>
    </w:p>
    <w:p w14:paraId="605ACF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良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2024年支出绩效自评81.5分。</w:t>
      </w:r>
    </w:p>
    <w:p w14:paraId="51DAE564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E73D053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81.5</w:t>
      </w:r>
      <w:r>
        <w:rPr>
          <w:rFonts w:hint="eastAsia" w:ascii="仿宋" w:hAnsi="仿宋" w:eastAsia="仿宋"/>
          <w:sz w:val="32"/>
          <w:szCs w:val="32"/>
        </w:rPr>
        <w:t>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为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良好。</w:t>
      </w:r>
    </w:p>
    <w:p w14:paraId="1E6473B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A307584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2535A82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绩效指标能够围绕绩效目标来设定，从总体来看所设定的指标科学合理，易于评价，但在完整度方面尚可提升，全面真实反映被评价项目的实际情况。</w:t>
      </w:r>
    </w:p>
    <w:p w14:paraId="042A8B18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1582DCC4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进一步细化、量化预算绩效指标设定，从时效、数量、质量等，建立可细化、可量化、可考评的绩效指标体系，提高绩效评价指标体系的科学性、合理性。</w:t>
      </w:r>
    </w:p>
    <w:p w14:paraId="1B4C8F79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0C4476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1280" w:firstLineChars="4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梅  冬  矿区红十字会常务副会长</w:t>
      </w:r>
    </w:p>
    <w:p w14:paraId="1F3F7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firstLine="1280" w:firstLineChars="4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史丽霞  矿区红十字会秘书长</w:t>
      </w:r>
    </w:p>
    <w:p w14:paraId="097152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firstLine="1280" w:firstLineChars="400"/>
        <w:jc w:val="both"/>
        <w:textAlignment w:val="auto"/>
        <w:outlineLvl w:val="9"/>
        <w:rPr>
          <w:rFonts w:ascii="仿宋" w:hAnsi="仿宋" w:eastAsia="仿宋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曾  微  矿区红十字会工作人员</w:t>
      </w:r>
    </w:p>
    <w:p w14:paraId="18BD8B3D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35630B">
    <w:pPr>
      <w:pStyle w:val="7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27E3C38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27E3C38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965D3B"/>
    <w:multiLevelType w:val="singleLevel"/>
    <w:tmpl w:val="DE965D3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ulTrailSpace/>
    <w:doNotExpandShiftReturn/>
    <w:adjustLineHeightInTable/>
    <w:useFELayout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000000"/>
    <w:rsid w:val="02F9088B"/>
    <w:rsid w:val="24523BCF"/>
    <w:rsid w:val="5D1551BE"/>
    <w:rsid w:val="6DF66946"/>
    <w:rsid w:val="6F814935"/>
    <w:rsid w:val="787F1FE0"/>
    <w:rsid w:val="7B9577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602</Words>
  <Characters>619</Characters>
  <Lines>0</Lines>
  <Paragraphs>29</Paragraphs>
  <TotalTime>12</TotalTime>
  <ScaleCrop>false</ScaleCrop>
  <LinksUpToDate>false</LinksUpToDate>
  <CharactersWithSpaces>641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2025-07-18T08:48:15Z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eyJoZGlkIjoiZDFlNmQ1MmE4YjlhODhlMDhjZmUyZTM1ZmJmYjFlZmEifQ==</vt:lpwstr>
  </property>
</Properties>
</file>