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560" w:lineRule="exac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cs="宋体" w:hAnsi="宋体" w:hint="eastAsia"/>
          <w:b/>
          <w:bCs/>
          <w:sz w:val="44"/>
          <w:szCs w:val="44"/>
        </w:rPr>
      </w:pPr>
      <w:r>
        <w:rPr>
          <w:rFonts w:ascii="宋体" w:cs="宋体" w:hAnsi="宋体"/>
          <w:b/>
          <w:bCs/>
          <w:sz w:val="44"/>
          <w:szCs w:val="44"/>
        </w:rPr>
        <w:t>矿区科协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  <w:r>
        <w:rPr>
          <w:rFonts w:ascii="宋体" w:cs="宋体" w:hAnsi="宋体" w:hint="eastAsia"/>
          <w:b/>
          <w:bCs/>
          <w:sz w:val="44"/>
          <w:szCs w:val="44"/>
        </w:rPr>
        <w:t>202</w:t>
      </w:r>
      <w:r>
        <w:rPr>
          <w:rFonts w:ascii="宋体" w:cs="宋体" w:hAnsi="宋体"/>
          <w:b/>
          <w:bCs/>
          <w:sz w:val="44"/>
          <w:szCs w:val="44"/>
        </w:rPr>
        <w:t>4</w:t>
      </w:r>
      <w:r>
        <w:rPr>
          <w:rFonts w:ascii="宋体" w:cs="宋体" w:hAnsi="宋体" w:hint="eastAsia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</w:t>
      </w:r>
      <w:r>
        <w:rPr>
          <w:rFonts w:ascii="仿宋" w:eastAsia="仿宋" w:hAnsi="仿宋"/>
          <w:sz w:val="32"/>
          <w:szCs w:val="32"/>
        </w:rPr>
        <w:t>区委区政府</w:t>
      </w:r>
      <w:r>
        <w:rPr>
          <w:rFonts w:ascii="仿宋" w:eastAsia="仿宋" w:hAnsi="仿宋" w:hint="eastAsia"/>
          <w:sz w:val="32"/>
          <w:szCs w:val="32"/>
        </w:rPr>
        <w:t>《关于全面落实预算绩效管理的实施意见》（</w:t>
      </w:r>
      <w:r>
        <w:rPr>
          <w:rFonts w:ascii="仿宋" w:eastAsia="仿宋" w:hAnsi="仿宋"/>
          <w:sz w:val="32"/>
          <w:szCs w:val="32"/>
        </w:rPr>
        <w:t>矿</w:t>
      </w:r>
      <w:r>
        <w:rPr>
          <w:rFonts w:ascii="仿宋" w:eastAsia="仿宋" w:hAnsi="仿宋" w:hint="eastAsia"/>
          <w:sz w:val="32"/>
          <w:szCs w:val="32"/>
        </w:rPr>
        <w:t>发﹝2019﹞</w:t>
      </w:r>
      <w:r>
        <w:rPr>
          <w:rFonts w:ascii="仿宋" w:eastAsia="仿宋" w:hAnsi="仿宋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号）文件精神，遵循“科学性、规范性、客观性和公正性”的原则，对</w:t>
      </w:r>
      <w:r>
        <w:rPr>
          <w:rFonts w:ascii="仿宋" w:eastAsia="仿宋" w:hAnsi="仿宋"/>
          <w:sz w:val="32"/>
          <w:szCs w:val="32"/>
        </w:rPr>
        <w:t>矿区科协</w:t>
      </w:r>
      <w:r>
        <w:rPr>
          <w:rFonts w:ascii="仿宋" w:eastAsia="仿宋" w:hAnsi="仿宋" w:hint="eastAsia"/>
          <w:sz w:val="32"/>
          <w:szCs w:val="32"/>
        </w:rPr>
        <w:t>部门202</w:t>
      </w:r>
      <w:r>
        <w:rPr>
          <w:rFonts w:ascii="仿宋" w:eastAsia="仿宋" w:hAnsi="仿宋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（一）部门概况</w:t>
      </w:r>
    </w:p>
    <w:p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600" w:lineRule="exact"/>
        <w:ind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1.</w:t>
      </w:r>
      <w:r>
        <w:rPr>
          <w:rFonts w:ascii="仿宋_GB2312" w:eastAsia="仿宋_GB2312" w:cs="仿宋_GB2312" w:hAnsi="仿宋_GB2312" w:hint="eastAsia"/>
          <w:sz w:val="32"/>
          <w:szCs w:val="32"/>
        </w:rPr>
        <w:t>主要职能。</w:t>
      </w:r>
    </w:p>
    <w:p>
      <w:pPr>
        <w:wordWrap/>
        <w:adjustRightInd w:val="0"/>
        <w:snapToGrid w:val="0"/>
        <w:spacing w:line="560" w:lineRule="exact"/>
        <w:ind w:left="0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（1）开展学术交流，促进学术发展和科技进步。</w:t>
      </w:r>
    </w:p>
    <w:p>
      <w:pPr>
        <w:wordWrap/>
        <w:adjustRightInd w:val="0"/>
        <w:snapToGrid w:val="0"/>
        <w:spacing w:line="560" w:lineRule="exact"/>
        <w:ind w:left="0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（2）普及和推广科技知识、先进技术。</w:t>
      </w:r>
    </w:p>
    <w:p>
      <w:pPr>
        <w:wordWrap/>
        <w:adjustRightInd w:val="0"/>
        <w:snapToGrid w:val="0"/>
        <w:spacing w:line="560" w:lineRule="exact"/>
        <w:ind w:left="0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（3）表彰奖励优秀科技工作者，举荐人才。</w:t>
      </w:r>
    </w:p>
    <w:p>
      <w:pPr>
        <w:wordWrap/>
        <w:adjustRightInd w:val="0"/>
        <w:snapToGrid w:val="0"/>
        <w:spacing w:line="560" w:lineRule="exact"/>
        <w:ind w:left="0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（4）开展技术咨询和技术服务。</w:t>
      </w:r>
    </w:p>
    <w:p>
      <w:pPr>
        <w:wordWrap/>
        <w:adjustRightInd w:val="0"/>
        <w:snapToGrid w:val="0"/>
        <w:spacing w:line="560" w:lineRule="exact"/>
        <w:ind w:left="0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（5）开展继续教育和培训工作。</w:t>
      </w:r>
    </w:p>
    <w:p>
      <w:pPr>
        <w:wordWrap/>
        <w:adjustRightInd w:val="0"/>
        <w:snapToGrid w:val="0"/>
        <w:spacing w:line="560" w:lineRule="exact"/>
        <w:ind w:left="0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（6）组织科技人员与专家建立各种专业协会、学会、研究会等，促进科技工作者的友好往来。</w:t>
      </w:r>
    </w:p>
    <w:p>
      <w:pPr>
        <w:wordWrap/>
        <w:adjustRightInd w:val="0"/>
        <w:snapToGrid w:val="0"/>
        <w:spacing w:line="560" w:lineRule="exact"/>
        <w:ind w:left="0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（7）反映全区科技工作者的意见和要求，维护科技工作者的合法权益。</w:t>
      </w:r>
    </w:p>
    <w:p>
      <w:pPr>
        <w:wordWrap/>
        <w:adjustRightInd w:val="0"/>
        <w:snapToGrid w:val="0"/>
        <w:spacing w:line="560" w:lineRule="exact"/>
        <w:ind w:left="0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（8）协助区委落实知识分子政策。</w:t>
      </w:r>
    </w:p>
    <w:p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600" w:lineRule="exact"/>
        <w:ind w:firstLineChars="200" w:firstLine="640"/>
        <w:rPr>
          <w:rFonts w:ascii="仿宋" w:eastAsia="仿宋" w:cs="黑体" w:hAnsi="仿宋" w:hint="eastAsia"/>
          <w:b w:val="0"/>
          <w:kern w:val="2"/>
          <w:sz w:val="32"/>
          <w:szCs w:val="32"/>
          <w:lang w:val="en-US" w:eastAsia="zh-CN" w:bidi="ar-SA"/>
        </w:rPr>
      </w:pPr>
      <w:r>
        <w:rPr>
          <w:rFonts w:ascii="仿宋" w:eastAsia="仿宋" w:cs="黑体" w:hAnsi="仿宋" w:hint="eastAsia"/>
          <w:b w:val="0"/>
          <w:kern w:val="2"/>
          <w:sz w:val="32"/>
          <w:szCs w:val="32"/>
          <w:lang w:val="en-US" w:eastAsia="zh-CN" w:bidi="ar-SA"/>
        </w:rPr>
        <w:t>（9）负责完成区委和上级科协部门交办的其它工作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firstLine="640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eastAsia="zh-CN"/>
        </w:rPr>
        <w:t>组织机构及人员：矿区科协为参公事业单位，设置一个综合办公室，负责日常工作。现有</w:t>
      </w:r>
      <w:r>
        <w:rPr>
          <w:rFonts w:ascii="仿宋" w:eastAsia="仿宋" w:cs="仿宋" w:hAnsi="仿宋" w:hint="eastAsia"/>
          <w:sz w:val="32"/>
          <w:szCs w:val="32"/>
        </w:rPr>
        <w:t>在职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人员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sz w:val="32"/>
          <w:szCs w:val="32"/>
        </w:rPr>
        <w:t>人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资产情况：通用设备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5.3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万元，家具、用具、装具1.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9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万元。总价值为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7.2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万元。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（二）部门收支预决算情况</w:t>
      </w:r>
    </w:p>
    <w:p>
      <w:pPr>
        <w:pStyle w:val="18"/>
        <w:ind w:firstLineChars="200" w:firstLine="640"/>
        <w:rPr>
          <w:rFonts w:ascii="仿宋_GB2312" w:cs="仿宋_GB2312" w:hint="eastAsia"/>
          <w:color w:val="auto"/>
          <w:kern w:val="2"/>
          <w:sz w:val="32"/>
          <w:szCs w:val="32"/>
          <w:lang w:val="en-US" w:eastAsia="zh-CN" w:bidi="ar-SA"/>
        </w:rPr>
      </w:pPr>
      <w:r>
        <w:rPr>
          <w:rFonts w:ascii="仿宋_GB2312" w:cs="仿宋_GB2312" w:hint="eastAsia"/>
          <w:color w:val="auto"/>
          <w:kern w:val="2"/>
          <w:sz w:val="32"/>
          <w:szCs w:val="32"/>
          <w:lang w:val="en-US" w:eastAsia="zh-CN" w:bidi="ar-SA"/>
        </w:rPr>
        <w:t>2024</w:t>
      </w:r>
      <w:r>
        <w:rPr>
          <w:rFonts w:ascii="仿宋_GB2312" w:eastAsia="仿宋_GB2312" w:cs="仿宋_GB2312" w:hint="eastAsia"/>
          <w:color w:val="auto"/>
          <w:kern w:val="2"/>
          <w:sz w:val="32"/>
          <w:szCs w:val="32"/>
          <w:lang w:val="en-US" w:eastAsia="zh-CN" w:bidi="ar-SA"/>
        </w:rPr>
        <w:t>年初预算</w:t>
      </w:r>
      <w:r>
        <w:rPr>
          <w:rFonts w:ascii="仿宋_GB2312" w:cs="仿宋_GB2312" w:hint="eastAsia"/>
          <w:color w:val="auto"/>
          <w:kern w:val="2"/>
          <w:sz w:val="32"/>
          <w:szCs w:val="32"/>
          <w:lang w:val="en-US" w:eastAsia="zh-CN" w:bidi="ar-SA"/>
        </w:rPr>
        <w:t>安排128.69</w:t>
      </w:r>
      <w:r>
        <w:rPr>
          <w:rFonts w:ascii="仿宋_GB2312" w:eastAsia="仿宋_GB2312" w:cs="仿宋_GB2312" w:hint="eastAsia"/>
          <w:color w:val="auto"/>
          <w:kern w:val="2"/>
          <w:sz w:val="32"/>
          <w:szCs w:val="32"/>
          <w:lang w:val="en-US" w:eastAsia="zh-CN" w:bidi="ar-SA"/>
        </w:rPr>
        <w:t>万元，</w:t>
      </w:r>
      <w:r>
        <w:rPr>
          <w:rFonts w:ascii="仿宋_GB2312" w:cs="仿宋_GB2312" w:hint="eastAsia"/>
          <w:color w:val="auto"/>
          <w:kern w:val="2"/>
          <w:sz w:val="32"/>
          <w:szCs w:val="32"/>
          <w:lang w:val="en-US" w:eastAsia="zh-CN" w:bidi="ar-SA"/>
        </w:rPr>
        <w:t>其中基本支出110.64万元，项目支出18.05万元。2024年决算支出99.54万元，其中基本支出90.75万元，项目支出8.79万元。决算比预算减少29.15万元。</w:t>
      </w:r>
    </w:p>
    <w:p>
      <w:pPr>
        <w:snapToGrid w:val="0"/>
        <w:spacing w:line="520" w:lineRule="exact"/>
        <w:ind w:firstLineChars="200" w:firstLine="640"/>
        <w:rPr>
          <w:rFonts w:ascii="仿宋_GB2312" w:eastAsia="仿宋_GB2312" w:cs="仿宋_GB2312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_GB2312" w:eastAsia="仿宋_GB2312" w:cs="仿宋_GB2312" w:hint="eastAsia"/>
          <w:color w:val="000000"/>
          <w:kern w:val="2"/>
          <w:sz w:val="32"/>
          <w:szCs w:val="32"/>
          <w:lang w:val="en-US" w:eastAsia="zh-CN" w:bidi="ar-SA"/>
        </w:rPr>
        <w:t>预、决算差异原因：上级专款经费减少、项目经费减少</w:t>
      </w:r>
      <w:r>
        <w:rPr>
          <w:rFonts w:asci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  <w:t>、人员</w:t>
      </w:r>
      <w:r>
        <w:rPr>
          <w:rFonts w:ascii="仿宋_GB2312" w:eastAsia="仿宋_GB2312" w:cs="仿宋_GB2312" w:hint="eastAsia"/>
          <w:color w:val="000000"/>
          <w:kern w:val="2"/>
          <w:sz w:val="32"/>
          <w:szCs w:val="32"/>
          <w:lang w:val="en-US" w:eastAsia="zh-CN" w:bidi="ar-SA"/>
        </w:rPr>
        <w:t>经费</w:t>
      </w:r>
      <w:r>
        <w:rPr>
          <w:rFonts w:asci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  <w:t>减少</w:t>
      </w:r>
      <w:r>
        <w:rPr>
          <w:rFonts w:ascii="仿宋_GB2312" w:eastAsia="仿宋_GB2312" w:cs="仿宋_GB2312" w:hint="eastAsia"/>
          <w:color w:val="000000"/>
          <w:kern w:val="2"/>
          <w:sz w:val="32"/>
          <w:szCs w:val="32"/>
          <w:lang w:val="en-US" w:eastAsia="zh-CN" w:bidi="ar-SA"/>
        </w:rPr>
        <w:t>。</w:t>
      </w:r>
    </w:p>
    <w:tbl>
      <w:tblPr>
        <w:tblpPr w:leftFromText="144" w:rightFromText="144" w:vertAnchor="text" w:horzAnchor="page" w:tblpX="1772" w:tblpY="194"/>
        <w:tblOverlap w:val="never"/>
        <w:tblW w:w="82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8"/>
        <w:gridCol w:w="1459"/>
        <w:gridCol w:w="2564"/>
        <w:gridCol w:w="1677"/>
      </w:tblGrid>
      <w:tr>
        <w:tc>
          <w:tcPr>
            <w:tcW w:w="4017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jc w:val="center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color w:val="auto"/>
                <w:sz w:val="24"/>
                <w:szCs w:val="24"/>
                <w:lang w:val="en-US" w:eastAsia="zh-CN"/>
              </w:rPr>
              <w:t>预  算</w:t>
            </w:r>
          </w:p>
        </w:tc>
        <w:tc>
          <w:tcPr>
            <w:tcW w:w="4241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jc w:val="center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决  算</w:t>
            </w:r>
          </w:p>
        </w:tc>
      </w:tr>
      <w:tr>
        <w:tc>
          <w:tcPr>
            <w:tcW w:w="2558" w:type="dxa"/>
            <w:vMerge w:val="restart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预算总收入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金额（万元）</w:t>
            </w:r>
          </w:p>
        </w:tc>
        <w:tc>
          <w:tcPr>
            <w:tcW w:w="2564" w:type="dxa"/>
            <w:vMerge w:val="restart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实际总收入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金额（万元）</w:t>
            </w:r>
          </w:p>
        </w:tc>
      </w:tr>
      <w:tr>
        <w:trPr>
          <w:trHeight w:val="310"/>
        </w:trPr>
        <w:tc>
          <w:tcPr>
            <w:tcW w:w="2558" w:type="dxa"/>
            <w:vMerge/>
            <w:tcBorders>
              <w:tl2br w:val="nil"/>
              <w:tr2bl w:val="nil"/>
            </w:tcBorders>
          </w:tcPr>
          <w:p/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128.69</w:t>
            </w:r>
          </w:p>
        </w:tc>
        <w:tc>
          <w:tcPr>
            <w:tcW w:w="2564" w:type="dxa"/>
            <w:vMerge/>
            <w:tcBorders>
              <w:tl2br w:val="nil"/>
              <w:tr2bl w:val="nil"/>
            </w:tcBorders>
          </w:tcPr>
          <w:p/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99.54</w:t>
            </w:r>
          </w:p>
        </w:tc>
      </w:tr>
      <w:t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预算总支出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128.69</w:t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实际总支出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99.54</w:t>
            </w:r>
          </w:p>
        </w:tc>
      </w:tr>
      <w:t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预算基本支出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110.64</w:t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实际基本支出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90.75</w:t>
            </w:r>
          </w:p>
        </w:tc>
      </w:tr>
      <w:t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其中：人员经费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104.82</w:t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其中：人员经费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86.12</w:t>
            </w:r>
          </w:p>
        </w:tc>
      </w:tr>
      <w:t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 xml:space="preserve">      日常公用经费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5.82</w:t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 xml:space="preserve">      日常公用经费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4.63</w:t>
            </w:r>
          </w:p>
        </w:tc>
      </w:tr>
      <w:t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预算项目支出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pos="1243"/>
              </w:tabs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18.05</w:t>
              <w:tab/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实际项目支出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8.79</w:t>
            </w:r>
          </w:p>
        </w:tc>
      </w:tr>
      <w:tr>
        <w:trPr>
          <w:trHeight w:val="310"/>
        </w:trP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其中：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其中：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</w:p>
        </w:tc>
      </w:tr>
      <w:tr>
        <w:trPr>
          <w:trHeight w:val="320"/>
        </w:trP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科普经费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科普经费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全民科学素质经费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全民科学素质经费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老科协经费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老科协经费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rPr>
          <w:trHeight w:val="253"/>
        </w:trP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党建经费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0.05</w:t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党建经费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劳务派遣经费</w:t>
            </w: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劳务派遣经费</w:t>
            </w: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int="eastAsia"/>
                <w:sz w:val="24"/>
                <w:szCs w:val="24"/>
                <w:lang w:val="en-US" w:eastAsia="zh-CN"/>
              </w:rPr>
              <w:t>8.79</w:t>
            </w:r>
          </w:p>
        </w:tc>
      </w:tr>
      <w:tr>
        <w:tc>
          <w:tcPr>
            <w:tcW w:w="255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color w:val="C00000"/>
                <w:sz w:val="24"/>
                <w:szCs w:val="24"/>
                <w:lang w:val="en-US" w:eastAsia="zh-CN"/>
              </w:rPr>
            </w:pPr>
          </w:p>
        </w:tc>
        <w:tc>
          <w:tcPr>
            <w:tcW w:w="1459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color w:val="C00000"/>
                <w:sz w:val="24"/>
                <w:szCs w:val="24"/>
                <w:lang w:val="en-US" w:eastAsia="zh-CN"/>
              </w:rPr>
            </w:pPr>
          </w:p>
        </w:tc>
        <w:tc>
          <w:tcPr>
            <w:tcW w:w="2564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240" w:lineRule="atLeast"/>
              <w:ind w:left="0"/>
              <w:rPr>
                <w:rFonts w:ascii="仿宋_GB2312" w:eastAsia="仿宋_GB2312" w:hint="eastAsia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677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pacing w:line="400" w:lineRule="exact"/>
              <w:ind w:left="0"/>
              <w:rPr>
                <w:rFonts w:ascii="仿宋_GB2312" w:eastAsia="仿宋_GB2312" w:hint="eastAsia"/>
                <w:color w:val="auto"/>
                <w:sz w:val="24"/>
                <w:szCs w:val="24"/>
                <w:lang w:val="en-US" w:eastAsia="zh-CN"/>
              </w:rPr>
            </w:pPr>
          </w:p>
        </w:tc>
      </w:tr>
    </w:tbl>
    <w:p>
      <w:pPr>
        <w:adjustRightInd w:val="0"/>
        <w:snapToGrid w:val="0"/>
        <w:spacing w:line="560" w:lineRule="exact"/>
        <w:ind w:left="0"/>
        <w:rPr>
          <w:rFonts w:ascii="楷体" w:eastAsia="楷体" w:cs="楷体_GB2312" w:hAnsi="楷体"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lang w:eastAsia="zh-CN"/>
        </w:rPr>
        <w:t>加强我区科协科普队伍建设，做好科普、全民科学素质、老科协宣传工作，提高科普及全民科学素质知识，开展各类宣传活动制作展牌、条幅和宣传材料等。完善党的领导和党的建设各项任务，全面提升机关基层党支部建设水平</w:t>
      </w:r>
      <w:r>
        <w:rPr>
          <w:rFonts w:ascii="仿宋" w:eastAsia="仿宋" w:hAnsi="仿宋"/>
          <w:sz w:val="32"/>
          <w:szCs w:val="32"/>
          <w:lang w:eastAsia="zh-CN"/>
        </w:rPr>
        <w:t>,</w:t>
      </w:r>
      <w:r>
        <w:rPr>
          <w:rFonts w:ascii="仿宋" w:eastAsia="仿宋" w:hAnsi="仿宋" w:hint="eastAsia"/>
          <w:sz w:val="32"/>
          <w:szCs w:val="32"/>
          <w:lang w:eastAsia="zh-CN"/>
        </w:rPr>
        <w:t>提高党员的党性</w:t>
      </w:r>
      <w:r>
        <w:rPr>
          <w:rFonts w:ascii="仿宋" w:eastAsia="仿宋" w:hAnsi="仿宋"/>
          <w:sz w:val="32"/>
          <w:szCs w:val="32"/>
          <w:lang w:eastAsia="zh-CN"/>
        </w:rPr>
        <w:t>修养</w:t>
      </w:r>
      <w:r>
        <w:rPr>
          <w:rFonts w:ascii="仿宋" w:eastAsia="仿宋" w:hAnsi="仿宋" w:hint="eastAsia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eastAsia="楷体" w:cs="楷体_GB2312" w:hAnsi="楷体"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</w:t>
      </w:r>
      <w:r>
        <w:rPr>
          <w:rFonts w:ascii="仿宋" w:eastAsia="仿宋" w:hAnsi="仿宋" w:hint="eastAsia"/>
          <w:sz w:val="32"/>
          <w:szCs w:val="32"/>
          <w:lang w:eastAsia="zh-CN"/>
        </w:rPr>
        <w:t>我单位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高度重视此项绩效自评工作，</w:t>
      </w:r>
      <w:r>
        <w:rPr>
          <w:rFonts w:ascii="仿宋" w:eastAsia="仿宋" w:cs="仿宋" w:hAnsi="仿宋" w:hint="eastAsia"/>
          <w:sz w:val="32"/>
          <w:szCs w:val="32"/>
        </w:rPr>
        <w:t>成立绩效评价工作组</w:t>
      </w:r>
      <w:r>
        <w:rPr>
          <w:rFonts w:ascii="仿宋_GB2312" w:eastAsia="仿宋_GB2312" w:cs="仿宋_GB2312" w:hAnsi="仿宋_GB2312" w:hint="eastAsia"/>
          <w:sz w:val="32"/>
          <w:szCs w:val="32"/>
        </w:rPr>
        <w:t>，组长由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单位一把手</w:t>
      </w:r>
      <w:r>
        <w:rPr>
          <w:rFonts w:ascii="仿宋_GB2312" w:eastAsia="仿宋_GB2312" w:cs="仿宋_GB2312" w:hAnsi="仿宋_GB2312" w:hint="eastAsia"/>
          <w:sz w:val="32"/>
          <w:szCs w:val="32"/>
        </w:rPr>
        <w:t>担任，成员包括财务</w:t>
      </w:r>
      <w:r>
        <w:rPr>
          <w:rFonts w:ascii="仿宋_GB2312" w:eastAsia="仿宋_GB2312" w:cs="仿宋_GB2312" w:hAnsi="仿宋_GB2312"/>
          <w:sz w:val="32"/>
          <w:szCs w:val="32"/>
        </w:rPr>
        <w:t>分</w:t>
      </w:r>
      <w:r>
        <w:rPr>
          <w:rFonts w:ascii="仿宋_GB2312" w:eastAsia="仿宋_GB2312" w:cs="仿宋_GB2312" w:hAnsi="仿宋_GB2312" w:hint="eastAsia"/>
          <w:sz w:val="32"/>
          <w:szCs w:val="32"/>
        </w:rPr>
        <w:t>管</w:t>
      </w:r>
      <w:r>
        <w:rPr>
          <w:rFonts w:ascii="仿宋_GB2312" w:eastAsia="仿宋_GB2312" w:cs="仿宋_GB2312" w:hAnsi="仿宋_GB2312"/>
          <w:sz w:val="32"/>
          <w:szCs w:val="32"/>
        </w:rPr>
        <w:t>领导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和</w:t>
      </w:r>
      <w:r>
        <w:rPr>
          <w:rFonts w:ascii="仿宋_GB2312" w:eastAsia="仿宋_GB2312" w:cs="仿宋_GB2312" w:hAnsi="仿宋_GB2312"/>
          <w:sz w:val="32"/>
          <w:szCs w:val="32"/>
          <w:lang w:eastAsia="zh-CN"/>
        </w:rPr>
        <w:t>监督检查分管领导、财务工作人员组成</w:t>
      </w:r>
      <w:r>
        <w:rPr>
          <w:rFonts w:ascii="仿宋_GB2312" w:eastAsia="仿宋_GB2312" w:cs="仿宋_GB2312" w:hAnsi="仿宋_GB2312" w:hint="eastAsia"/>
          <w:sz w:val="32"/>
          <w:szCs w:val="32"/>
        </w:rPr>
        <w:t>，按照通知要求，评价组事先制定了自评工作方案，明确评价内容、评价程序及时间安排，并组织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单位相关人员召</w:t>
      </w:r>
      <w:r>
        <w:rPr>
          <w:rFonts w:ascii="仿宋_GB2312" w:eastAsia="仿宋_GB2312" w:cs="仿宋_GB2312" w:hAnsi="仿宋_GB2312" w:hint="eastAsia"/>
          <w:sz w:val="32"/>
          <w:szCs w:val="32"/>
        </w:rPr>
        <w:t>开专题会议，要求</w:t>
      </w:r>
      <w:r>
        <w:rPr>
          <w:rFonts w:ascii="仿宋_GB2312" w:eastAsia="仿宋_GB2312" w:cs="仿宋_GB2312" w:hAnsi="仿宋_GB2312"/>
          <w:sz w:val="32"/>
          <w:szCs w:val="32"/>
        </w:rPr>
        <w:t>财务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人员</w:t>
      </w:r>
      <w:r>
        <w:rPr>
          <w:rFonts w:ascii="仿宋_GB2312" w:eastAsia="仿宋_GB2312" w:cs="仿宋_GB2312" w:hAnsi="仿宋_GB2312" w:hint="eastAsia"/>
          <w:sz w:val="32"/>
          <w:szCs w:val="32"/>
        </w:rPr>
        <w:t>提前准备相关资料，积极配合做好自评工作。评价以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4</w:t>
      </w:r>
      <w:r>
        <w:rPr>
          <w:rFonts w:ascii="仿宋_GB2312" w:eastAsia="仿宋_GB2312" w:cs="仿宋_GB2312" w:hAnsi="仿宋_GB2312" w:hint="eastAsia"/>
          <w:sz w:val="32"/>
          <w:szCs w:val="32"/>
        </w:rPr>
        <w:t>年初预算确定的项目绩效目标和绩效指标为依据，通过对相关账目进行核实，对比各绩效指标完成情况，进一步分析和总结，</w:t>
      </w:r>
      <w:r>
        <w:rPr>
          <w:rFonts w:ascii="仿宋" w:eastAsia="仿宋" w:cs="仿宋" w:hAnsi="仿宋" w:hint="eastAsia"/>
          <w:sz w:val="32"/>
          <w:szCs w:val="32"/>
        </w:rPr>
        <w:t>对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督查工作经费</w:t>
      </w:r>
      <w:r>
        <w:rPr>
          <w:rFonts w:ascii="仿宋" w:eastAsia="仿宋" w:cs="仿宋" w:hAnsi="仿宋" w:hint="eastAsia"/>
          <w:sz w:val="32"/>
          <w:szCs w:val="32"/>
        </w:rPr>
        <w:t>项目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、重点工作经费项目</w:t>
      </w:r>
      <w:r>
        <w:rPr>
          <w:rFonts w:ascii="仿宋" w:eastAsia="仿宋" w:cs="仿宋" w:hAnsi="仿宋" w:hint="eastAsia"/>
          <w:sz w:val="32"/>
          <w:szCs w:val="32"/>
        </w:rPr>
        <w:t>，开展20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</w:rPr>
        <w:t>年度绩效自评工作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，</w:t>
      </w:r>
      <w:r>
        <w:rPr>
          <w:rFonts w:ascii="仿宋" w:eastAsia="仿宋" w:cs="仿宋" w:hAnsi="仿宋" w:hint="eastAsia"/>
          <w:sz w:val="32"/>
          <w:szCs w:val="32"/>
        </w:rPr>
        <w:t>并撰写绩效自评报告。</w:t>
      </w:r>
    </w:p>
    <w:p>
      <w:pPr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</w:t>
      </w:r>
      <w:r>
        <w:rPr>
          <w:rFonts w:ascii="楷体" w:eastAsia="楷体" w:cs="楷体_GB2312" w:hAnsi="楷体"/>
          <w:bCs/>
          <w:sz w:val="32"/>
          <w:szCs w:val="32"/>
        </w:rPr>
        <w:t>二</w:t>
      </w:r>
      <w:r>
        <w:rPr>
          <w:rFonts w:ascii="楷体" w:eastAsia="楷体" w:cs="楷体_GB2312" w:hAnsi="楷体" w:hint="eastAsia"/>
          <w:bCs/>
          <w:sz w:val="32"/>
          <w:szCs w:val="32"/>
        </w:rPr>
        <w:t>）自评的方法和过程</w:t>
      </w:r>
    </w:p>
    <w:p>
      <w:pPr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为确保该项目自评工作的科学性、严谨、公开、透明，绩效评价小组，从项目立项、预算编制、组织实施、绩效评价等关键环节，对照绩效指标及评分标准逐条开展自评。</w:t>
      </w:r>
    </w:p>
    <w:p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1"/>
        </w:numPr>
        <w:spacing w:line="560" w:lineRule="exact"/>
        <w:ind w:left="0"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总体绩效目标实现情况</w:t>
      </w:r>
    </w:p>
    <w:p>
      <w:pPr>
        <w:spacing w:line="560" w:lineRule="exact"/>
        <w:ind w:firstLineChars="200" w:firstLine="640"/>
        <w:rPr>
          <w:rFonts w:ascii="仿宋" w:eastAsia="仿宋" w:hAnsi="仿宋"/>
          <w:sz w:val="32"/>
          <w:lang w:eastAsia="zh-CN"/>
        </w:rPr>
      </w:pPr>
      <w:r>
        <w:rPr>
          <w:rFonts w:ascii="仿宋" w:eastAsia="仿宋" w:hAnsi="仿宋" w:hint="eastAsia"/>
          <w:sz w:val="32"/>
          <w:lang w:eastAsia="zh-CN"/>
        </w:rPr>
        <w:t>区科协是联系科技工作者的桥梁和纽带，是发展科学技术事业的重要力量，主要工作任务是：根据省、市有关文件精神，贯彻《科普法》，紧扣《全民科学素质行动计划纲要》的目标任务，充分发挥各科普示范基地和社区、农技协、企业（园区）科协、乡镇科协的作用，团结和发动广大（老年）科技工作者，积极为全区工作大局服务，充分发挥科普工作主要社会力量作用，开展科普宣传、培训、讲座等各类活动，大力弘扬科学精神，普及科学知识，传播科学思想和科学方法，不断提高人民群众的科学文化素质和技能，为促进我区经济稳定发展服务。</w:t>
      </w:r>
    </w:p>
    <w:p>
      <w:pPr>
        <w:spacing w:line="560" w:lineRule="exact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spacing w:line="560" w:lineRule="exact"/>
        <w:ind w:firstLine="640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年度绩效指标开展情况，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总分设定为100分。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统一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设置为：产出指标40分（包含数量、质量、时效、成本），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数量指标：组织宣传活动培训次数情况10分，质量指标：完成质量10分，时效指标：全年、服务周期、及时拨付10分，成本指标：项目总成本10分。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预算执行率指标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10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分、效益指标40分（包含经济效益、社会效益、生态效益、可持续影响），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完成率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40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分。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满意度指标：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服务对象满意度10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分。</w:t>
      </w:r>
    </w:p>
    <w:p>
      <w:pPr>
        <w:wordWrap/>
        <w:spacing w:line="560" w:lineRule="exact"/>
        <w:ind w:left="0"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color w:val="auto"/>
          <w:sz w:val="32"/>
          <w:szCs w:val="32"/>
        </w:rPr>
        <w:t>绩效指标为</w:t>
      </w:r>
      <w:r>
        <w:rPr>
          <w:rFonts w:ascii="仿宋" w:eastAsia="仿宋" w:cs="仿宋" w:hAnsi="仿宋" w:hint="eastAsia"/>
          <w:color w:val="auto"/>
          <w:sz w:val="32"/>
          <w:szCs w:val="32"/>
          <w:lang w:val="en-US" w:eastAsia="zh-CN"/>
        </w:rPr>
        <w:t xml:space="preserve"> 6</w:t>
      </w:r>
      <w:r>
        <w:rPr>
          <w:rFonts w:ascii="仿宋" w:eastAsia="仿宋" w:cs="仿宋" w:hAnsi="仿宋" w:hint="eastAsia"/>
          <w:color w:val="auto"/>
          <w:sz w:val="32"/>
          <w:szCs w:val="32"/>
        </w:rPr>
        <w:t>个，评价等级为</w:t>
      </w:r>
      <w:r>
        <w:rPr>
          <w:rFonts w:ascii="仿宋" w:eastAsia="仿宋" w:cs="仿宋" w:hAnsi="仿宋"/>
          <w:color w:val="auto"/>
          <w:sz w:val="32"/>
          <w:szCs w:val="32"/>
        </w:rPr>
        <w:t>合格</w:t>
      </w:r>
      <w:r>
        <w:rPr>
          <w:rFonts w:ascii="仿宋" w:eastAsia="仿宋" w:cs="仿宋" w:hAnsi="仿宋" w:hint="eastAsia"/>
          <w:color w:val="auto"/>
          <w:sz w:val="32"/>
          <w:szCs w:val="32"/>
        </w:rPr>
        <w:t>。</w:t>
      </w:r>
      <w:r>
        <w:rPr>
          <w:rFonts w:ascii="仿宋" w:eastAsia="仿宋" w:cs="仿宋" w:hAnsi="仿宋" w:hint="eastAsia"/>
          <w:color w:val="auto"/>
          <w:sz w:val="32"/>
          <w:szCs w:val="32"/>
          <w:lang w:eastAsia="zh-CN"/>
        </w:rPr>
        <w:t>我单位</w:t>
      </w:r>
      <w:r>
        <w:rPr>
          <w:rFonts w:ascii="仿宋" w:eastAsia="仿宋" w:cs="仿宋" w:hAnsi="仿宋" w:hint="eastAsia"/>
          <w:color w:val="auto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color w:val="auto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color w:val="auto"/>
          <w:sz w:val="32"/>
          <w:szCs w:val="32"/>
          <w:lang w:val="en-US" w:eastAsia="zh-CN"/>
        </w:rPr>
        <w:t>年支出绩效自评</w:t>
      </w:r>
      <w:r>
        <w:rPr>
          <w:rFonts w:ascii="仿宋" w:eastAsia="仿宋" w:cs="仿宋" w:hAnsi="仿宋"/>
          <w:color w:val="auto"/>
          <w:sz w:val="32"/>
          <w:szCs w:val="32"/>
          <w:lang w:val="en-US" w:eastAsia="zh-CN"/>
        </w:rPr>
        <w:t>82</w:t>
      </w:r>
      <w:r>
        <w:rPr>
          <w:rFonts w:ascii="仿宋" w:eastAsia="仿宋" w:cs="仿宋" w:hAnsi="仿宋" w:hint="eastAsia"/>
          <w:color w:val="auto"/>
          <w:sz w:val="32"/>
          <w:szCs w:val="32"/>
          <w:lang w:val="en-US" w:eastAsia="zh-CN"/>
        </w:rPr>
        <w:t xml:space="preserve">分。   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>
      <w:pPr>
        <w:spacing w:line="560" w:lineRule="exact"/>
        <w:ind w:firstLineChars="200" w:firstLine="640"/>
        <w:rPr>
          <w:rFonts w:ascii="仿宋" w:eastAsia="仿宋" w:hAnsi="仿宋"/>
          <w:color w:val="auto"/>
          <w:sz w:val="32"/>
          <w:szCs w:val="32"/>
          <w:lang w:eastAsia="zh-CN"/>
          <w:highlight w:val="auto"/>
        </w:rPr>
      </w:pPr>
      <w:r>
        <w:rPr>
          <w:rFonts w:ascii="仿宋" w:eastAsia="仿宋" w:hAnsi="仿宋" w:hint="eastAsia"/>
          <w:sz w:val="32"/>
          <w:szCs w:val="32"/>
        </w:rPr>
        <w:t>根据</w:t>
      </w:r>
      <w:r>
        <w:rPr>
          <w:rFonts w:ascii="仿宋" w:eastAsia="仿宋" w:hAnsi="仿宋" w:hint="eastAsia"/>
          <w:sz w:val="32"/>
          <w:szCs w:val="32"/>
          <w:lang w:eastAsia="zh-CN"/>
        </w:rPr>
        <w:t>部门职责定位和各项工作履职情况进行综合评价</w:t>
      </w:r>
      <w:r>
        <w:rPr>
          <w:rFonts w:ascii="仿宋" w:eastAsia="仿宋" w:hAnsi="仿宋" w:hint="eastAsia"/>
          <w:sz w:val="32"/>
          <w:szCs w:val="32"/>
        </w:rPr>
        <w:t>，给出总得分，满分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100</w:t>
      </w:r>
      <w:r>
        <w:rPr>
          <w:rFonts w:ascii="仿宋" w:eastAsia="仿宋" w:hAnsi="仿宋" w:hint="eastAsia"/>
          <w:sz w:val="32"/>
          <w:szCs w:val="32"/>
        </w:rPr>
        <w:t>分，得出综合绩效评价等级。</w:t>
      </w:r>
      <w:r>
        <w:rPr>
          <w:rFonts w:ascii="仿宋" w:eastAsia="仿宋" w:hAnsi="仿宋" w:hint="eastAsia"/>
          <w:sz w:val="32"/>
          <w:szCs w:val="32"/>
          <w:lang w:eastAsia="zh-CN"/>
        </w:rPr>
        <w:t>部门整体支出</w:t>
      </w:r>
      <w:r>
        <w:rPr>
          <w:rFonts w:ascii="仿宋" w:eastAsia="仿宋" w:hAnsi="仿宋" w:hint="eastAsia"/>
          <w:sz w:val="32"/>
          <w:szCs w:val="32"/>
        </w:rPr>
        <w:t>综合绩效评价</w:t>
      </w:r>
      <w:r>
        <w:rPr>
          <w:rFonts w:ascii="仿宋" w:eastAsia="仿宋" w:hAnsi="仿宋" w:hint="eastAsia"/>
          <w:color w:val="auto"/>
          <w:sz w:val="32"/>
          <w:szCs w:val="32"/>
          <w:highlight w:val="auto"/>
        </w:rPr>
        <w:t>分</w:t>
      </w:r>
      <w:r>
        <w:rPr>
          <w:rFonts w:ascii="仿宋" w:eastAsia="仿宋" w:hAnsi="仿宋"/>
          <w:color w:val="auto"/>
          <w:sz w:val="32"/>
          <w:szCs w:val="32"/>
          <w:lang w:val="en-US" w:eastAsia="zh-CN"/>
          <w:highlight w:val="auto"/>
        </w:rPr>
        <w:t>82</w:t>
      </w:r>
      <w:r>
        <w:rPr>
          <w:rFonts w:ascii="仿宋" w:eastAsia="仿宋" w:hAnsi="仿宋" w:hint="eastAsia"/>
          <w:color w:val="auto"/>
          <w:sz w:val="32"/>
          <w:szCs w:val="32"/>
          <w:highlight w:val="auto"/>
        </w:rPr>
        <w:t>分为</w:t>
      </w:r>
      <w:r>
        <w:rPr>
          <w:rFonts w:ascii="仿宋" w:eastAsia="仿宋" w:hAnsi="仿宋"/>
          <w:color w:val="auto"/>
          <w:sz w:val="32"/>
          <w:szCs w:val="32"/>
          <w:highlight w:val="auto"/>
        </w:rPr>
        <w:t>良好</w:t>
      </w:r>
      <w:r>
        <w:rPr>
          <w:rFonts w:ascii="仿宋" w:eastAsia="仿宋" w:hAnsi="仿宋" w:hint="eastAsia"/>
          <w:color w:val="auto"/>
          <w:sz w:val="32"/>
          <w:szCs w:val="32"/>
          <w:lang w:eastAsia="zh-CN"/>
          <w:highlight w:val="auto"/>
        </w:rPr>
        <w:t>。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  <w:t>绩效指标能够围绕绩效目标来设定，从总体来看所设定的指标科学合理，易于评价，但在完整度方面尚可提升，全面真实反映被评价项目的实际情况。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（二）针对问题提出具体的改进措施或建议</w:t>
      </w:r>
    </w:p>
    <w:p>
      <w:pPr>
        <w:spacing w:line="560" w:lineRule="exact"/>
        <w:ind w:firstLineChars="200" w:firstLine="420"/>
        <w:rPr>
          <w:rFonts w:ascii="楷体" w:eastAsia="楷体" w:hAnsi="楷体"/>
          <w:bCs/>
          <w:sz w:val="32"/>
          <w:szCs w:val="32"/>
        </w:rPr>
      </w:pPr>
      <w:r>
        <w:rPr>
          <w:rFonts w:hint="eastAsia"/>
          <w:lang w:val="en-US" w:eastAsia="zh-CN"/>
        </w:rPr>
        <w:t xml:space="preserve"> </w:t>
      </w:r>
      <w:r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  <w:t>进一步细化、量化预算绩效指标设定，从时效、数量、质量等，建立可细化、可量化、可考评的绩效指标体系，提高绩效评价指标体系的科学性、合理性。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>
      <w:pPr>
        <w:wordWrap/>
        <w:adjustRightInd w:val="0"/>
        <w:snapToGrid w:val="0"/>
        <w:spacing w:line="560" w:lineRule="exact"/>
        <w:ind w:firstLineChars="400" w:firstLine="1280"/>
        <w:rPr>
          <w:rFonts w:ascii="仿宋" w:eastAsia="仿宋" w:hAnsi="仿宋" w:hint="eastAsia"/>
          <w:sz w:val="32"/>
          <w:szCs w:val="32"/>
          <w:lang w:val="en-US" w:eastAsia="zh-CN"/>
        </w:rPr>
      </w:pPr>
      <w:r>
        <w:rPr>
          <w:rFonts w:ascii="仿宋" w:eastAsia="仿宋" w:hAnsi="仿宋" w:hint="eastAsia"/>
          <w:sz w:val="32"/>
          <w:szCs w:val="32"/>
          <w:lang w:val="en-US" w:eastAsia="zh-CN"/>
        </w:rPr>
        <w:t>王进军  矿区科协主席</w:t>
      </w:r>
    </w:p>
    <w:p>
      <w:pPr>
        <w:wordWrap/>
        <w:spacing w:line="560" w:lineRule="exact"/>
        <w:ind w:firstLineChars="400" w:firstLine="1280"/>
        <w:jc w:val="both"/>
        <w:rPr>
          <w:rFonts w:ascii="仿宋" w:eastAsia="仿宋" w:hAnsi="仿宋" w:hint="eastAsia"/>
          <w:sz w:val="32"/>
          <w:szCs w:val="32"/>
          <w:lang w:val="en-US" w:eastAsia="zh-CN"/>
        </w:rPr>
      </w:pPr>
      <w:r>
        <w:rPr>
          <w:rFonts w:ascii="仿宋" w:eastAsia="仿宋" w:hAnsi="仿宋" w:hint="eastAsia"/>
          <w:sz w:val="32"/>
          <w:szCs w:val="32"/>
          <w:lang w:val="en-US" w:eastAsia="zh-CN"/>
        </w:rPr>
        <w:t>张会英  矿区科协副主席</w:t>
      </w:r>
    </w:p>
    <w:p>
      <w:pPr>
        <w:adjustRightInd w:val="0"/>
        <w:snapToGrid w:val="0"/>
        <w:spacing w:line="560" w:lineRule="exact"/>
        <w:ind w:firstLineChars="400" w:firstLine="1280"/>
        <w:rPr>
          <w:rFonts w:ascii="仿宋" w:eastAsia="仿宋" w:hAnsi="仿宋"/>
          <w:sz w:val="32"/>
          <w:szCs w:val="32"/>
          <w:lang w:val="en-US" w:eastAsia="zh-CN"/>
        </w:rPr>
      </w:pPr>
      <w:r>
        <w:rPr>
          <w:rFonts w:ascii="仿宋" w:eastAsia="仿宋" w:hAnsi="仿宋"/>
          <w:sz w:val="32"/>
          <w:szCs w:val="32"/>
          <w:lang w:val="en-US" w:eastAsia="zh-CN"/>
        </w:rPr>
        <w:t>刘志生  矿区科协三级主任科员</w:t>
      </w:r>
      <w:bookmarkStart w:id="0" w:name="_GoBack"/>
      <w:bookmarkEnd w:id="0"/>
    </w:p>
    <w:p>
      <w:pPr>
        <w:adjustRightInd w:val="0"/>
        <w:snapToGrid w:val="0"/>
        <w:spacing w:line="560" w:lineRule="exact"/>
        <w:ind w:firstLineChars="400" w:firstLine="1280"/>
        <w:rPr>
          <w:rFonts w:ascii="黑体" w:eastAsia="黑体" w:hAnsi="黑体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lang w:val="en-US" w:eastAsia="zh-CN"/>
        </w:rPr>
        <w:t>赵怡欣  矿区科协工作人员</w:t>
      </w:r>
    </w:p>
    <w:p>
      <w:pPr>
        <w:spacing w:line="560" w:lineRule="exact"/>
        <w:rPr>
          <w:rFonts w:ascii="仿宋" w:eastAsia="仿宋" w:hAnsi="仿宋"/>
        </w:rPr>
      </w:pPr>
    </w:p>
    <w:sectPr>
      <w:footerReference w:type="default" r:id="rId2"/>
      <w:pgSz w:w="11906" w:h="16838"/>
      <w:pgMar w:top="1440" w:right="1474" w:bottom="1440" w:left="1587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91437" distR="91437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492" cy="162820"/>
              <wp:effectExtent l="0" t="0" r="0" b="0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09492" cy="16282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1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Quad Arrow 3073" o:spid="_x0000_s2" filled="f" stroked="f" style="position:absolute;margin-left:0.0pt;margin-top:0.0pt;width:16.495434pt;height:12.820473pt;z-index:12;mso-position-horizontal:center;mso-position-horizontal-relative:margin;mso-position-vertical:absolute;mso-wrap-distance-left:7.199764pt;mso-wrap-distance-right:7.199764pt;mso-wrap-style:none;">
              <v:stroke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5E68489B"/>
    <w:multiLevelType w:val="singleLevel"/>
    <w:tmpl w:val="5E68489B"/>
    <w:lvl w:ilvl="0">
      <w:start w:val="1"/>
      <w:numFmt w:val="chineseCounting"/>
      <w:lvlRestart w:val="0"/>
      <w:suff w:val="nothing"/>
      <w:lvlText w:val="（%1）"/>
      <w:lvlJc w:val="left"/>
      <w:pPr>
        <w:ind w:left="0" w:hanging="0"/>
      </w:pPr>
      <w:rPr>
        <w:rFonts w:ascii="楷体" w:hAnsi="楷体" w:eastAsia="楷体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黑体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黑体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黑体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widowControl w:val="0"/>
      <w:spacing w:before="20" w:beforeAutospacing="0" w:after="20" w:afterAutospacing="0" w:line="413" w:lineRule="auto"/>
      <w:jc w:val="both"/>
      <w:outlineLvl w:val="2"/>
    </w:pPr>
    <w:rPr>
      <w:rFonts w:ascii="Calibri" w:eastAsia="宋体" w:cs="黑体" w:hAnsi="Calibri"/>
      <w:b/>
      <w:kern w:val="2"/>
      <w:sz w:val="21"/>
      <w:szCs w:val="22"/>
      <w:lang w:val="en-US" w:eastAsia="zh-CN" w:bidi="ar-SA"/>
    </w:rPr>
  </w:style>
  <w:style w:type="character" w:customStyle="1" w:styleId="3Char">
    <w:name w:val="heading 3 Char"/>
    <w:basedOn w:val="10"/>
    <w:link w:val="3"/>
    <w:rPr>
      <w:rFonts w:ascii="Calibri" w:eastAsia="宋体" w:cs="黑体" w:hAnsi="Calibri"/>
      <w:b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6">
    <w:name w:val="header"/>
    <w:qFormat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7">
    <w:name w:val="toc 1"/>
    <w:qFormat/>
    <w:basedOn w:val="0"/>
    <w:autoRedefine/>
    <w:next w:val="0"/>
  </w:style>
  <w:style w:type="paragraph" w:customStyle="1" w:styleId="18">
    <w:name w:val="样式1"/>
    <w:qFormat/>
    <w:basedOn w:val="0"/>
    <w:pPr>
      <w:widowControl w:val="0"/>
      <w:spacing w:line="540" w:lineRule="exact"/>
      <w:jc w:val="both"/>
    </w:pPr>
    <w:rPr>
      <w:rFonts w:ascii="Times New Roman" w:eastAsia="仿宋_GB2312" w:cs="Times New Roman" w:hAnsi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customXml" Target="../customXml/item1.xml"/><Relationship Id="rId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9E25CBCE-5E2E-4D9B-B52D-6EA5E3444886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160</TotalTime>
  <Application>Yozo_Office9.0.4819.102ZH</Application>
  <Pages>5</Pages>
  <Words>0</Words>
  <Characters>1734</Characters>
  <Lines>0</Lines>
  <Paragraphs>51</Paragraphs>
  <CharactersWithSpaces>2313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附件3：</dc:title>
  <dc:creator>欣欣大人</dc:creator>
  <cp:lastModifiedBy>Administrator</cp:lastModifiedBy>
  <cp:revision>3</cp:revision>
  <cp:lastPrinted>2024-03-06T07:40:18Z</cp:lastPrinted>
  <dcterms:created xsi:type="dcterms:W3CDTF">2020-02-04T03:46:00Z</dcterms:created>
  <dcterms:modified xsi:type="dcterms:W3CDTF">2025-07-21T07:27:01Z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2052-12.1.0.16388</vt:lpwstr>
  </property>
  <property fmtid="{D5CDD505-2E9C-101B-9397-08002B2CF9AE}" pid="3" name="ICV">
    <vt:lpwstr>96934721B1514D3FBAA28020338CE855_12</vt:lpwstr>
  </property>
</Properties>
</file>