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keepNext w:val="0"/>
        <w:keepLines w:val="0"/>
        <w:pageBreakBefore w:val="0"/>
        <w:widowControl w:val="0"/>
        <w:kinsoku/>
        <w:wordWrap/>
        <w:overflowPunct/>
        <w:topLinePunct w:val="0"/>
        <w:autoSpaceDE/>
        <w:autoSpaceDN/>
        <w:bidi w:val="0"/>
        <w:adjustRightInd/>
        <w:snapToGrid/>
        <w:spacing w:line="480" w:lineRule="exact"/>
        <w:ind w:left="0" w:firstLine="0"/>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宋体" w:hAnsi="宋体" w:cs="宋体"/>
          <w:b/>
          <w:bCs/>
          <w:sz w:val="44"/>
          <w:szCs w:val="44"/>
          <w:lang w:val="en-US" w:eastAsia="zh-CN"/>
        </w:rPr>
        <w:t>矿市街道办事处</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矿市街道办事处</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党政综合办公室工作职责：</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outlineLvl w:val="9"/>
        <w:rPr>
          <w:rFonts w:hint="eastAsia" w:ascii="仿宋_GB2312" w:hAnsi="仿宋_GB2312" w:eastAsia="仿宋_GB2312" w:cs="仿宋_GB2312"/>
          <w:color w:val="auto"/>
          <w:sz w:val="32"/>
          <w:szCs w:val="32"/>
        </w:rPr>
      </w:pPr>
      <w:r>
        <w:rPr>
          <w:rFonts w:hint="eastAsia" w:ascii="仿宋" w:hAnsi="仿宋" w:eastAsia="仿宋" w:cs="仿宋"/>
          <w:color w:val="auto"/>
          <w:sz w:val="32"/>
          <w:szCs w:val="32"/>
          <w:lang w:val="en-US" w:eastAsia="zh-CN"/>
        </w:rPr>
        <w:t>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在党工委、办事处领导下，检查、督促、了解党的方针政策及重要工作计划的贯彻实施情况，负责重大问题归口报告，认真做好上情下达、下情上达；</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负责安排党工委、办事处会议和党工委、办事处召集的其他会议，做好会前准备、会议记录和会后督查落实工作；根据党工委、办事处意见组织起草党工委、办事处工作计划、报告、决定、总结等文件或材料；</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负责安排各类办公会议和干部大会，做好会议记录，并协助分管领导督查会议议定事项的贯彻执行。做好干部的政治学习、宣传教育和思想政治工作。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eastAsia="zh-CN"/>
        </w:rPr>
        <w:t>在党工委、办事处领导下，具体执行上级的指示、决定和协调相关部门的工作。统一管理文件的制发，组织制订各项规章制度，发布行政事务通知、通告；</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eastAsia="zh-CN"/>
        </w:rPr>
        <w:t>安排值班工作。做好宣传、信息工作；负责文书档案工作、报刊、信函收发工作、文印工作和后勤管理工作；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eastAsia="zh-CN"/>
        </w:rPr>
        <w:t>负责办公设备的维护管理及安全保障工作；严格按照国家有关规定管理，做好机要事务处理和保密工作，坚决杜绝泄密事件发生；</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eastAsia="zh-CN"/>
        </w:rPr>
        <w:t>负责出具各种行政介绍信、证明信和其他函件、党政印章等的管理和使用；</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eastAsia="zh-CN"/>
        </w:rPr>
        <w:t>处理办公室日常事务工作，做好办公室内部建设工作；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9.协助分管领导搞好后勤接待保障工作，不断提高后勤服务质量；</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10.及时完成领导交办的各项临时性任务。</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val="en-US" w:eastAsia="zh-CN"/>
        </w:rPr>
      </w:pPr>
      <w:bookmarkStart w:id="0" w:name="_Toc1484"/>
      <w:r>
        <w:rPr>
          <w:rFonts w:hint="eastAsia" w:ascii="仿宋" w:hAnsi="仿宋" w:eastAsia="仿宋" w:cs="仿宋"/>
          <w:b/>
          <w:bCs/>
          <w:color w:val="auto"/>
          <w:sz w:val="32"/>
          <w:szCs w:val="32"/>
          <w:lang w:val="en-US" w:eastAsia="zh-CN"/>
        </w:rPr>
        <w:t>党建工作办公室工作职责</w:t>
      </w:r>
      <w:bookmarkEnd w:id="0"/>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宣传执行党的路线、方针、政策，宣传和执行党中央、上级党组织和本级党组织的决议，团结、组织党内外的干部和群众，努力完成本单位所担负的任务。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维护和执行党的纪律，监督党员干部和其他任何工作人员严格遵守国家法律法规。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负责街道党工委自身建设和基层党组织建设，以及其他隶属街道党工委的党组织建设。</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4</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负责下级党的基层组织选举工作，对下级党组织的成立或</w:t>
      </w: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撤销作出决定。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eastAsia="zh-CN"/>
        </w:rPr>
        <w:t>负责非公有制企业和社会组织党建工作，扩大新兴领域党</w:t>
      </w: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建有效覆盖。</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eastAsia="zh-CN"/>
        </w:rPr>
        <w:t>加强党员队伍建设，对党员进行教育、管理、监督和服务，做好经常性的发展党员工作。加强流动党员管理。</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7</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做好人才服务工作，发现、培养、推荐党员和群众中的优</w:t>
      </w:r>
    </w:p>
    <w:p>
      <w:pPr>
        <w:keepNext w:val="0"/>
        <w:keepLines w:val="0"/>
        <w:pageBreakBefore w:val="0"/>
        <w:widowControl w:val="0"/>
        <w:kinsoku/>
        <w:wordWrap/>
        <w:overflowPunct/>
        <w:topLinePunct w:val="0"/>
        <w:autoSpaceDE/>
        <w:autoSpaceDN/>
        <w:bidi w:val="0"/>
        <w:adjustRightInd/>
        <w:snapToGrid/>
        <w:spacing w:line="520" w:lineRule="exact"/>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秀人才。</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lang w:eastAsia="zh-CN"/>
        </w:rPr>
        <w:t>落实意识形态工作责任制，组织党员群众学习习近平新时代中国特色社会主义思想，培育和践行社会主义核心价值观，加强精神文明建设和文化建设。</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9</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落实统一战线工作任务要求，做好民族、宗教事务工作。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10领导辖区内人大工作，以及工会、共青团、妇联等工作。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指导居民委员会建立健全各项自治制度，并予以备案。</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12</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按权限负责社区工作者的日常管理工作。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13.</w:t>
      </w:r>
      <w:r>
        <w:rPr>
          <w:rFonts w:hint="eastAsia" w:ascii="仿宋_GB2312" w:hAnsi="仿宋_GB2312" w:eastAsia="仿宋_GB2312" w:cs="仿宋_GB2312"/>
          <w:color w:val="auto"/>
          <w:sz w:val="32"/>
          <w:szCs w:val="32"/>
          <w:lang w:eastAsia="zh-CN"/>
        </w:rPr>
        <w:t>负责联系街道据区内的人民代表大会代表，组织代表开展活动，反映代表和群众的建议、批评和意见，办理常务委员会交办的监督、选举以及其他工作，并向常务委员会报告工作。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14</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根据委托授权负责本辖区内的宗教事务管理工作。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15.及时完成领导交办的各项临时性任务。</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eastAsia="zh-CN"/>
        </w:rPr>
      </w:pPr>
      <w:r>
        <w:rPr>
          <w:rFonts w:hint="eastAsia" w:ascii="仿宋" w:hAnsi="仿宋" w:eastAsia="仿宋" w:cs="仿宋"/>
          <w:b/>
          <w:bCs/>
          <w:color w:val="auto"/>
          <w:sz w:val="32"/>
          <w:szCs w:val="32"/>
          <w:lang w:val="en-US" w:eastAsia="zh-CN"/>
        </w:rPr>
        <w:t>社会治理和应急管理办公室工作职责</w:t>
      </w:r>
      <w:r>
        <w:rPr>
          <w:rFonts w:hint="eastAsia" w:ascii="仿宋" w:hAnsi="仿宋" w:cs="仿宋"/>
          <w:b/>
          <w:bCs/>
          <w:color w:val="auto"/>
          <w:sz w:val="32"/>
          <w:szCs w:val="32"/>
          <w:lang w:val="en-US" w:eastAsia="zh-CN"/>
        </w:rPr>
        <w:t>：</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bookmarkStart w:id="1" w:name="_Toc29639"/>
      <w:r>
        <w:rPr>
          <w:rFonts w:hint="eastAsia" w:ascii="仿宋_GB2312" w:hAnsi="仿宋_GB2312" w:eastAsia="仿宋_GB2312" w:cs="仿宋_GB2312"/>
          <w:color w:val="auto"/>
          <w:sz w:val="32"/>
          <w:szCs w:val="32"/>
          <w:lang w:val="en-US" w:eastAsia="zh-CN"/>
        </w:rPr>
        <w:t>1.负责社会治安综合治理规划、检查、推动社会治安综合治理措施的落实，协调和督促有关部门开展法制宣传教育、信访工作、调解各类纠纷。</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2.负责加强群防群治组织建设，做好防范邪教工作，组织群众开展各种形式的治安防范活动和军民、警民联防活动；指导、帮助居民委员会做好社会治安综合治理工作。</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3.承担民间纠纷调解相关工作，承担企业劳动争议调解相关工作。</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组织相关单位开展社区矫正工作和对户籍或居住地在本辖区的刑满释放人员做好接收建档和安置帮教工作，做好重点帮教对象的衔接工作。会同司法部门开展社区矫正、社区戒毒、社区康复工作，负责做好未成年人保护工作。</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负责应急管理工作，建立健全应急联动机制，制定本级突发事件应急预案，落实应急管理责任，加强基层综合应急队伍建设和应急保障能力，组织开展应急演练，负责防汛抗洪、抗旱等防灾减灾相关工作；按照职责分工和相关预案开展突发环境事件应急处置工作，并按有关规定向上级报告。</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6.负责生产经营单位安全生产状况的监督检查，协助上级有关部门依法履行安全生产监督管理职责。</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负责本辖区的消防工作，开展消防宣传、防火巡查、隐患查改，指导居民委员会开展群众性的消防工作，开展护林和森林草原防火相关工作。组建火灾扑救队伍，做好防火物资储备，制定火灾应急处置办法，组织开展应急演练，做好火灾预防扑救。</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8.负责领导辖区传染病防治工作，组织开展群众性卫生活动，进行预防传染病的健康教育。</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9.负责本辖区内自然灾害救助工作，做好自然灾害风险排查、隐患治理、救助准备、信息报告、先期处置、应急救助等工作。</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10.负责基层治理综合指挥工作，建立健全综合指挥协调机制和工作流程，统筹协调指挥各类民生诉求事项、各类政府服务热线交办事项的受理、研判、转办、落实、反馈工作；负责基层网格化管理工作。</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11.负责组织协调互联网舆情化解和舆论引导工作，统筹推进信息化网络管理工作；负责指挥平台建设管理工作。</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12.做好信访工作，畅通信访渠道，处理来信、接待来访。</w:t>
      </w:r>
    </w:p>
    <w:p>
      <w:pPr>
        <w:pageBreakBefore w:val="0"/>
        <w:widowControl w:val="0"/>
        <w:kinsoku/>
        <w:wordWrap/>
        <w:overflowPunct/>
        <w:topLinePunct w:val="0"/>
        <w:autoSpaceDE/>
        <w:autoSpaceDN/>
        <w:bidi w:val="0"/>
        <w:adjustRightInd/>
        <w:snapToGrid/>
        <w:spacing w:line="520" w:lineRule="exact"/>
        <w:ind w:firstLine="640" w:firstLineChars="200"/>
        <w:textAlignment w:val="auto"/>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13.及时完成领导交办的各项临时性任务。</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eastAsia="zh-CN"/>
        </w:rPr>
      </w:pPr>
      <w:r>
        <w:rPr>
          <w:rFonts w:hint="eastAsia" w:ascii="仿宋" w:hAnsi="仿宋" w:eastAsia="仿宋" w:cs="仿宋"/>
          <w:b/>
          <w:bCs/>
          <w:color w:val="auto"/>
          <w:sz w:val="32"/>
          <w:szCs w:val="32"/>
          <w:lang w:val="en-US" w:eastAsia="zh-CN"/>
        </w:rPr>
        <w:t>自然资源和生态环境办公室工作职责</w:t>
      </w:r>
      <w:bookmarkEnd w:id="1"/>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bookmarkStart w:id="2" w:name="_Toc18492"/>
      <w:r>
        <w:rPr>
          <w:rFonts w:hint="eastAsia" w:ascii="仿宋_GB2312" w:hAnsi="仿宋_GB2312" w:eastAsia="仿宋_GB2312" w:cs="仿宋_GB2312"/>
          <w:color w:val="auto"/>
          <w:sz w:val="32"/>
          <w:szCs w:val="32"/>
          <w:lang w:val="en-US" w:eastAsia="zh-CN"/>
        </w:rPr>
        <w:t>1.负责辖区生态环境保护，环保监测及督查等工作。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2.负责大气、水、土壤污染防治，水资源保护、水环境治理，监督防止地下水污染等工作。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3.督促辖区新改扩迁建项目，及时做好环保措施；做好土地调查等工作。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4.认真履行环境保护监督管理职责，组织开展对辖区内餐饮饭店、小食品作坊、落叶、垃圾焚烧、居民区环境卫生综合整治等进行环境安全隐患排查和日常监管工作。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5.及时制止和上报辖区内居民和个体经营户破坏生态环境、加大对辖区明火焚烧垃圾、树叶的巡查，发现问题及时进行制止、扑灭并做好焚烧人的教育工作。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6.加强环境保护宣传教育，提高居民的环境保护意识，推动环境保护工作的共同参与和社会监督。</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7.承担街道党工委、街道办及上级部门交办的其他工作。</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仿宋_GB2312" w:hAnsi="仿宋_GB2312" w:eastAsia="仿宋_GB2312" w:cs="仿宋_GB2312"/>
          <w:color w:val="auto"/>
          <w:sz w:val="32"/>
          <w:szCs w:val="32"/>
          <w:lang w:eastAsia="zh-CN"/>
        </w:rPr>
      </w:pPr>
      <w:r>
        <w:rPr>
          <w:rFonts w:hint="eastAsia" w:ascii="仿宋" w:hAnsi="仿宋" w:eastAsia="仿宋" w:cs="仿宋"/>
          <w:b/>
          <w:bCs/>
          <w:color w:val="auto"/>
          <w:sz w:val="32"/>
          <w:szCs w:val="32"/>
          <w:lang w:val="en-US" w:eastAsia="zh-CN"/>
        </w:rPr>
        <w:t>社区建设和物业监督管理办公室工作职责</w:t>
      </w:r>
      <w:bookmarkEnd w:id="2"/>
      <w:bookmarkStart w:id="3" w:name="_Toc30387"/>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按权限负责基层社区社会组织的分类指导和业务指导。</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负责指导辖区业主大会的成立和业主委员会的选举工作。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按权限负责居民委员会的设立、撇销、范围调整等工作。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4</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负责指导居民委员会的换届选举工作。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5</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协助所在区域内房产行政主管部门对物业管理活动进行监督管理，负责协调解物业管理纠纷。</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6</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负责加强本辖区健康教育工作及其专专业人才培养，建立健康知识和技能核心信息发布制度，普及健康科学知识，向公众提供科学、准确的健康信息。</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7</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 xml:space="preserve">负责本辖区健康中国建设，健全实施健康中国行动领导推进工作机制，逐项抓好任务落实。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8</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开展就业政策宣传、就业援助等就业服务工作。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9</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负责辖区内人口与计划生育工作。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10</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组织开展本辖区科普活动，宣传科学、文明的生产和生活方式。</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11</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组织实施居家养老服务工作，建设居家养老服务设施，落实政府购买服务、经费补贴等扶持政策措施，组织、指导社会各界参与居家养老和空巢、留守老年人关爱服务。</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12</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按权限开展社会救助工作。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13</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按权限做好残疾人保障工作。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14</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负责组织开展预防精神障碍发生、促进精神障碍患者康复等工作。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15</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按照职责分工负责做好辖区城乡居民基本养老保险工作。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16</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负责辖区内城乡居民基本医疗保险的参保组织、基金征缴和政策宣传工作。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17</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负责辖区内的统计工作。履行统计职责，广泛引导、动员和组织社会力量积极参与并认真配合做好国家规定的周期性普查工作。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18</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负责本辖区爱国卫生日常工作。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outlineLvl w:val="9"/>
        <w:rPr>
          <w:rFonts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19.及时完成领导交办的各项临时性任务。</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val="en-US" w:eastAsia="zh-CN"/>
        </w:rPr>
      </w:pPr>
      <w:r>
        <w:rPr>
          <w:rFonts w:hint="eastAsia" w:ascii="仿宋" w:hAnsi="仿宋" w:eastAsia="仿宋" w:cs="仿宋"/>
          <w:b/>
          <w:bCs/>
          <w:color w:val="auto"/>
          <w:sz w:val="32"/>
          <w:szCs w:val="32"/>
          <w:lang w:val="en-US" w:eastAsia="zh-CN"/>
        </w:rPr>
        <w:t>综合行政执法队工作职责</w:t>
      </w:r>
      <w:bookmarkEnd w:id="3"/>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参与辖区内部门联动，配合</w:t>
      </w:r>
      <w:r>
        <w:rPr>
          <w:rFonts w:hint="eastAsia" w:ascii="仿宋_GB2312" w:hAnsi="仿宋_GB2312" w:eastAsia="仿宋_GB2312" w:cs="仿宋_GB2312"/>
          <w:color w:val="auto"/>
          <w:sz w:val="32"/>
          <w:szCs w:val="32"/>
          <w:lang w:eastAsia="zh-CN"/>
        </w:rPr>
        <w:t>街道</w:t>
      </w:r>
      <w:r>
        <w:rPr>
          <w:rFonts w:hint="eastAsia" w:ascii="仿宋_GB2312" w:hAnsi="仿宋_GB2312" w:eastAsia="仿宋_GB2312" w:cs="仿宋_GB2312"/>
          <w:color w:val="auto"/>
          <w:sz w:val="32"/>
          <w:szCs w:val="32"/>
        </w:rPr>
        <w:t>其他职能部门开展联合执法及专项整治工作。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根据城市管理方面的法律、法规、规章，对违反城市容貌、环境卫生、城市园林、城市绿化、灯光环境、风景区、爱国卫生、犬类管理、户外广告设置管理规定的行为进行查处。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根据公安交通管理和道路管理方面的法律、法规、规章，对擅自占用人行道设置非交通设施（含建筑物和构筑物）、摆摊设点、销售商品等影响市容环境的行为进行查处。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根据环境保护方面的法律、法规、规章，对违反社会生活噪声管理规定、在商业经营活动中使用高声喇叭或者采取其他方式发出高噪声的行为、在街道、广场、公园等公共场所组织娱乐、集会等活动，使用音响器材，产生干扰周围生活环境的过大音量的行为和未经批准焚烧废弃物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根据食品卫生管理方面的法律、法规、规章，对街头流动饮食、食品摊档进行查处。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根据畜禽屠宰方面的法律、法规、规章，对私设屠宰场、非法屠宰畜禽的行为进行查处。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根据建设方面的法律、法规、规章，对未取得《施工许可证》擅自进行改建工程（包括二次装修工程）施工的行为进行查处。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根据燃气方面的法律、法规、规章，对未经批准或者备案擅自从事瓶装燃气经营活动的和利用机动车辆或者其他运输工具作为储存场所定点或者流动销售瓶装燃气的行为进行查处，直接为预约用户提供送气服务的除外。</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根据文化市场管理方面的法律、法规、规章，对在街头、路面、灯光夜市摆卖、兜售非法出版物和未经批准进行营业性演出的行为进行查处。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根据安全生产管理和矿产管理方面的法律、法规、规章，对未按规定取得许可而擅自从事生产、经营、储地人 存烟花爆竹和未经批准擅自进行采石、取土的行为进行查处。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11.</w:t>
      </w:r>
      <w:r>
        <w:rPr>
          <w:rFonts w:hint="eastAsia" w:ascii="仿宋_GB2312" w:hAnsi="仿宋_GB2312" w:eastAsia="仿宋_GB2312" w:cs="仿宋_GB2312"/>
          <w:color w:val="auto"/>
          <w:sz w:val="32"/>
          <w:szCs w:val="32"/>
        </w:rPr>
        <w:t>根据殡葬管理方面的法律、法规、规章，对非法从事或者超出核准登记经营范围从事殡葬服务业务和殡葬设备、用品的生产、销售等经营活动的行为进行查处。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rPr>
        <w:t>根据教育管理方面的法律、法规、规章，对非法设立高校、中小学校、幼儿园的行为进行查处。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13.</w:t>
      </w:r>
      <w:r>
        <w:rPr>
          <w:rFonts w:hint="eastAsia" w:ascii="仿宋_GB2312" w:hAnsi="仿宋_GB2312" w:eastAsia="仿宋_GB2312" w:cs="仿宋_GB2312"/>
          <w:color w:val="auto"/>
          <w:sz w:val="32"/>
          <w:szCs w:val="32"/>
        </w:rPr>
        <w:t>履行法律、法规、规章和政府授予的其他职权。</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ascii="仿宋_GB2312" w:hAnsi="仿宋_GB2312" w:eastAsia="仿宋_GB2312" w:cs="仿宋_GB2312"/>
          <w:color w:val="auto"/>
          <w:sz w:val="32"/>
          <w:szCs w:val="32"/>
          <w:lang w:val="en-US"/>
        </w:rPr>
      </w:pPr>
      <w:r>
        <w:rPr>
          <w:rFonts w:hint="eastAsia" w:ascii="仿宋_GB2312" w:hAnsi="仿宋_GB2312" w:eastAsia="仿宋_GB2312" w:cs="仿宋_GB2312"/>
          <w:color w:val="auto"/>
          <w:sz w:val="32"/>
          <w:szCs w:val="32"/>
          <w:lang w:val="en-US" w:eastAsia="zh-CN"/>
        </w:rPr>
        <w:t>14.及时完成领导交办的各项临时性任务。</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eastAsia="zh-CN"/>
        </w:rPr>
      </w:pPr>
      <w:bookmarkStart w:id="4" w:name="_Toc9657"/>
      <w:r>
        <w:rPr>
          <w:rFonts w:hint="eastAsia" w:ascii="仿宋" w:hAnsi="仿宋" w:eastAsia="仿宋" w:cs="仿宋"/>
          <w:b/>
          <w:bCs/>
          <w:color w:val="auto"/>
          <w:sz w:val="32"/>
          <w:szCs w:val="32"/>
          <w:lang w:val="en-US" w:eastAsia="zh-CN"/>
        </w:rPr>
        <w:t>行政综合服务中心工作职责</w:t>
      </w:r>
      <w:bookmarkEnd w:id="4"/>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eastAsia="zh-CN"/>
        </w:rPr>
      </w:pPr>
      <w:bookmarkStart w:id="5" w:name="_Toc28563"/>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以依法行政、规范服务、廉洁高效为主线，以基层群众办事需求为导向，以行政机构改革委抓手，规范化管理，开展基层行政审批和公共服务工作。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负</w:t>
      </w:r>
      <w:r>
        <w:rPr>
          <w:rFonts w:hint="eastAsia" w:ascii="仿宋_GB2312" w:hAnsi="仿宋_GB2312" w:eastAsia="仿宋_GB2312" w:cs="仿宋_GB2312"/>
          <w:sz w:val="32"/>
          <w:szCs w:val="32"/>
        </w:rPr>
        <w:t>责行政审批服务事项的受理、办理工作，严格审核城乡建设、涉军事务、民生保障等事项，提供政策和业务咨询；</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指导社区便民服务点建设；</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配合区级部门完成延伸受理环节及进驻办理事项；</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5.</w:t>
      </w:r>
      <w:r>
        <w:rPr>
          <w:rFonts w:hint="eastAsia" w:ascii="仿宋_GB2312" w:hAnsi="仿宋_GB2312" w:eastAsia="仿宋_GB2312" w:cs="仿宋_GB2312"/>
          <w:sz w:val="32"/>
          <w:szCs w:val="32"/>
        </w:rPr>
        <w:t>负责开展群众文化艺术娱乐、体育活动，负责文化市场监督、巡查工作；</w:t>
      </w:r>
    </w:p>
    <w:p>
      <w:pPr>
        <w:keepNext w:val="0"/>
        <w:keepLines w:val="0"/>
        <w:pageBreakBefore w:val="0"/>
        <w:widowControl w:val="0"/>
        <w:kinsoku/>
        <w:wordWrap/>
        <w:overflowPunct/>
        <w:topLinePunct w:val="0"/>
        <w:autoSpaceDE/>
        <w:autoSpaceDN/>
        <w:bidi w:val="0"/>
        <w:adjustRightInd/>
        <w:snapToGrid/>
        <w:spacing w:line="520" w:lineRule="exac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6.</w:t>
      </w:r>
      <w:r>
        <w:rPr>
          <w:rFonts w:hint="eastAsia" w:ascii="仿宋_GB2312" w:hAnsi="仿宋_GB2312" w:eastAsia="仿宋_GB2312" w:cs="仿宋_GB2312"/>
          <w:sz w:val="32"/>
          <w:szCs w:val="32"/>
        </w:rPr>
        <w:t>负责文物普查、保护和开发利用工作；六、指导社区文化室建设、文体设施规划建设。</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黑体" w:eastAsia="黑体"/>
          <w:color w:val="auto"/>
          <w:sz w:val="36"/>
          <w:szCs w:val="36"/>
          <w:lang w:eastAsia="zh-CN"/>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业务办理以依法、便民、高效为办事原则，在</w:t>
      </w:r>
      <w:r>
        <w:rPr>
          <w:rFonts w:hint="eastAsia" w:ascii="仿宋_GB2312" w:hAnsi="仿宋_GB2312" w:eastAsia="仿宋_GB2312" w:cs="仿宋_GB2312"/>
          <w:sz w:val="32"/>
          <w:szCs w:val="32"/>
        </w:rPr>
        <w:t>承诺时限内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尽可能做到早办快办，缩短办结时限，提高办事效率，方便居民群众。按照</w:t>
      </w:r>
      <w:r>
        <w:rPr>
          <w:rFonts w:hint="eastAsia" w:ascii="仿宋_GB2312" w:hAnsi="仿宋_GB2312" w:eastAsia="仿宋_GB2312" w:cs="仿宋_GB2312"/>
          <w:sz w:val="32"/>
          <w:szCs w:val="32"/>
          <w:lang w:eastAsia="zh-CN"/>
        </w:rPr>
        <w:t>即</w:t>
      </w:r>
      <w:r>
        <w:rPr>
          <w:rFonts w:hint="eastAsia" w:ascii="仿宋_GB2312" w:hAnsi="仿宋_GB2312" w:eastAsia="仿宋_GB2312" w:cs="仿宋_GB2312"/>
          <w:sz w:val="32"/>
          <w:szCs w:val="32"/>
        </w:rPr>
        <w:t>办件，承诺件，</w:t>
      </w:r>
      <w:r>
        <w:rPr>
          <w:rFonts w:hint="eastAsia" w:ascii="仿宋_GB2312" w:hAnsi="仿宋_GB2312" w:eastAsia="仿宋_GB2312" w:cs="仿宋_GB2312"/>
          <w:sz w:val="32"/>
          <w:szCs w:val="32"/>
          <w:lang w:eastAsia="zh-CN"/>
        </w:rPr>
        <w:t>补充办理件</w:t>
      </w:r>
      <w:r>
        <w:rPr>
          <w:rFonts w:hint="eastAsia" w:ascii="仿宋_GB2312" w:hAnsi="仿宋_GB2312" w:eastAsia="仿宋_GB2312" w:cs="仿宋_GB2312"/>
          <w:sz w:val="32"/>
          <w:szCs w:val="32"/>
        </w:rPr>
        <w:t>进行分类</w:t>
      </w:r>
      <w:r>
        <w:rPr>
          <w:rFonts w:hint="eastAsia" w:ascii="仿宋_GB2312" w:hAnsi="仿宋_GB2312" w:eastAsia="仿宋_GB2312" w:cs="仿宋_GB2312"/>
          <w:sz w:val="32"/>
          <w:szCs w:val="32"/>
          <w:lang w:eastAsia="zh-CN"/>
        </w:rPr>
        <w:t>办理。即</w:t>
      </w:r>
      <w:r>
        <w:rPr>
          <w:rFonts w:hint="eastAsia" w:ascii="仿宋_GB2312" w:hAnsi="仿宋_GB2312" w:eastAsia="仿宋_GB2312" w:cs="仿宋_GB2312"/>
          <w:sz w:val="32"/>
          <w:szCs w:val="32"/>
        </w:rPr>
        <w:t>办件，</w:t>
      </w:r>
      <w:r>
        <w:rPr>
          <w:rFonts w:hint="eastAsia" w:ascii="仿宋_GB2312" w:hAnsi="仿宋_GB2312" w:eastAsia="仿宋_GB2312" w:cs="仿宋_GB2312"/>
          <w:sz w:val="32"/>
          <w:szCs w:val="32"/>
          <w:lang w:eastAsia="zh-CN"/>
        </w:rPr>
        <w:t>即</w:t>
      </w:r>
      <w:r>
        <w:rPr>
          <w:rFonts w:hint="eastAsia" w:ascii="仿宋_GB2312" w:hAnsi="仿宋_GB2312" w:eastAsia="仿宋_GB2312" w:cs="仿宋_GB2312"/>
          <w:sz w:val="32"/>
          <w:szCs w:val="32"/>
        </w:rPr>
        <w:t>收</w:t>
      </w:r>
      <w:r>
        <w:rPr>
          <w:rFonts w:hint="eastAsia" w:ascii="仿宋_GB2312" w:hAnsi="仿宋_GB2312" w:eastAsia="仿宋_GB2312" w:cs="仿宋_GB2312"/>
          <w:sz w:val="32"/>
          <w:szCs w:val="32"/>
          <w:lang w:eastAsia="zh-CN"/>
        </w:rPr>
        <w:t>即</w:t>
      </w:r>
      <w:r>
        <w:rPr>
          <w:rFonts w:hint="eastAsia" w:ascii="仿宋_GB2312" w:hAnsi="仿宋_GB2312" w:eastAsia="仿宋_GB2312" w:cs="仿宋_GB2312"/>
          <w:sz w:val="32"/>
          <w:szCs w:val="32"/>
        </w:rPr>
        <w:t>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当场</w:t>
      </w:r>
      <w:r>
        <w:rPr>
          <w:rFonts w:hint="eastAsia" w:ascii="仿宋_GB2312" w:hAnsi="仿宋_GB2312" w:eastAsia="仿宋_GB2312" w:cs="仿宋_GB2312"/>
          <w:sz w:val="32"/>
          <w:szCs w:val="32"/>
          <w:lang w:eastAsia="zh-CN"/>
        </w:rPr>
        <w:t>为居民</w:t>
      </w:r>
      <w:r>
        <w:rPr>
          <w:rFonts w:hint="eastAsia" w:ascii="仿宋_GB2312" w:hAnsi="仿宋_GB2312" w:eastAsia="仿宋_GB2312" w:cs="仿宋_GB2312"/>
          <w:sz w:val="32"/>
          <w:szCs w:val="32"/>
        </w:rPr>
        <w:t>办结。承诺</w:t>
      </w:r>
      <w:r>
        <w:rPr>
          <w:rFonts w:hint="eastAsia" w:ascii="仿宋_GB2312" w:hAnsi="仿宋_GB2312" w:eastAsia="仿宋_GB2312" w:cs="仿宋_GB2312"/>
          <w:sz w:val="32"/>
          <w:szCs w:val="32"/>
          <w:lang w:eastAsia="zh-CN"/>
        </w:rPr>
        <w:t>件，</w:t>
      </w:r>
      <w:r>
        <w:rPr>
          <w:rFonts w:hint="eastAsia" w:ascii="仿宋_GB2312" w:hAnsi="仿宋_GB2312" w:eastAsia="仿宋_GB2312" w:cs="仿宋_GB2312"/>
          <w:sz w:val="32"/>
          <w:szCs w:val="32"/>
        </w:rPr>
        <w:t>承诺</w:t>
      </w:r>
      <w:r>
        <w:rPr>
          <w:rFonts w:hint="eastAsia" w:ascii="仿宋_GB2312" w:hAnsi="仿宋_GB2312" w:eastAsia="仿宋_GB2312" w:cs="仿宋_GB2312"/>
          <w:sz w:val="32"/>
          <w:szCs w:val="32"/>
          <w:lang w:eastAsia="zh-CN"/>
        </w:rPr>
        <w:t>办理时限，进行办理。</w:t>
      </w:r>
      <w:r>
        <w:rPr>
          <w:rFonts w:hint="eastAsia" w:ascii="仿宋_GB2312" w:hAnsi="仿宋_GB2312" w:eastAsia="仿宋_GB2312" w:cs="仿宋_GB2312"/>
          <w:sz w:val="32"/>
          <w:szCs w:val="32"/>
        </w:rPr>
        <w:t>补</w:t>
      </w:r>
      <w:r>
        <w:rPr>
          <w:rFonts w:hint="eastAsia" w:ascii="仿宋_GB2312" w:hAnsi="仿宋_GB2312" w:eastAsia="仿宋_GB2312" w:cs="仿宋_GB2312"/>
          <w:sz w:val="32"/>
          <w:szCs w:val="32"/>
          <w:lang w:eastAsia="zh-CN"/>
        </w:rPr>
        <w:t>充办理</w:t>
      </w:r>
      <w:r>
        <w:rPr>
          <w:rFonts w:hint="eastAsia" w:ascii="仿宋_GB2312" w:hAnsi="仿宋_GB2312" w:eastAsia="仿宋_GB2312" w:cs="仿宋_GB2312"/>
          <w:sz w:val="32"/>
          <w:szCs w:val="32"/>
        </w:rPr>
        <w:t>件，</w:t>
      </w:r>
      <w:r>
        <w:rPr>
          <w:rFonts w:hint="eastAsia" w:ascii="仿宋_GB2312" w:hAnsi="仿宋_GB2312" w:eastAsia="仿宋_GB2312" w:cs="仿宋_GB2312"/>
          <w:sz w:val="32"/>
          <w:szCs w:val="32"/>
          <w:lang w:eastAsia="zh-CN"/>
        </w:rPr>
        <w:t>依据法律法规，</w:t>
      </w:r>
      <w:r>
        <w:rPr>
          <w:rFonts w:hint="eastAsia" w:ascii="仿宋_GB2312" w:hAnsi="仿宋_GB2312" w:eastAsia="仿宋_GB2312" w:cs="仿宋_GB2312"/>
          <w:sz w:val="32"/>
          <w:szCs w:val="32"/>
        </w:rPr>
        <w:t>一次性明确告知</w:t>
      </w:r>
      <w:r>
        <w:rPr>
          <w:rFonts w:hint="eastAsia" w:ascii="仿宋_GB2312" w:hAnsi="仿宋_GB2312" w:eastAsia="仿宋_GB2312" w:cs="仿宋_GB2312"/>
          <w:sz w:val="32"/>
          <w:szCs w:val="32"/>
          <w:lang w:eastAsia="zh-CN"/>
        </w:rPr>
        <w:t>居民</w:t>
      </w:r>
      <w:r>
        <w:rPr>
          <w:rFonts w:hint="eastAsia" w:ascii="仿宋_GB2312" w:hAnsi="仿宋_GB2312" w:eastAsia="仿宋_GB2312" w:cs="仿宋_GB2312"/>
          <w:sz w:val="32"/>
          <w:szCs w:val="32"/>
        </w:rPr>
        <w:t>需补办的材料</w:t>
      </w:r>
      <w:r>
        <w:rPr>
          <w:rFonts w:hint="eastAsia" w:ascii="仿宋_GB2312" w:hAnsi="仿宋_GB2312" w:eastAsia="仿宋_GB2312" w:cs="仿宋_GB2312"/>
          <w:sz w:val="32"/>
          <w:szCs w:val="32"/>
          <w:lang w:eastAsia="zh-CN"/>
        </w:rPr>
        <w:t>，待材料充分后，办结</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eastAsia="zh-CN"/>
        </w:rPr>
      </w:pPr>
      <w:r>
        <w:rPr>
          <w:rFonts w:hint="eastAsia" w:ascii="仿宋" w:hAnsi="仿宋" w:eastAsia="仿宋" w:cs="仿宋"/>
          <w:b/>
          <w:bCs/>
          <w:color w:val="auto"/>
          <w:sz w:val="32"/>
          <w:szCs w:val="32"/>
          <w:lang w:val="en-US" w:eastAsia="zh-CN"/>
        </w:rPr>
        <w:t>退役军人服务站工作职责</w:t>
      </w:r>
      <w:bookmarkEnd w:id="5"/>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w:t>
      </w:r>
      <w:r>
        <w:rPr>
          <w:rFonts w:hint="eastAsia" w:ascii="仿宋_GB2312" w:hAnsi="仿宋_GB2312" w:eastAsia="仿宋_GB2312" w:cs="仿宋_GB2312"/>
          <w:color w:val="auto"/>
          <w:sz w:val="32"/>
          <w:szCs w:val="32"/>
        </w:rPr>
        <w:t>业务指导:指导</w:t>
      </w:r>
      <w:r>
        <w:rPr>
          <w:rFonts w:hint="eastAsia" w:ascii="仿宋_GB2312" w:hAnsi="仿宋_GB2312" w:eastAsia="仿宋_GB2312" w:cs="仿宋_GB2312"/>
          <w:color w:val="auto"/>
          <w:sz w:val="32"/>
          <w:szCs w:val="32"/>
          <w:lang w:eastAsia="zh-CN"/>
        </w:rPr>
        <w:t>社区</w:t>
      </w:r>
      <w:r>
        <w:rPr>
          <w:rFonts w:hint="eastAsia" w:ascii="仿宋_GB2312" w:hAnsi="仿宋_GB2312" w:eastAsia="仿宋_GB2312" w:cs="仿宋_GB2312"/>
          <w:color w:val="auto"/>
          <w:sz w:val="32"/>
          <w:szCs w:val="32"/>
        </w:rPr>
        <w:t>退役军人服务站业务工作</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就业创业扶持:做好退役军人就业需求信息摸底报送，组织参加适应性培训、职业技能培训、实习实训、学历教育和就业招聘活动，协助做好返乡创业园建设、返乡创业扶持、外出务工就业帮扶工作</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走访慰问:组织开展走访慰问活动</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rPr>
        <w:t>帮扶解困:帮助符合条件的申请享受低保、特困、医疗、教育、住房、临时救助等社会保障事项，做好申请关爱基金资助的审核、上报工作</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信访接待:做好信访接待，开展政策咨询、心理疏导、诉求转报，办理上级转交的信访事项</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信息采集:组织开展信息数据采集分析、动态更新、资料管理、总结报送和信息提供，完善综合信息台账，协助做好诚信体系建设</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优抚服务:做好送喜报、悬挂光荣牌、优待证发放等优抚服务工作</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8.</w:t>
      </w:r>
      <w:r>
        <w:rPr>
          <w:rFonts w:hint="eastAsia" w:ascii="仿宋_GB2312" w:hAnsi="仿宋_GB2312" w:eastAsia="仿宋_GB2312" w:cs="仿宋_GB2312"/>
          <w:color w:val="auto"/>
          <w:sz w:val="32"/>
          <w:szCs w:val="32"/>
        </w:rPr>
        <w:t>培树典型:协助做好典型培树、推荐和宣传工作</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9.</w:t>
      </w:r>
      <w:r>
        <w:rPr>
          <w:rFonts w:hint="eastAsia" w:ascii="仿宋_GB2312" w:hAnsi="仿宋_GB2312" w:eastAsia="仿宋_GB2312" w:cs="仿宋_GB2312"/>
          <w:color w:val="auto"/>
          <w:sz w:val="32"/>
          <w:szCs w:val="32"/>
        </w:rPr>
        <w:t>党员管理:协助做好退役军人党员摸排和管理教育工作</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做好流动党员信息录入工作</w:t>
      </w:r>
      <w:r>
        <w:rPr>
          <w:rFonts w:hint="eastAsia" w:ascii="仿宋_GB2312" w:hAnsi="仿宋_GB2312" w:eastAsia="仿宋_GB2312" w:cs="仿宋_GB2312"/>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黑体" w:eastAsia="黑体"/>
          <w:color w:val="auto"/>
          <w:sz w:val="36"/>
          <w:szCs w:val="36"/>
          <w:lang w:eastAsia="zh-CN"/>
        </w:rPr>
      </w:pPr>
      <w:r>
        <w:rPr>
          <w:rFonts w:hint="eastAsia" w:ascii="仿宋_GB2312" w:hAnsi="仿宋_GB2312" w:eastAsia="仿宋_GB2312" w:cs="仿宋_GB2312"/>
          <w:color w:val="auto"/>
          <w:sz w:val="32"/>
          <w:szCs w:val="32"/>
          <w:lang w:val="en-US" w:eastAsia="zh-CN"/>
        </w:rPr>
        <w:t>10.</w:t>
      </w:r>
      <w:r>
        <w:rPr>
          <w:rFonts w:hint="eastAsia" w:ascii="仿宋_GB2312" w:hAnsi="仿宋_GB2312" w:eastAsia="仿宋_GB2312" w:cs="仿宋_GB2312"/>
          <w:color w:val="auto"/>
          <w:sz w:val="32"/>
          <w:szCs w:val="32"/>
        </w:rPr>
        <w:t>其他工作:</w:t>
      </w:r>
      <w:r>
        <w:rPr>
          <w:rFonts w:hint="eastAsia" w:ascii="仿宋_GB2312" w:hAnsi="仿宋_GB2312" w:eastAsia="仿宋_GB2312" w:cs="仿宋_GB2312"/>
          <w:color w:val="auto"/>
          <w:sz w:val="32"/>
          <w:szCs w:val="32"/>
          <w:lang w:val="en-US" w:eastAsia="zh-CN"/>
        </w:rPr>
        <w:t>及时完成领导交办的各项临时性任务。</w:t>
      </w:r>
      <w:bookmarkStart w:id="6" w:name="_Toc15024"/>
    </w:p>
    <w:p>
      <w:pPr>
        <w:keepNext w:val="0"/>
        <w:keepLines w:val="0"/>
        <w:pageBreakBefore w:val="0"/>
        <w:widowControl w:val="0"/>
        <w:kinsoku/>
        <w:wordWrap/>
        <w:overflowPunct/>
        <w:topLinePunct w:val="0"/>
        <w:autoSpaceDE/>
        <w:autoSpaceDN/>
        <w:bidi w:val="0"/>
        <w:adjustRightInd/>
        <w:snapToGrid/>
        <w:spacing w:line="520" w:lineRule="exact"/>
        <w:ind w:firstLine="643" w:firstLineChars="200"/>
        <w:jc w:val="both"/>
        <w:textAlignment w:val="auto"/>
        <w:outlineLvl w:val="9"/>
        <w:rPr>
          <w:rFonts w:hint="eastAsia" w:ascii="黑体" w:eastAsia="黑体"/>
          <w:color w:val="auto"/>
          <w:sz w:val="36"/>
          <w:szCs w:val="36"/>
          <w:lang w:eastAsia="zh-CN"/>
        </w:rPr>
      </w:pPr>
      <w:r>
        <w:rPr>
          <w:rFonts w:hint="eastAsia" w:ascii="仿宋" w:hAnsi="仿宋" w:eastAsia="仿宋" w:cs="仿宋"/>
          <w:b/>
          <w:bCs/>
          <w:color w:val="auto"/>
          <w:sz w:val="32"/>
          <w:szCs w:val="32"/>
          <w:lang w:val="en-US" w:eastAsia="zh-CN"/>
        </w:rPr>
        <w:t>纪工委（监察组）工作职责</w:t>
      </w:r>
      <w:bookmarkEnd w:id="6"/>
      <w:r>
        <w:rPr>
          <w:rFonts w:hint="eastAsia" w:ascii="仿宋" w:hAnsi="仿宋" w:cs="仿宋"/>
          <w:b/>
          <w:bCs/>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监督检查所属辖区范围内党组织和党员贯彻执行党的路线、方针、政策和决议、决定的情况。</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协助党工委组织协调本地区党风廉政建设和反腐败工作，负责对党风廉政建设责任制执行情况进行监督检查。</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对党员干部进行遵纪守法，廉洁从政的教育，全面提高党员干部的思想政治素质和廉洁自律意识。坚决纠正损害群众利益的不正之风，着力解决群众反映的突出问题。</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eastAsia="zh-CN"/>
        </w:rPr>
        <w:t>经常了解并向街道党工委反映党员遵纪守法的情况，对工作中带倾向性、苗头性的问题进行调查研究，加快推进惩治和预防腐败体系建设。</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lang w:eastAsia="zh-CN"/>
        </w:rPr>
        <w:t>调查所属辖</w:t>
      </w:r>
      <w:r>
        <w:rPr>
          <w:rFonts w:hint="eastAsia" w:ascii="仿宋_GB2312" w:hAnsi="仿宋_GB2312" w:eastAsia="仿宋_GB2312" w:cs="仿宋_GB2312"/>
          <w:color w:val="auto"/>
          <w:sz w:val="32"/>
          <w:szCs w:val="32"/>
          <w:lang w:val="en-US" w:eastAsia="zh-CN"/>
        </w:rPr>
        <w:t>区内党组织和党员违反党章党纪、国家法律法规相关问题，并根据违纪人违纪违规情况和干部管理权限，按照有关规定查处。受理党员、群众对党组织、党员的检举、控告。</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6.依法对街道管辖范围内行使公权力的公职人员进行廉政教育，对其依法履职，秉公用权、廉洁从政从业以及道德操守情况进行监督检查；向监察对象所在单位提出监察建议；协助区监委开展调查工作；采取谈话、询问等方式对职务违法行为进行调查。</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督促落实街道党务、政务、财务公开，负责内部审计工作。</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textAlignment w:val="auto"/>
        <w:outlineLvl w:val="9"/>
        <w:rPr>
          <w:rFonts w:hint="eastAsia" w:ascii="楷体" w:hAnsi="楷体" w:eastAsia="楷体" w:cs="楷体_GB2312"/>
          <w:bCs/>
          <w:sz w:val="32"/>
          <w:szCs w:val="32"/>
        </w:rPr>
      </w:pPr>
      <w:r>
        <w:rPr>
          <w:rFonts w:hint="eastAsia" w:ascii="仿宋_GB2312" w:hAnsi="仿宋_GB2312" w:eastAsia="仿宋_GB2312" w:cs="仿宋_GB2312"/>
          <w:color w:val="auto"/>
          <w:sz w:val="32"/>
          <w:szCs w:val="32"/>
          <w:lang w:val="en-US" w:eastAsia="zh-CN"/>
        </w:rPr>
        <w:t>8.完成区纪委监委交办及领导交办的其他任务等。</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default" w:ascii="仿宋_GB2312" w:hAnsi="仿宋_GB2312" w:eastAsia="仿宋_GB2312" w:cs="仿宋_GB2312"/>
          <w:color w:val="auto"/>
          <w:sz w:val="32"/>
          <w:szCs w:val="32"/>
          <w:lang w:val="en-US" w:eastAsia="zh-CN"/>
        </w:rPr>
      </w:pPr>
      <w:bookmarkStart w:id="7" w:name="OLE_LINK2"/>
      <w:r>
        <w:rPr>
          <w:rFonts w:hint="eastAsia" w:ascii="仿宋_GB2312" w:hAnsi="仿宋_GB2312" w:eastAsia="仿宋_GB2312" w:cs="仿宋_GB2312"/>
          <w:color w:val="auto"/>
          <w:sz w:val="32"/>
          <w:szCs w:val="32"/>
          <w:lang w:val="en-US" w:eastAsia="zh-CN"/>
        </w:rPr>
        <w:t>2024年预算收入为2433.91万元，预算支出为 2433.91万元</w:t>
      </w:r>
      <w:bookmarkEnd w:id="7"/>
      <w:r>
        <w:rPr>
          <w:rFonts w:hint="eastAsia" w:ascii="仿宋_GB2312" w:hAnsi="仿宋_GB2312" w:eastAsia="仿宋_GB2312" w:cs="仿宋_GB2312"/>
          <w:color w:val="auto"/>
          <w:sz w:val="32"/>
          <w:szCs w:val="32"/>
          <w:lang w:val="en-US" w:eastAsia="zh-CN"/>
        </w:rPr>
        <w:t xml:space="preserve">；2024年决算收入为987.83万元，决算支出为 </w:t>
      </w:r>
      <w:bookmarkStart w:id="8" w:name="OLE_LINK3"/>
      <w:r>
        <w:rPr>
          <w:rFonts w:hint="eastAsia" w:ascii="仿宋_GB2312" w:hAnsi="仿宋_GB2312" w:eastAsia="仿宋_GB2312" w:cs="仿宋_GB2312"/>
          <w:color w:val="auto"/>
          <w:sz w:val="32"/>
          <w:szCs w:val="32"/>
          <w:lang w:val="en-US" w:eastAsia="zh-CN"/>
        </w:rPr>
        <w:t>987.83</w:t>
      </w:r>
      <w:bookmarkEnd w:id="8"/>
      <w:r>
        <w:rPr>
          <w:rFonts w:hint="eastAsia" w:ascii="仿宋_GB2312" w:hAnsi="仿宋_GB2312" w:eastAsia="仿宋_GB2312" w:cs="仿宋_GB2312"/>
          <w:color w:val="auto"/>
          <w:sz w:val="32"/>
          <w:szCs w:val="32"/>
          <w:lang w:val="en-US" w:eastAsia="zh-CN"/>
        </w:rPr>
        <w:t>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bookmarkStart w:id="9" w:name="OLE_LINK1"/>
      <w:r>
        <w:rPr>
          <w:rFonts w:hint="eastAsia" w:ascii="仿宋_GB2312" w:hAnsi="仿宋_GB2312" w:eastAsia="仿宋_GB2312" w:cs="仿宋_GB2312"/>
          <w:color w:val="auto"/>
          <w:sz w:val="32"/>
          <w:szCs w:val="32"/>
        </w:rPr>
        <w:t>按照预算安排，我部门</w:t>
      </w:r>
      <w:r>
        <w:rPr>
          <w:rFonts w:hint="eastAsia" w:ascii="仿宋_GB2312" w:hAnsi="仿宋_GB2312" w:eastAsia="仿宋_GB2312" w:cs="仿宋_GB2312"/>
          <w:color w:val="auto"/>
          <w:sz w:val="32"/>
          <w:szCs w:val="32"/>
          <w:lang w:val="en-US" w:eastAsia="zh-CN"/>
        </w:rPr>
        <w:t>2024</w:t>
      </w:r>
      <w:r>
        <w:rPr>
          <w:rFonts w:hint="eastAsia" w:ascii="仿宋_GB2312" w:hAnsi="仿宋_GB2312" w:eastAsia="仿宋_GB2312" w:cs="仿宋_GB2312"/>
          <w:color w:val="auto"/>
          <w:sz w:val="32"/>
          <w:szCs w:val="32"/>
        </w:rPr>
        <w:t>年共实施</w:t>
      </w:r>
      <w:r>
        <w:rPr>
          <w:rFonts w:hint="eastAsia" w:ascii="仿宋_GB2312" w:hAnsi="仿宋_GB2312" w:eastAsia="仿宋_GB2312" w:cs="仿宋_GB2312"/>
          <w:color w:val="auto"/>
          <w:sz w:val="32"/>
          <w:szCs w:val="32"/>
          <w:lang w:val="en-US" w:eastAsia="zh-CN"/>
        </w:rPr>
        <w:t>31</w:t>
      </w:r>
      <w:r>
        <w:rPr>
          <w:rFonts w:hint="eastAsia" w:ascii="仿宋_GB2312" w:hAnsi="仿宋_GB2312" w:eastAsia="仿宋_GB2312" w:cs="仿宋_GB2312"/>
          <w:color w:val="auto"/>
          <w:sz w:val="32"/>
          <w:szCs w:val="32"/>
        </w:rPr>
        <w:t>个项目，预算安排资金</w:t>
      </w:r>
      <w:r>
        <w:rPr>
          <w:rFonts w:hint="eastAsia" w:ascii="仿宋_GB2312" w:hAnsi="仿宋_GB2312" w:eastAsia="仿宋_GB2312" w:cs="仿宋_GB2312"/>
          <w:color w:val="auto"/>
          <w:sz w:val="32"/>
          <w:szCs w:val="32"/>
          <w:lang w:val="en-US" w:eastAsia="zh-CN"/>
        </w:rPr>
        <w:t>1771.2104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到位</w:t>
      </w:r>
      <w:r>
        <w:rPr>
          <w:rFonts w:hint="eastAsia" w:ascii="仿宋_GB2312" w:hAnsi="仿宋_GB2312" w:eastAsia="仿宋_GB2312" w:cs="仿宋_GB2312"/>
          <w:color w:val="auto"/>
          <w:sz w:val="32"/>
          <w:szCs w:val="32"/>
          <w:lang w:eastAsia="zh-CN"/>
        </w:rPr>
        <w:t>资</w:t>
      </w:r>
      <w:r>
        <w:rPr>
          <w:rFonts w:hint="eastAsia" w:ascii="仿宋_GB2312" w:hAnsi="仿宋_GB2312" w:eastAsia="仿宋_GB2312" w:cs="仿宋_GB2312"/>
          <w:color w:val="auto"/>
          <w:sz w:val="32"/>
          <w:szCs w:val="32"/>
        </w:rPr>
        <w:t>金</w:t>
      </w:r>
      <w:bookmarkStart w:id="10" w:name="OLE_LINK4"/>
      <w:r>
        <w:rPr>
          <w:rFonts w:hint="eastAsia" w:ascii="仿宋_GB2312" w:hAnsi="仿宋_GB2312" w:eastAsia="仿宋_GB2312" w:cs="仿宋_GB2312"/>
          <w:color w:val="auto"/>
          <w:sz w:val="32"/>
          <w:szCs w:val="32"/>
          <w:lang w:val="en-US" w:eastAsia="zh-CN"/>
        </w:rPr>
        <w:t>799.9</w:t>
      </w:r>
      <w:bookmarkEnd w:id="10"/>
      <w:r>
        <w:rPr>
          <w:rFonts w:hint="eastAsia" w:ascii="仿宋_GB2312" w:hAnsi="仿宋_GB2312" w:eastAsia="仿宋_GB2312" w:cs="仿宋_GB2312"/>
          <w:color w:val="auto"/>
          <w:sz w:val="32"/>
          <w:szCs w:val="32"/>
        </w:rPr>
        <w:t>万元，执行资金</w:t>
      </w:r>
      <w:r>
        <w:rPr>
          <w:rFonts w:hint="eastAsia" w:ascii="仿宋_GB2312" w:hAnsi="仿宋_GB2312" w:eastAsia="仿宋_GB2312" w:cs="仿宋_GB2312"/>
          <w:color w:val="auto"/>
          <w:sz w:val="32"/>
          <w:szCs w:val="32"/>
          <w:lang w:val="en-US" w:eastAsia="zh-CN"/>
        </w:rPr>
        <w:t>799.9</w:t>
      </w:r>
      <w:r>
        <w:rPr>
          <w:rFonts w:hint="eastAsia" w:ascii="仿宋_GB2312" w:hAnsi="仿宋_GB2312" w:eastAsia="仿宋_GB2312" w:cs="仿宋_GB2312"/>
          <w:color w:val="auto"/>
          <w:sz w:val="32"/>
          <w:szCs w:val="32"/>
        </w:rPr>
        <w:t>万元，预算执行率</w:t>
      </w:r>
      <w:r>
        <w:rPr>
          <w:rFonts w:hint="eastAsia" w:ascii="仿宋_GB2312" w:hAnsi="仿宋_GB2312" w:eastAsia="仿宋_GB2312" w:cs="仿宋_GB2312"/>
          <w:color w:val="auto"/>
          <w:sz w:val="32"/>
          <w:szCs w:val="32"/>
          <w:lang w:val="en-US" w:eastAsia="zh-CN"/>
        </w:rPr>
        <w:t>41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，各项目具体情况详见部门绩效自评结果公开汇总表</w:t>
      </w:r>
      <w:r>
        <w:rPr>
          <w:rFonts w:hint="eastAsia" w:ascii="仿宋_GB2312" w:hAnsi="仿宋_GB2312" w:eastAsia="仿宋_GB2312" w:cs="仿宋_GB2312"/>
          <w:color w:val="auto"/>
          <w:sz w:val="32"/>
          <w:szCs w:val="32"/>
          <w:lang w:val="en-US" w:eastAsia="zh-CN"/>
        </w:rPr>
        <w:t>。</w:t>
      </w:r>
    </w:p>
    <w:bookmarkEnd w:id="9"/>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ascii="仿宋" w:hAnsi="仿宋" w:eastAsia="仿宋"/>
          <w:sz w:val="32"/>
          <w:szCs w:val="32"/>
        </w:rPr>
      </w:pPr>
      <w:r>
        <w:rPr>
          <w:rFonts w:hint="eastAsia" w:ascii="仿宋_GB2312" w:hAnsi="仿宋_GB2312" w:eastAsia="仿宋_GB2312" w:cs="仿宋_GB2312"/>
          <w:sz w:val="32"/>
          <w:szCs w:val="32"/>
          <w:lang w:eastAsia="zh-CN"/>
        </w:rPr>
        <w:t>为加强</w:t>
      </w:r>
      <w:r>
        <w:rPr>
          <w:rFonts w:hint="eastAsia" w:ascii="仿宋_GB2312" w:hAnsi="仿宋_GB2312" w:eastAsia="仿宋_GB2312" w:cs="仿宋_GB2312"/>
          <w:sz w:val="32"/>
          <w:szCs w:val="32"/>
          <w:lang w:val="en-US" w:eastAsia="zh-CN"/>
        </w:rPr>
        <w:t>预算项目资金</w:t>
      </w:r>
      <w:r>
        <w:rPr>
          <w:rFonts w:hint="eastAsia" w:ascii="仿宋_GB2312" w:hAnsi="仿宋_GB2312" w:eastAsia="仿宋_GB2312" w:cs="仿宋_GB2312"/>
          <w:sz w:val="32"/>
          <w:szCs w:val="32"/>
          <w:lang w:eastAsia="zh-CN"/>
        </w:rPr>
        <w:t>绩效管理，提高项目资金使用效益，我单位严格按照《区财政局关于开展</w:t>
      </w:r>
      <w:r>
        <w:rPr>
          <w:rFonts w:hint="eastAsia" w:ascii="仿宋_GB2312" w:hAnsi="仿宋_GB2312" w:eastAsia="仿宋_GB2312" w:cs="仿宋_GB2312"/>
          <w:sz w:val="32"/>
          <w:szCs w:val="32"/>
          <w:lang w:val="en-US" w:eastAsia="zh-CN"/>
        </w:rPr>
        <w:t>2024年绩效自评工作的通知</w:t>
      </w:r>
      <w:r>
        <w:rPr>
          <w:rFonts w:hint="eastAsia" w:ascii="仿宋_GB2312" w:hAnsi="仿宋_GB2312" w:eastAsia="仿宋_GB2312" w:cs="仿宋_GB2312"/>
          <w:sz w:val="32"/>
          <w:szCs w:val="32"/>
          <w:lang w:eastAsia="zh-CN"/>
        </w:rPr>
        <w:t>》文件要求，以财政一体化系统绩效目标信息为依据，对</w:t>
      </w:r>
      <w:r>
        <w:rPr>
          <w:rFonts w:hint="eastAsia" w:ascii="仿宋_GB2312" w:hAnsi="仿宋_GB2312" w:eastAsia="仿宋_GB2312" w:cs="仿宋_GB2312"/>
          <w:sz w:val="32"/>
          <w:szCs w:val="32"/>
          <w:lang w:val="en-US" w:eastAsia="zh-CN"/>
        </w:rPr>
        <w:t>2024年度的31个部门专项项目开展了预算绩效自评价，填报完成了31张部门专项项目绩效自评表和撰写了31个部门专项项目自评报告。</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按照预算安排，我部门</w:t>
      </w:r>
      <w:r>
        <w:rPr>
          <w:rFonts w:hint="eastAsia" w:ascii="仿宋_GB2312" w:hAnsi="仿宋_GB2312" w:eastAsia="仿宋_GB2312" w:cs="仿宋_GB2312"/>
          <w:color w:val="auto"/>
          <w:sz w:val="32"/>
          <w:szCs w:val="32"/>
          <w:lang w:val="en-US" w:eastAsia="zh-CN"/>
        </w:rPr>
        <w:t>2024</w:t>
      </w:r>
      <w:r>
        <w:rPr>
          <w:rFonts w:hint="eastAsia" w:ascii="仿宋_GB2312" w:hAnsi="仿宋_GB2312" w:eastAsia="仿宋_GB2312" w:cs="仿宋_GB2312"/>
          <w:color w:val="auto"/>
          <w:sz w:val="32"/>
          <w:szCs w:val="32"/>
        </w:rPr>
        <w:t>年共实施</w:t>
      </w:r>
      <w:r>
        <w:rPr>
          <w:rFonts w:hint="eastAsia" w:ascii="仿宋_GB2312" w:hAnsi="仿宋_GB2312" w:eastAsia="仿宋_GB2312" w:cs="仿宋_GB2312"/>
          <w:color w:val="auto"/>
          <w:sz w:val="32"/>
          <w:szCs w:val="32"/>
          <w:lang w:val="en-US" w:eastAsia="zh-CN"/>
        </w:rPr>
        <w:t>31</w:t>
      </w:r>
      <w:r>
        <w:rPr>
          <w:rFonts w:hint="eastAsia" w:ascii="仿宋_GB2312" w:hAnsi="仿宋_GB2312" w:eastAsia="仿宋_GB2312" w:cs="仿宋_GB2312"/>
          <w:color w:val="auto"/>
          <w:sz w:val="32"/>
          <w:szCs w:val="32"/>
        </w:rPr>
        <w:t>个项目，预算安排资金</w:t>
      </w:r>
      <w:r>
        <w:rPr>
          <w:rFonts w:hint="eastAsia" w:ascii="仿宋_GB2312" w:hAnsi="仿宋_GB2312" w:eastAsia="仿宋_GB2312" w:cs="仿宋_GB2312"/>
          <w:color w:val="auto"/>
          <w:sz w:val="32"/>
          <w:szCs w:val="32"/>
          <w:lang w:val="en-US" w:eastAsia="zh-CN"/>
        </w:rPr>
        <w:t>1771.2104</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rPr>
        <w:t>到位</w:t>
      </w:r>
      <w:r>
        <w:rPr>
          <w:rFonts w:hint="eastAsia" w:ascii="仿宋_GB2312" w:hAnsi="仿宋_GB2312" w:eastAsia="仿宋_GB2312" w:cs="仿宋_GB2312"/>
          <w:color w:val="auto"/>
          <w:sz w:val="32"/>
          <w:szCs w:val="32"/>
          <w:lang w:eastAsia="zh-CN"/>
        </w:rPr>
        <w:t>资</w:t>
      </w:r>
      <w:r>
        <w:rPr>
          <w:rFonts w:hint="eastAsia" w:ascii="仿宋_GB2312" w:hAnsi="仿宋_GB2312" w:eastAsia="仿宋_GB2312" w:cs="仿宋_GB2312"/>
          <w:color w:val="auto"/>
          <w:sz w:val="32"/>
          <w:szCs w:val="32"/>
        </w:rPr>
        <w:t>金</w:t>
      </w:r>
      <w:r>
        <w:rPr>
          <w:rFonts w:hint="eastAsia" w:ascii="仿宋_GB2312" w:hAnsi="仿宋_GB2312" w:eastAsia="仿宋_GB2312" w:cs="仿宋_GB2312"/>
          <w:color w:val="auto"/>
          <w:sz w:val="32"/>
          <w:szCs w:val="32"/>
          <w:lang w:val="en-US" w:eastAsia="zh-CN"/>
        </w:rPr>
        <w:t>803.4</w:t>
      </w:r>
      <w:r>
        <w:rPr>
          <w:rFonts w:hint="eastAsia" w:ascii="仿宋_GB2312" w:hAnsi="仿宋_GB2312" w:eastAsia="仿宋_GB2312" w:cs="仿宋_GB2312"/>
          <w:color w:val="auto"/>
          <w:sz w:val="32"/>
          <w:szCs w:val="32"/>
        </w:rPr>
        <w:t>万元，执行资金</w:t>
      </w:r>
      <w:r>
        <w:rPr>
          <w:rFonts w:hint="eastAsia" w:ascii="仿宋_GB2312" w:hAnsi="仿宋_GB2312" w:eastAsia="仿宋_GB2312" w:cs="仿宋_GB2312"/>
          <w:color w:val="auto"/>
          <w:sz w:val="32"/>
          <w:szCs w:val="32"/>
          <w:lang w:val="en-US" w:eastAsia="zh-CN"/>
        </w:rPr>
        <w:t>803.4</w:t>
      </w:r>
      <w:r>
        <w:rPr>
          <w:rFonts w:hint="eastAsia" w:ascii="仿宋_GB2312" w:hAnsi="仿宋_GB2312" w:eastAsia="仿宋_GB2312" w:cs="仿宋_GB2312"/>
          <w:color w:val="auto"/>
          <w:sz w:val="32"/>
          <w:szCs w:val="32"/>
        </w:rPr>
        <w:t>万元，预算执行率</w:t>
      </w:r>
      <w:r>
        <w:rPr>
          <w:rFonts w:hint="eastAsia" w:ascii="仿宋_GB2312" w:hAnsi="仿宋_GB2312" w:eastAsia="仿宋_GB2312" w:cs="仿宋_GB2312"/>
          <w:color w:val="auto"/>
          <w:sz w:val="32"/>
          <w:szCs w:val="32"/>
          <w:lang w:val="en-US" w:eastAsia="zh-CN"/>
        </w:rPr>
        <w:t>45</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，各项目具体情况详见部门绩效自评结果公开汇总表</w:t>
      </w:r>
      <w:r>
        <w:rPr>
          <w:rFonts w:hint="eastAsia" w:ascii="仿宋_GB2312" w:hAnsi="仿宋_GB2312" w:eastAsia="仿宋_GB2312" w:cs="仿宋_GB2312"/>
          <w:color w:val="auto"/>
          <w:sz w:val="32"/>
          <w:szCs w:val="32"/>
          <w:lang w:val="en-US" w:eastAsia="zh-CN"/>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20" w:lineRule="exact"/>
        <w:ind w:left="0" w:right="0" w:firstLine="640"/>
        <w:textAlignment w:val="auto"/>
        <w:outlineLvl w:val="9"/>
        <w:rPr>
          <w:rFonts w:hint="eastAsia" w:ascii="仿宋_GB2312" w:hAnsi="Helvetica" w:eastAsia="仿宋_GB2312" w:cs="宋体"/>
          <w:color w:val="000000"/>
          <w:kern w:val="0"/>
          <w:sz w:val="32"/>
          <w:szCs w:val="32"/>
        </w:rPr>
      </w:pPr>
      <w:r>
        <w:rPr>
          <w:rFonts w:hint="eastAsia" w:ascii="仿宋_GB2312" w:hAnsi="Helvetica" w:eastAsia="仿宋_GB2312" w:cs="宋体"/>
          <w:color w:val="000000"/>
          <w:kern w:val="0"/>
          <w:sz w:val="32"/>
          <w:szCs w:val="32"/>
        </w:rPr>
        <w:t>本次部门绩效自评主要内容：一是部门预算执行情况；二是部门年度总体绩效目标完成情况；三是部门年度绩效指标完成情况，包括部门管理情况、部门履职效果、部门能力建设、服务对象满意度等。</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根据部门职责定位和各项工作履职情况进行综合评价，给出总得分，满分100分，得出综合绩效评价等级。部门整体支出综合绩效评价</w:t>
      </w:r>
      <w:r>
        <w:rPr>
          <w:rFonts w:hint="eastAsia" w:ascii="仿宋" w:hAnsi="仿宋" w:eastAsia="仿宋"/>
          <w:sz w:val="32"/>
          <w:szCs w:val="32"/>
          <w:lang w:eastAsia="zh-CN"/>
        </w:rPr>
        <w:t>得分为</w:t>
      </w:r>
      <w:r>
        <w:rPr>
          <w:rFonts w:hint="eastAsia" w:ascii="仿宋" w:hAnsi="仿宋" w:eastAsia="仿宋"/>
          <w:sz w:val="32"/>
          <w:szCs w:val="32"/>
          <w:lang w:val="en-US" w:eastAsia="zh-CN"/>
        </w:rPr>
        <w:t>90分，</w:t>
      </w:r>
      <w:bookmarkStart w:id="11" w:name="_GoBack"/>
      <w:bookmarkEnd w:id="11"/>
      <w:r>
        <w:rPr>
          <w:rFonts w:hint="eastAsia" w:ascii="仿宋" w:hAnsi="仿宋" w:eastAsia="仿宋"/>
          <w:sz w:val="32"/>
          <w:szCs w:val="32"/>
          <w:lang w:val="en-US" w:eastAsia="zh-CN"/>
        </w:rPr>
        <w:t>等级为优秀。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b w:val="0"/>
          <w:bCs w:val="0"/>
          <w:kern w:val="2"/>
          <w:sz w:val="32"/>
          <w:szCs w:val="24"/>
          <w:lang w:val="en-US" w:eastAsia="zh-CN" w:bidi="ar-SA"/>
        </w:rPr>
        <w:t>我单位个别项目执行率不高，主要因为涉及工程的手续正在办理、经费划转指标较晚、资金到位率较低。</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adjustRightInd/>
        <w:snapToGrid/>
        <w:spacing w:line="560" w:lineRule="exact"/>
        <w:ind w:firstLine="640" w:firstLineChars="200"/>
        <w:rPr>
          <w:rFonts w:hint="eastAsia" w:ascii="楷体" w:hAnsi="楷体" w:eastAsia="楷体"/>
          <w:bCs/>
          <w:sz w:val="32"/>
          <w:szCs w:val="32"/>
        </w:rPr>
      </w:pPr>
      <w:r>
        <w:rPr>
          <w:rFonts w:hint="eastAsia" w:ascii="仿宋_GB2312" w:hAnsi="仿宋_GB2312" w:eastAsia="仿宋_GB2312" w:cs="仿宋_GB2312"/>
          <w:sz w:val="32"/>
          <w:szCs w:val="32"/>
          <w:lang w:val="en-US" w:eastAsia="zh-CN"/>
        </w:rPr>
        <w:t>我单位将加快资金申请、评审手续跑办力度，待手续完备后，将结转的剩余资金于次年根据评审结果及合同约定支付工程款项。。</w:t>
      </w:r>
    </w:p>
    <w:p>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tbl>
      <w:tblPr>
        <w:tblStyle w:val="10"/>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2326"/>
        <w:gridCol w:w="2601"/>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2326" w:type="dxa"/>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2601" w:type="dxa"/>
          </w:tcPr>
          <w:p>
            <w:pPr>
              <w:pStyle w:val="5"/>
              <w:keepNext w:val="0"/>
              <w:keepLines w:val="0"/>
              <w:pageBreakBefore w:val="0"/>
              <w:widowControl w:val="0"/>
              <w:kinsoku/>
              <w:wordWrap/>
              <w:overflowPunct/>
              <w:topLinePunct w:val="0"/>
              <w:autoSpaceDE/>
              <w:autoSpaceDN/>
              <w:bidi w:val="0"/>
              <w:spacing w:line="540" w:lineRule="exact"/>
              <w:jc w:val="both"/>
              <w:textAlignment w:val="auto"/>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tcPr>
          <w:p>
            <w:pPr>
              <w:pStyle w:val="5"/>
              <w:keepNext w:val="0"/>
              <w:keepLines w:val="0"/>
              <w:pageBreakBefore w:val="0"/>
              <w:widowControl w:val="0"/>
              <w:kinsoku/>
              <w:wordWrap/>
              <w:overflowPunct/>
              <w:topLinePunct w:val="0"/>
              <w:autoSpaceDE/>
              <w:autoSpaceDN/>
              <w:bidi w:val="0"/>
              <w:spacing w:line="540" w:lineRule="exact"/>
              <w:jc w:val="both"/>
              <w:textAlignment w:val="auto"/>
              <w:rPr>
                <w:rFonts w:hint="eastAsia"/>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vertAlign w:val="baseline"/>
                <w:lang w:val="en-US" w:eastAsia="zh-CN"/>
              </w:rPr>
            </w:pPr>
            <w:r>
              <w:rPr>
                <w:rFonts w:hint="eastAsia"/>
                <w:vertAlign w:val="baseline"/>
                <w:lang w:val="en-US" w:eastAsia="zh-CN"/>
              </w:rPr>
              <w:t xml:space="preserve">  1</w:t>
            </w:r>
          </w:p>
        </w:tc>
        <w:tc>
          <w:tcPr>
            <w:tcW w:w="1172" w:type="dxa"/>
            <w:tcBorders>
              <w:top w:val="single" w:color="auto" w:sz="4" w:space="0"/>
              <w:left w:val="single" w:color="auto" w:sz="4" w:space="0"/>
              <w:right w:val="single" w:color="auto" w:sz="4" w:space="0"/>
            </w:tcBorders>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eastAsia="仿宋_GB2312"/>
                <w:vertAlign w:val="baseline"/>
                <w:lang w:eastAsia="zh-CN"/>
              </w:rPr>
            </w:pPr>
            <w:r>
              <w:rPr>
                <w:rFonts w:hint="eastAsia"/>
                <w:lang w:eastAsia="zh-CN"/>
              </w:rPr>
              <w:t>武艳艳</w:t>
            </w:r>
          </w:p>
        </w:tc>
        <w:tc>
          <w:tcPr>
            <w:tcW w:w="2326" w:type="dxa"/>
            <w:tcBorders>
              <w:top w:val="single" w:color="auto" w:sz="4" w:space="0"/>
              <w:left w:val="single" w:color="auto" w:sz="4" w:space="0"/>
              <w:right w:val="single" w:color="auto" w:sz="4" w:space="0"/>
            </w:tcBorders>
            <w:vAlign w:val="center"/>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lang w:eastAsia="zh-CN"/>
              </w:rPr>
            </w:pPr>
            <w:r>
              <w:rPr>
                <w:rFonts w:hint="eastAsia"/>
                <w:lang w:eastAsia="zh-CN"/>
              </w:rPr>
              <w:t>矿市街道办事处</w:t>
            </w:r>
          </w:p>
        </w:tc>
        <w:tc>
          <w:tcPr>
            <w:tcW w:w="2601" w:type="dxa"/>
            <w:tcBorders>
              <w:top w:val="single" w:color="auto" w:sz="4" w:space="0"/>
              <w:left w:val="single" w:color="auto" w:sz="4" w:space="0"/>
              <w:right w:val="single" w:color="auto" w:sz="4" w:space="0"/>
            </w:tcBorders>
          </w:tcPr>
          <w:p>
            <w:pPr>
              <w:pStyle w:val="5"/>
              <w:keepNext w:val="0"/>
              <w:keepLines w:val="0"/>
              <w:pageBreakBefore w:val="0"/>
              <w:widowControl w:val="0"/>
              <w:kinsoku/>
              <w:wordWrap/>
              <w:overflowPunct/>
              <w:topLinePunct w:val="0"/>
              <w:autoSpaceDE/>
              <w:autoSpaceDN/>
              <w:bidi w:val="0"/>
              <w:spacing w:line="540" w:lineRule="exact"/>
              <w:ind w:left="0" w:firstLine="0" w:firstLineChars="0"/>
              <w:jc w:val="center"/>
              <w:textAlignment w:val="auto"/>
              <w:rPr>
                <w:rFonts w:hint="eastAsia"/>
                <w:vertAlign w:val="baseline"/>
                <w:lang w:eastAsia="zh-CN"/>
              </w:rPr>
            </w:pPr>
            <w:r>
              <w:rPr>
                <w:rFonts w:hint="eastAsia"/>
                <w:vertAlign w:val="baseline"/>
                <w:lang w:eastAsia="zh-CN"/>
              </w:rPr>
              <w:t>副主任</w:t>
            </w:r>
          </w:p>
        </w:tc>
        <w:tc>
          <w:tcPr>
            <w:tcW w:w="1813" w:type="dxa"/>
            <w:tcBorders>
              <w:top w:val="single" w:color="auto" w:sz="4" w:space="0"/>
              <w:left w:val="single" w:color="auto" w:sz="4" w:space="0"/>
              <w:right w:val="single" w:color="auto" w:sz="4" w:space="0"/>
            </w:tcBorders>
          </w:tcPr>
          <w:p>
            <w:pPr>
              <w:pStyle w:val="5"/>
              <w:keepNext w:val="0"/>
              <w:keepLines w:val="0"/>
              <w:pageBreakBefore w:val="0"/>
              <w:widowControl w:val="0"/>
              <w:kinsoku/>
              <w:wordWrap/>
              <w:overflowPunct/>
              <w:topLinePunct w:val="0"/>
              <w:autoSpaceDE/>
              <w:autoSpaceDN/>
              <w:bidi w:val="0"/>
              <w:spacing w:line="540" w:lineRule="exact"/>
              <w:jc w:val="both"/>
              <w:textAlignment w:val="auto"/>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vertAlign w:val="baseline"/>
                <w:lang w:val="en-US" w:eastAsia="zh-CN"/>
              </w:rPr>
            </w:pPr>
            <w:r>
              <w:rPr>
                <w:rFonts w:hint="eastAsia"/>
                <w:vertAlign w:val="baseline"/>
                <w:lang w:val="en-US" w:eastAsia="zh-CN"/>
              </w:rPr>
              <w:t xml:space="preserve">  2</w:t>
            </w:r>
          </w:p>
        </w:tc>
        <w:tc>
          <w:tcPr>
            <w:tcW w:w="1172" w:type="dxa"/>
            <w:tcBorders>
              <w:top w:val="single" w:color="auto" w:sz="4" w:space="0"/>
              <w:left w:val="single" w:color="auto" w:sz="4" w:space="0"/>
              <w:right w:val="single" w:color="auto" w:sz="4" w:space="0"/>
            </w:tcBorders>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eastAsia="仿宋_GB2312"/>
                <w:vertAlign w:val="baseline"/>
                <w:lang w:val="en-US" w:eastAsia="zh-CN"/>
              </w:rPr>
            </w:pPr>
            <w:r>
              <w:rPr>
                <w:rFonts w:hint="eastAsia"/>
                <w:vertAlign w:val="baseline"/>
                <w:lang w:val="en-US" w:eastAsia="zh-CN"/>
              </w:rPr>
              <w:t>焦龙跃</w:t>
            </w:r>
          </w:p>
        </w:tc>
        <w:tc>
          <w:tcPr>
            <w:tcW w:w="2326" w:type="dxa"/>
            <w:tcBorders>
              <w:top w:val="single" w:color="auto" w:sz="4" w:space="0"/>
              <w:left w:val="single" w:color="auto" w:sz="4" w:space="0"/>
              <w:right w:val="single" w:color="auto" w:sz="4" w:space="0"/>
            </w:tcBorders>
            <w:vAlign w:val="center"/>
          </w:tcPr>
          <w:p>
            <w:pPr>
              <w:pStyle w:val="5"/>
              <w:keepNext w:val="0"/>
              <w:keepLines w:val="0"/>
              <w:pageBreakBefore w:val="0"/>
              <w:widowControl w:val="0"/>
              <w:kinsoku/>
              <w:wordWrap/>
              <w:overflowPunct/>
              <w:topLinePunct w:val="0"/>
              <w:autoSpaceDE/>
              <w:autoSpaceDN/>
              <w:bidi w:val="0"/>
              <w:spacing w:line="540" w:lineRule="exact"/>
              <w:ind w:left="0" w:firstLine="0" w:firstLineChars="0"/>
              <w:jc w:val="both"/>
              <w:textAlignment w:val="auto"/>
              <w:rPr>
                <w:rFonts w:hint="eastAsia"/>
                <w:vertAlign w:val="baseline"/>
                <w:lang w:eastAsia="zh-CN"/>
              </w:rPr>
            </w:pPr>
            <w:r>
              <w:rPr>
                <w:rFonts w:hint="eastAsia"/>
                <w:vertAlign w:val="baseline"/>
                <w:lang w:eastAsia="zh-CN"/>
              </w:rPr>
              <w:t>矿市街道办事处</w:t>
            </w:r>
          </w:p>
        </w:tc>
        <w:tc>
          <w:tcPr>
            <w:tcW w:w="2601" w:type="dxa"/>
            <w:tcBorders>
              <w:top w:val="single" w:color="auto" w:sz="4" w:space="0"/>
              <w:left w:val="single" w:color="auto" w:sz="4" w:space="0"/>
              <w:right w:val="single" w:color="auto" w:sz="4" w:space="0"/>
            </w:tcBorders>
          </w:tcPr>
          <w:p>
            <w:pPr>
              <w:pStyle w:val="5"/>
              <w:keepNext w:val="0"/>
              <w:keepLines w:val="0"/>
              <w:pageBreakBefore w:val="0"/>
              <w:widowControl w:val="0"/>
              <w:kinsoku/>
              <w:wordWrap/>
              <w:overflowPunct/>
              <w:topLinePunct w:val="0"/>
              <w:autoSpaceDE/>
              <w:autoSpaceDN/>
              <w:bidi w:val="0"/>
              <w:spacing w:line="540" w:lineRule="exact"/>
              <w:ind w:left="0" w:firstLine="0" w:firstLineChars="0"/>
              <w:jc w:val="center"/>
              <w:textAlignment w:val="auto"/>
              <w:rPr>
                <w:rFonts w:hint="default"/>
                <w:vertAlign w:val="baseline"/>
                <w:lang w:val="en-US" w:eastAsia="zh-CN"/>
              </w:rPr>
            </w:pPr>
            <w:r>
              <w:rPr>
                <w:rFonts w:hint="eastAsia"/>
                <w:vertAlign w:val="baseline"/>
                <w:lang w:eastAsia="zh-CN"/>
              </w:rPr>
              <w:t>财务工作人员</w:t>
            </w:r>
          </w:p>
        </w:tc>
        <w:tc>
          <w:tcPr>
            <w:tcW w:w="1813" w:type="dxa"/>
            <w:tcBorders>
              <w:top w:val="single" w:color="auto" w:sz="4" w:space="0"/>
              <w:left w:val="single" w:color="auto" w:sz="4" w:space="0"/>
              <w:right w:val="single" w:color="auto" w:sz="4" w:space="0"/>
            </w:tcBorders>
          </w:tcPr>
          <w:p>
            <w:pPr>
              <w:pStyle w:val="5"/>
              <w:keepNext w:val="0"/>
              <w:keepLines w:val="0"/>
              <w:pageBreakBefore w:val="0"/>
              <w:widowControl w:val="0"/>
              <w:kinsoku/>
              <w:wordWrap/>
              <w:overflowPunct/>
              <w:topLinePunct w:val="0"/>
              <w:autoSpaceDE/>
              <w:autoSpaceDN/>
              <w:bidi w:val="0"/>
              <w:spacing w:line="540" w:lineRule="exact"/>
              <w:jc w:val="both"/>
              <w:textAlignment w:val="auto"/>
              <w:rPr>
                <w:rFonts w:hint="eastAsia"/>
                <w:vertAlign w:val="baseline"/>
                <w:lang w:eastAsia="zh-CN"/>
              </w:rPr>
            </w:pPr>
          </w:p>
        </w:tc>
      </w:tr>
    </w:tbl>
    <w:p>
      <w:pPr>
        <w:numPr>
          <w:ilvl w:val="0"/>
          <w:numId w:val="0"/>
        </w:numPr>
        <w:adjustRightInd w:val="0"/>
        <w:snapToGrid w:val="0"/>
        <w:spacing w:line="560" w:lineRule="exact"/>
        <w:rPr>
          <w:rFonts w:hint="eastAsia"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黑体"/>
    <w:panose1 w:val="03000509000000000000"/>
    <w:charset w:val="86"/>
    <w:family w:val="script"/>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Helvetica">
    <w:altName w:val="Times New Roman"/>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5D4BFD0"/>
    <w:multiLevelType w:val="singleLevel"/>
    <w:tmpl w:val="D5D4BFD0"/>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244CD534"/>
    <w:multiLevelType w:val="singleLevel"/>
    <w:tmpl w:val="244CD534"/>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22F73D6"/>
    <w:rsid w:val="064047C8"/>
    <w:rsid w:val="1E5B6492"/>
    <w:rsid w:val="22127BC5"/>
    <w:rsid w:val="2B132624"/>
    <w:rsid w:val="302D00AC"/>
    <w:rsid w:val="39B62E24"/>
    <w:rsid w:val="41563A07"/>
    <w:rsid w:val="423E41B4"/>
    <w:rsid w:val="571A4D71"/>
    <w:rsid w:val="5FB849B4"/>
    <w:rsid w:val="63424AAE"/>
    <w:rsid w:val="6DC10352"/>
    <w:rsid w:val="73841F78"/>
    <w:rsid w:val="7F330B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widowControl w:val="0"/>
      <w:spacing w:before="260" w:after="260" w:line="415" w:lineRule="auto"/>
      <w:outlineLvl w:val="2"/>
    </w:pPr>
    <w:rPr>
      <w:b/>
      <w:bCs/>
      <w:sz w:val="32"/>
      <w:szCs w:val="32"/>
    </w:rPr>
  </w:style>
  <w:style w:type="character" w:default="1" w:styleId="9">
    <w:name w:val="Default Paragraph Fon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5">
    <w:name w:val="Normal Indent"/>
    <w:basedOn w:val="1"/>
    <w:next w:val="6"/>
    <w:qFormat/>
    <w:uiPriority w:val="0"/>
    <w:pPr>
      <w:ind w:firstLine="200" w:firstLineChars="200"/>
    </w:pPr>
    <w:rPr>
      <w:rFonts w:eastAsia="仿宋_GB2312"/>
      <w:sz w:val="30"/>
    </w:rPr>
  </w:style>
  <w:style w:type="paragraph" w:styleId="6">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TotalTime>8</TotalTime>
  <ScaleCrop>false</ScaleCrop>
  <LinksUpToDate>false</LinksUpToDate>
  <CharactersWithSpaces>670</CharactersWithSpaces>
  <Application>WPS Office_10.8.2.6948_F1E327BC-269C-435d-A152-05C5408002CA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2025-07-22T08:27:00Z</cp:lastPrinted>
  <dcterms:modified xsi:type="dcterms:W3CDTF">2025-07-25T03:08:03Z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96934721B1514D3FBAA28020338CE855_12</vt:lpwstr>
  </property>
</Properties>
</file>