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eastAsia="宋体" w:cs="宋体"/>
          <w:b/>
          <w:bCs/>
          <w:sz w:val="44"/>
          <w:szCs w:val="44"/>
          <w:lang w:eastAsia="zh-CN"/>
        </w:rPr>
      </w:pPr>
      <w:r>
        <w:rPr>
          <w:rFonts w:hint="eastAsia" w:ascii="宋体" w:hAnsi="宋体" w:cs="宋体"/>
          <w:b/>
          <w:bCs/>
          <w:sz w:val="44"/>
          <w:szCs w:val="44"/>
          <w:lang w:eastAsia="zh-CN"/>
        </w:rPr>
        <w:t>横涧乡人民政府</w:t>
      </w:r>
    </w:p>
    <w:p>
      <w:pPr>
        <w:spacing w:line="560" w:lineRule="exact"/>
        <w:jc w:val="center"/>
        <w:rPr>
          <w:rFonts w:ascii="宋体" w:hAnsi="宋体" w:cs="宋体"/>
          <w:sz w:val="32"/>
          <w:szCs w:val="32"/>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横涧乡</w:t>
      </w:r>
      <w:r>
        <w:rPr>
          <w:rFonts w:hint="eastAsia" w:ascii="仿宋" w:hAnsi="仿宋" w:eastAsia="仿宋"/>
          <w:sz w:val="32"/>
          <w:szCs w:val="32"/>
        </w:rPr>
        <w:t>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lang w:eastAsia="zh-CN"/>
        </w:rPr>
        <w:t>主要</w:t>
      </w:r>
      <w:r>
        <w:rPr>
          <w:rFonts w:hint="eastAsia" w:ascii="仿宋" w:hAnsi="仿宋" w:eastAsia="仿宋"/>
          <w:sz w:val="32"/>
          <w:szCs w:val="32"/>
        </w:rPr>
        <w:t>职能</w:t>
      </w:r>
      <w:r>
        <w:rPr>
          <w:rFonts w:hint="eastAsia" w:ascii="仿宋" w:hAnsi="仿宋" w:eastAsia="仿宋"/>
          <w:sz w:val="32"/>
          <w:szCs w:val="32"/>
          <w:lang w:eastAsia="zh-CN"/>
        </w:rPr>
        <w:t>。</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）宣传贯彻执行党的路线方针政策和党中央、上级党组</w:t>
      </w:r>
      <w:r>
        <w:rPr>
          <w:rFonts w:hint="eastAsia" w:ascii="仿宋" w:hAnsi="仿宋" w:eastAsia="仿宋"/>
          <w:sz w:val="32"/>
          <w:szCs w:val="32"/>
        </w:rPr>
        <w:t>织及本乡党员代表大会(党员大会)的决议。贯彻执行法律、法规、规章和上级人民代表大会及其常务委员会决议及上级政府的决定、命令，执行本级人民代表大会的决议。</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w:t>
      </w:r>
      <w:r>
        <w:rPr>
          <w:rFonts w:hint="eastAsia" w:ascii="仿宋" w:hAnsi="仿宋" w:eastAsia="仿宋"/>
          <w:sz w:val="32"/>
          <w:szCs w:val="32"/>
        </w:rPr>
        <w:t>)讨论和决定本乡经济建设、政治建设、文化建设、社会建设、生态文明建设和党的建设以及乡村振兴中的重大问题。</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3</w:t>
      </w:r>
      <w:r>
        <w:rPr>
          <w:rFonts w:hint="eastAsia" w:ascii="仿宋" w:hAnsi="仿宋" w:eastAsia="仿宋"/>
          <w:sz w:val="32"/>
          <w:szCs w:val="32"/>
        </w:rPr>
        <w:t>)组织召开本级人民代表大会，充分行使重大事项决定权、监督权和任免权，做好人大代表工作，联系选民、反映群众意见和要求。</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4</w:t>
      </w:r>
      <w:r>
        <w:rPr>
          <w:rFonts w:hint="eastAsia" w:ascii="仿宋" w:hAnsi="仿宋" w:eastAsia="仿宋"/>
          <w:sz w:val="32"/>
          <w:szCs w:val="32"/>
        </w:rPr>
        <w:t>)执行本行政区域内的经济和社会发展计划、预算，管理本行政区域内的经济、教育、科学、文化、卫生健康、体育事业和财政、统计、民政、司法行政等行政工作。落实本行政区域内发展规划、专项规划、区域规划、国土空间规划。</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5</w:t>
      </w:r>
      <w:r>
        <w:rPr>
          <w:rFonts w:hint="eastAsia" w:ascii="仿宋" w:hAnsi="仿宋" w:eastAsia="仿宋"/>
          <w:sz w:val="32"/>
          <w:szCs w:val="32"/>
        </w:rPr>
        <w:t>)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6</w:t>
      </w:r>
      <w:r>
        <w:rPr>
          <w:rFonts w:hint="eastAsia" w:ascii="仿宋" w:hAnsi="仿宋" w:eastAsia="仿宋"/>
          <w:sz w:val="32"/>
          <w:szCs w:val="32"/>
        </w:rPr>
        <w:t>)加强乡党委自身建设和社区党组织建设，以及其他隶属乡党委的党组织建设，抓好发展党员工作，加强党员队伍建设。维护和执行党的纪律，监督党员干部和其他任何工作人员严格遵守国家法律法规。</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7</w:t>
      </w:r>
      <w:r>
        <w:rPr>
          <w:rFonts w:hint="eastAsia" w:ascii="仿宋" w:hAnsi="仿宋" w:eastAsia="仿宋"/>
          <w:sz w:val="32"/>
          <w:szCs w:val="32"/>
        </w:rPr>
        <w:t>)按照干部管理权限，负责对干部的教育、培训、选拔、考核和监督工作。协助管理上级有关部门驻乡单位的干部。做好人才服务工作。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8</w:t>
      </w:r>
      <w:r>
        <w:rPr>
          <w:rFonts w:hint="eastAsia" w:ascii="仿宋" w:hAnsi="仿宋" w:eastAsia="仿宋"/>
          <w:sz w:val="32"/>
          <w:szCs w:val="32"/>
        </w:rPr>
        <w:t>)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9</w:t>
      </w:r>
      <w:r>
        <w:rPr>
          <w:rFonts w:hint="eastAsia" w:ascii="仿宋" w:hAnsi="仿宋" w:eastAsia="仿宋"/>
          <w:sz w:val="32"/>
          <w:szCs w:val="32"/>
        </w:rPr>
        <w:t>)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10</w:t>
      </w:r>
      <w:r>
        <w:rPr>
          <w:rFonts w:hint="eastAsia" w:ascii="仿宋" w:hAnsi="仿宋" w:eastAsia="仿宋"/>
          <w:sz w:val="32"/>
          <w:szCs w:val="32"/>
        </w:rPr>
        <w:t>)承办上级党委、人大、政府交办的其他事项。</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2、</w:t>
      </w:r>
      <w:r>
        <w:rPr>
          <w:rFonts w:hint="eastAsia" w:ascii="仿宋" w:hAnsi="仿宋" w:eastAsia="仿宋"/>
          <w:sz w:val="32"/>
          <w:szCs w:val="32"/>
        </w:rPr>
        <w:t>机构</w:t>
      </w:r>
      <w:r>
        <w:rPr>
          <w:rFonts w:hint="eastAsia" w:ascii="仿宋" w:hAnsi="仿宋" w:eastAsia="仿宋"/>
          <w:sz w:val="32"/>
          <w:szCs w:val="32"/>
          <w:lang w:eastAsia="zh-CN"/>
        </w:rPr>
        <w:t>情况。</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本单位为石家庄市井陉矿区横涧乡人民政府，单位性质为行政单位，经费保障形式为财政拨款。</w:t>
      </w:r>
    </w:p>
    <w:p>
      <w:pPr>
        <w:numPr>
          <w:ilvl w:val="0"/>
          <w:numId w:val="1"/>
        </w:num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人员</w:t>
      </w:r>
      <w:r>
        <w:rPr>
          <w:rFonts w:hint="eastAsia" w:ascii="仿宋" w:hAnsi="仿宋" w:eastAsia="仿宋"/>
          <w:sz w:val="32"/>
          <w:szCs w:val="32"/>
          <w:lang w:eastAsia="zh-CN"/>
        </w:rPr>
        <w:t>情况。</w:t>
      </w:r>
    </w:p>
    <w:p>
      <w:pPr>
        <w:snapToGrid w:val="0"/>
        <w:spacing w:line="520" w:lineRule="exact"/>
        <w:rPr>
          <w:rFonts w:hint="eastAsia" w:ascii="仿宋" w:hAnsi="仿宋" w:eastAsia="仿宋"/>
          <w:sz w:val="32"/>
          <w:szCs w:val="32"/>
          <w:lang w:eastAsia="zh-CN"/>
        </w:rPr>
      </w:pPr>
      <w:r>
        <w:rPr>
          <w:rFonts w:hint="eastAsia" w:ascii="仿宋" w:hAnsi="仿宋" w:eastAsia="仿宋"/>
          <w:sz w:val="32"/>
          <w:szCs w:val="32"/>
          <w:lang w:val="en-US" w:eastAsia="zh-CN"/>
        </w:rPr>
        <w:t xml:space="preserve">    </w:t>
      </w:r>
      <w:r>
        <w:rPr>
          <w:rFonts w:hint="eastAsia" w:ascii="仿宋" w:hAnsi="仿宋" w:eastAsia="仿宋"/>
          <w:sz w:val="32"/>
          <w:szCs w:val="32"/>
        </w:rPr>
        <w:t>截止202</w:t>
      </w:r>
      <w:r>
        <w:rPr>
          <w:rFonts w:hint="eastAsia" w:ascii="仿宋" w:hAnsi="仿宋" w:eastAsia="仿宋"/>
          <w:sz w:val="32"/>
          <w:szCs w:val="32"/>
          <w:lang w:val="en-US" w:eastAsia="zh-CN"/>
        </w:rPr>
        <w:t>4</w:t>
      </w:r>
      <w:r>
        <w:rPr>
          <w:rFonts w:hint="eastAsia" w:ascii="仿宋" w:hAnsi="仿宋" w:eastAsia="仿宋"/>
          <w:sz w:val="32"/>
          <w:szCs w:val="32"/>
        </w:rPr>
        <w:t>年末实有在职人数4</w:t>
      </w:r>
      <w:r>
        <w:rPr>
          <w:rFonts w:hint="eastAsia" w:ascii="仿宋" w:hAnsi="仿宋" w:eastAsia="仿宋"/>
          <w:sz w:val="32"/>
          <w:szCs w:val="32"/>
          <w:lang w:val="en-US" w:eastAsia="zh-CN"/>
        </w:rPr>
        <w:t>0</w:t>
      </w:r>
      <w:r>
        <w:rPr>
          <w:rFonts w:hint="eastAsia" w:ascii="仿宋" w:hAnsi="仿宋" w:eastAsia="仿宋"/>
          <w:sz w:val="32"/>
          <w:szCs w:val="32"/>
        </w:rPr>
        <w:t>人，其中行政人员2</w:t>
      </w:r>
      <w:r>
        <w:rPr>
          <w:rFonts w:hint="eastAsia" w:ascii="仿宋" w:hAnsi="仿宋" w:eastAsia="仿宋"/>
          <w:sz w:val="32"/>
          <w:szCs w:val="32"/>
          <w:lang w:val="en-US" w:eastAsia="zh-CN"/>
        </w:rPr>
        <w:t>5</w:t>
      </w:r>
      <w:r>
        <w:rPr>
          <w:rFonts w:hint="eastAsia" w:ascii="仿宋" w:hAnsi="仿宋" w:eastAsia="仿宋"/>
          <w:sz w:val="32"/>
          <w:szCs w:val="32"/>
        </w:rPr>
        <w:t>人，非参公事业人员</w:t>
      </w:r>
      <w:r>
        <w:rPr>
          <w:rFonts w:hint="eastAsia" w:ascii="仿宋" w:hAnsi="仿宋" w:eastAsia="仿宋"/>
          <w:sz w:val="32"/>
          <w:szCs w:val="32"/>
          <w:lang w:val="en-US" w:eastAsia="zh-CN"/>
        </w:rPr>
        <w:t>13</w:t>
      </w:r>
      <w:r>
        <w:rPr>
          <w:rFonts w:hint="eastAsia" w:ascii="仿宋" w:hAnsi="仿宋" w:eastAsia="仿宋"/>
          <w:sz w:val="32"/>
          <w:szCs w:val="32"/>
        </w:rPr>
        <w:t>人</w:t>
      </w:r>
      <w:r>
        <w:rPr>
          <w:rFonts w:hint="eastAsia" w:ascii="仿宋" w:hAnsi="仿宋" w:eastAsia="仿宋"/>
          <w:sz w:val="32"/>
          <w:szCs w:val="32"/>
          <w:lang w:eastAsia="zh-CN"/>
        </w:rPr>
        <w:t>，</w:t>
      </w:r>
      <w:r>
        <w:rPr>
          <w:rFonts w:hint="eastAsia" w:ascii="仿宋" w:hAnsi="仿宋" w:eastAsia="仿宋"/>
          <w:sz w:val="32"/>
          <w:szCs w:val="32"/>
        </w:rPr>
        <w:t>机关和事业工人2人。</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资产情况。</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年初固定资产原值1080.9073万元，年末固定资产原值</w:t>
      </w:r>
      <w:r>
        <w:rPr>
          <w:rFonts w:hint="eastAsia" w:ascii="仿宋" w:hAnsi="仿宋" w:eastAsia="仿宋"/>
          <w:sz w:val="32"/>
          <w:szCs w:val="32"/>
          <w:lang w:val="en-US" w:eastAsia="zh-CN"/>
        </w:rPr>
        <w:t>1081.5073</w:t>
      </w:r>
      <w:r>
        <w:rPr>
          <w:rFonts w:hint="eastAsia" w:ascii="仿宋" w:hAnsi="仿宋" w:eastAsia="仿宋"/>
          <w:sz w:val="32"/>
          <w:szCs w:val="32"/>
        </w:rPr>
        <w:t>万元，增加</w:t>
      </w:r>
      <w:r>
        <w:rPr>
          <w:rFonts w:hint="eastAsia" w:ascii="仿宋" w:hAnsi="仿宋" w:eastAsia="仿宋"/>
          <w:sz w:val="32"/>
          <w:szCs w:val="32"/>
          <w:lang w:val="en-US" w:eastAsia="zh-CN"/>
        </w:rPr>
        <w:t>0.6</w:t>
      </w:r>
      <w:r>
        <w:rPr>
          <w:rFonts w:hint="eastAsia" w:ascii="仿宋" w:hAnsi="仿宋" w:eastAsia="仿宋"/>
          <w:sz w:val="32"/>
          <w:szCs w:val="32"/>
        </w:rPr>
        <w:t>万元，主要是</w:t>
      </w:r>
      <w:r>
        <w:rPr>
          <w:rFonts w:hint="eastAsia" w:ascii="仿宋" w:hAnsi="仿宋" w:eastAsia="仿宋"/>
          <w:sz w:val="32"/>
          <w:szCs w:val="32"/>
          <w:lang w:eastAsia="zh-CN"/>
        </w:rPr>
        <w:t>补录</w:t>
      </w:r>
      <w:r>
        <w:rPr>
          <w:rFonts w:hint="eastAsia" w:ascii="仿宋" w:hAnsi="仿宋" w:eastAsia="仿宋"/>
          <w:sz w:val="32"/>
          <w:szCs w:val="32"/>
        </w:rPr>
        <w:t>资产。</w:t>
      </w:r>
    </w:p>
    <w:p>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numPr>
          <w:ilvl w:val="0"/>
          <w:numId w:val="0"/>
        </w:numPr>
        <w:adjustRightInd w:val="0"/>
        <w:snapToGrid w:val="0"/>
        <w:spacing w:line="560" w:lineRule="exact"/>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2024年实际收入5722.49万元</w:t>
      </w:r>
      <w:r>
        <w:rPr>
          <w:rFonts w:hint="eastAsia" w:ascii="仿宋" w:hAnsi="仿宋" w:eastAsia="仿宋"/>
          <w:sz w:val="32"/>
          <w:szCs w:val="32"/>
          <w:lang w:eastAsia="zh-CN"/>
        </w:rPr>
        <w:t>，</w:t>
      </w:r>
      <w:r>
        <w:rPr>
          <w:rFonts w:hint="eastAsia" w:ascii="仿宋" w:hAnsi="仿宋" w:eastAsia="仿宋"/>
          <w:sz w:val="32"/>
          <w:szCs w:val="32"/>
        </w:rPr>
        <w:t>支出5722.49万元，</w:t>
      </w:r>
      <w:r>
        <w:rPr>
          <w:rFonts w:hint="eastAsia" w:ascii="仿宋" w:hAnsi="仿宋" w:eastAsia="仿宋"/>
          <w:sz w:val="32"/>
          <w:szCs w:val="32"/>
          <w:lang w:eastAsia="zh-CN"/>
        </w:rPr>
        <w:t>其中</w:t>
      </w:r>
      <w:r>
        <w:rPr>
          <w:rFonts w:hint="eastAsia" w:ascii="仿宋" w:hAnsi="仿宋" w:eastAsia="仿宋"/>
          <w:sz w:val="32"/>
          <w:szCs w:val="32"/>
        </w:rPr>
        <w:t>基本支出728万元占总支出12.72%（人员经费697.23万元占总支出12.18%，日常公用经费30.77占总支出0.54%）；项目支出4994.49万元占总支出87.28%。</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我</w:t>
      </w:r>
      <w:r>
        <w:rPr>
          <w:rFonts w:hint="eastAsia" w:ascii="仿宋" w:hAnsi="仿宋" w:eastAsia="仿宋"/>
          <w:sz w:val="32"/>
          <w:szCs w:val="32"/>
        </w:rPr>
        <w:t>乡党政领导班子在区委、区政府的坚强领导下，坚持以习近平新时代中国特色社会主义思想为指导，全面落实区委、区政府各项决策部署，</w:t>
      </w:r>
      <w:r>
        <w:rPr>
          <w:rFonts w:hint="eastAsia" w:ascii="仿宋" w:hAnsi="仿宋" w:eastAsia="仿宋"/>
          <w:sz w:val="32"/>
          <w:szCs w:val="32"/>
          <w:lang w:eastAsia="zh-CN"/>
        </w:rPr>
        <w:t>紧紧</w:t>
      </w:r>
      <w:r>
        <w:rPr>
          <w:rFonts w:hint="eastAsia" w:ascii="仿宋" w:hAnsi="仿宋" w:eastAsia="仿宋"/>
          <w:sz w:val="32"/>
          <w:szCs w:val="32"/>
        </w:rPr>
        <w:t>围绕建设“碧水蓝天、宜居宜游、繁荣幸福新横涧”奋斗目标，</w:t>
      </w:r>
      <w:r>
        <w:rPr>
          <w:rFonts w:hint="eastAsia" w:ascii="仿宋" w:hAnsi="仿宋" w:eastAsia="仿宋"/>
          <w:sz w:val="32"/>
          <w:szCs w:val="32"/>
          <w:lang w:eastAsia="zh-CN"/>
        </w:rPr>
        <w:t>积极进取、</w:t>
      </w:r>
      <w:r>
        <w:rPr>
          <w:rFonts w:hint="eastAsia" w:ascii="仿宋" w:hAnsi="仿宋" w:eastAsia="仿宋"/>
          <w:sz w:val="32"/>
          <w:szCs w:val="32"/>
        </w:rPr>
        <w:t>持续推动全乡经济社会高质量发展</w:t>
      </w:r>
      <w:r>
        <w:rPr>
          <w:rFonts w:hint="eastAsia" w:ascii="仿宋" w:hAnsi="仿宋" w:eastAsia="仿宋"/>
          <w:sz w:val="32"/>
          <w:szCs w:val="32"/>
          <w:lang w:eastAsia="zh-CN"/>
        </w:rPr>
        <w:t>。</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坚持以习近平新时代中国特色社会主义思想和党的二十大精神为统领，认真落实区委十二届七次全会决策部署，聚焦“碧水蓝天、宜居宜游、繁荣幸福新横涧”奋斗目标，坚持项目攻坚，提升乡域发展支撑能力，加快推进城中村改造项目建设。持续强化生态文明建设，统筹开展大气污染防治各项工作，严格落实河长制、林长制各项工作任务，全面筑牢生态环境保护防线。压实安全生产主体责任，夯实安全生产基础，强化工业企业、建筑行业等重点领域安全生产监管，保持安全生产三项指标零增长。加大社会保障力度，统筹社会事业发展，增强文化发展软实力，拓展群众性文化品牌内涵，丰富群众文化生活。依法管理民族宗教，支持党管武装、工会、共青团、妇联、工商联、科协等开展工作。</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项目评价资料由相关科室整理后交由财政所进行评审，由财政所初步评价后，在自评会议上确定最终评价结果。</w:t>
      </w:r>
    </w:p>
    <w:p>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spacing w:line="560" w:lineRule="exact"/>
        <w:ind w:firstLine="640" w:firstLineChars="200"/>
      </w:pPr>
      <w:r>
        <w:rPr>
          <w:rFonts w:hint="eastAsia" w:ascii="仿宋" w:hAnsi="仿宋" w:eastAsia="仿宋"/>
          <w:sz w:val="32"/>
          <w:szCs w:val="32"/>
        </w:rPr>
        <w:t>自评由财政所进行初步评价，后经过自评会议决定最终评价结果。</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4"/>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rPr>
          <w:rFonts w:ascii="仿宋" w:hAnsi="仿宋" w:eastAsia="仿宋"/>
          <w:sz w:val="32"/>
          <w:szCs w:val="32"/>
        </w:rPr>
      </w:pPr>
      <w:r>
        <w:rPr>
          <w:rFonts w:hint="eastAsia" w:ascii="仿宋" w:hAnsi="仿宋" w:eastAsia="仿宋"/>
          <w:sz w:val="32"/>
          <w:szCs w:val="32"/>
        </w:rPr>
        <w:t>我乡积极履职，强化管理，较好地完成了年度工作目标。根据相关文件要求，我乡所有项目均设定了绩效目标，涉及产出指标、效益指标和满意度指标。按要求开展上年度部门预算绩效自评和重点评价工作，提高财政资金使用效益。加强绩效运行监控。按要求开展绩效运行监控，发现问题及时采取措施，确保绩效目标如期保质实现。强化预算绩效管理意识，促进预算绩效管理水平进一步提升。</w:t>
      </w:r>
    </w:p>
    <w:p>
      <w:pPr>
        <w:spacing w:line="560" w:lineRule="exact"/>
        <w:rPr>
          <w:rFonts w:hint="eastAsia" w:ascii="仿宋" w:hAnsi="仿宋" w:eastAsia="仿宋"/>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bidi w:val="0"/>
        <w:snapToGrid/>
        <w:spacing w:line="560" w:lineRule="exact"/>
        <w:ind w:left="0" w:leftChars="0" w:right="0" w:rightChars="0"/>
        <w:outlineLvl w:val="9"/>
        <w:rPr>
          <w:rFonts w:hint="eastAsia" w:ascii="仿宋" w:hAnsi="仿宋" w:eastAsia="仿宋" w:cs="仿宋"/>
          <w:sz w:val="32"/>
          <w:szCs w:val="32"/>
        </w:rPr>
      </w:pPr>
      <w:r>
        <w:rPr>
          <w:rFonts w:hint="eastAsia" w:ascii="仿宋" w:hAnsi="仿宋" w:eastAsia="仿宋"/>
          <w:sz w:val="32"/>
          <w:szCs w:val="32"/>
          <w:lang w:val="en-US" w:eastAsia="zh-CN"/>
        </w:rPr>
        <w:t xml:space="preserve">   </w:t>
      </w:r>
      <w:r>
        <w:rPr>
          <w:rFonts w:hint="eastAsia" w:ascii="仿宋" w:hAnsi="仿宋" w:eastAsia="仿宋" w:cs="仿宋"/>
          <w:sz w:val="32"/>
          <w:szCs w:val="32"/>
          <w:lang w:val="en-US" w:eastAsia="zh-CN"/>
        </w:rPr>
        <w:t xml:space="preserve"> 1</w:t>
      </w:r>
      <w:r>
        <w:rPr>
          <w:rFonts w:hint="eastAsia" w:ascii="仿宋" w:hAnsi="仿宋" w:eastAsia="仿宋" w:cs="仿宋"/>
          <w:sz w:val="32"/>
          <w:szCs w:val="32"/>
        </w:rPr>
        <w:t>、两委干部人员经费</w:t>
      </w:r>
    </w:p>
    <w:p>
      <w:pPr>
        <w:keepNext w:val="0"/>
        <w:keepLines w:val="0"/>
        <w:pageBreakBefore w:val="0"/>
        <w:widowControl w:val="0"/>
        <w:kinsoku/>
        <w:wordWrap/>
        <w:overflowPunct/>
        <w:topLinePunct w:val="0"/>
        <w:bidi w:val="0"/>
        <w:snapToGrid/>
        <w:spacing w:line="560" w:lineRule="exact"/>
        <w:ind w:left="0" w:leftChars="0" w:right="0" w:rightChars="0"/>
        <w:outlineLvl w:val="9"/>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该项目预算数是141.0</w:t>
      </w:r>
      <w:r>
        <w:rPr>
          <w:rFonts w:hint="eastAsia" w:ascii="仿宋" w:hAnsi="仿宋" w:eastAsia="仿宋" w:cs="仿宋"/>
          <w:sz w:val="32"/>
          <w:szCs w:val="32"/>
          <w:lang w:val="en-US" w:eastAsia="zh-CN"/>
        </w:rPr>
        <w:t>3</w:t>
      </w:r>
      <w:r>
        <w:rPr>
          <w:rFonts w:hint="eastAsia" w:ascii="仿宋" w:hAnsi="仿宋" w:eastAsia="仿宋" w:cs="仿宋"/>
          <w:sz w:val="32"/>
          <w:szCs w:val="32"/>
        </w:rPr>
        <w:t>万元，支出141.0</w:t>
      </w:r>
      <w:r>
        <w:rPr>
          <w:rFonts w:hint="eastAsia" w:ascii="仿宋" w:hAnsi="仿宋" w:eastAsia="仿宋" w:cs="仿宋"/>
          <w:sz w:val="32"/>
          <w:szCs w:val="32"/>
          <w:lang w:val="en-US" w:eastAsia="zh-CN"/>
        </w:rPr>
        <w:t>3</w:t>
      </w:r>
      <w:r>
        <w:rPr>
          <w:rFonts w:hint="eastAsia" w:ascii="仿宋" w:hAnsi="仿宋" w:eastAsia="仿宋" w:cs="仿宋"/>
          <w:sz w:val="32"/>
          <w:szCs w:val="32"/>
        </w:rPr>
        <w:t>万元，总体支出进度为100%。</w:t>
      </w:r>
    </w:p>
    <w:p>
      <w:pPr>
        <w:keepNext w:val="0"/>
        <w:keepLines w:val="0"/>
        <w:pageBreakBefore w:val="0"/>
        <w:widowControl w:val="0"/>
        <w:kinsoku/>
        <w:wordWrap/>
        <w:overflowPunct/>
        <w:topLinePunct w:val="0"/>
        <w:bidi w:val="0"/>
        <w:snapToGrid/>
        <w:spacing w:line="560" w:lineRule="exact"/>
        <w:ind w:left="0" w:leftChars="0" w:right="0" w:rightChars="0"/>
        <w:outlineLvl w:val="9"/>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按时为两委干部发放</w:t>
      </w:r>
      <w:r>
        <w:rPr>
          <w:rFonts w:hint="eastAsia" w:ascii="仿宋" w:hAnsi="仿宋" w:eastAsia="仿宋" w:cs="仿宋"/>
          <w:sz w:val="32"/>
          <w:szCs w:val="32"/>
        </w:rPr>
        <w:t>工资</w:t>
      </w:r>
      <w:r>
        <w:rPr>
          <w:rFonts w:hint="eastAsia" w:ascii="仿宋" w:hAnsi="仿宋" w:eastAsia="仿宋" w:cs="仿宋"/>
          <w:sz w:val="32"/>
          <w:szCs w:val="32"/>
          <w:lang w:eastAsia="zh-CN"/>
        </w:rPr>
        <w:t>、缴纳保险，维护人员稳定</w:t>
      </w:r>
      <w:r>
        <w:rPr>
          <w:rFonts w:hint="eastAsia" w:ascii="仿宋" w:hAnsi="仿宋" w:eastAsia="仿宋" w:cs="仿宋"/>
          <w:sz w:val="32"/>
          <w:szCs w:val="32"/>
        </w:rPr>
        <w:t>。绩效指标为 4 个，评价等级为优。</w:t>
      </w:r>
    </w:p>
    <w:p>
      <w:pPr>
        <w:pStyle w:val="12"/>
        <w:keepNext w:val="0"/>
        <w:keepLines w:val="0"/>
        <w:pageBreakBefore w:val="0"/>
        <w:widowControl w:val="0"/>
        <w:kinsoku/>
        <w:wordWrap/>
        <w:overflowPunct/>
        <w:topLinePunct w:val="0"/>
        <w:bidi w:val="0"/>
        <w:snapToGrid/>
        <w:spacing w:line="560" w:lineRule="exact"/>
        <w:ind w:left="0" w:leftChars="0" w:right="0" w:rightChars="0" w:firstLine="0" w:firstLine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2、2023年中央农村综合改革转移支付资金</w:t>
      </w:r>
    </w:p>
    <w:p>
      <w:pPr>
        <w:keepNext w:val="0"/>
        <w:keepLines w:val="0"/>
        <w:pageBreakBefore w:val="0"/>
        <w:widowControl w:val="0"/>
        <w:kinsoku/>
        <w:wordWrap/>
        <w:overflowPunct/>
        <w:topLinePunct w:val="0"/>
        <w:bidi w:val="0"/>
        <w:snapToGrid/>
        <w:spacing w:line="560" w:lineRule="exact"/>
        <w:ind w:left="0" w:leftChars="0" w:right="0" w:rightChars="0" w:firstLine="640" w:firstLineChars="200"/>
        <w:outlineLvl w:val="9"/>
        <w:rPr>
          <w:rFonts w:hint="eastAsia" w:ascii="仿宋" w:hAnsi="仿宋" w:eastAsia="仿宋" w:cs="仿宋"/>
          <w:kern w:val="2"/>
          <w:sz w:val="32"/>
          <w:szCs w:val="32"/>
          <w:lang w:val="en-US" w:eastAsia="zh-CN" w:bidi="ar-SA"/>
        </w:rPr>
      </w:pPr>
      <w:r>
        <w:rPr>
          <w:rFonts w:hint="eastAsia" w:ascii="仿宋" w:hAnsi="仿宋" w:eastAsia="仿宋" w:cs="仿宋"/>
          <w:spacing w:val="-20"/>
          <w:kern w:val="2"/>
          <w:sz w:val="32"/>
          <w:szCs w:val="32"/>
          <w:lang w:val="en-US" w:eastAsia="zh-CN" w:bidi="ar-SA"/>
        </w:rPr>
        <w:t>该项目预算数是150万元，支出150万元，总体支出进度为100%。</w:t>
      </w:r>
    </w:p>
    <w:p>
      <w:pPr>
        <w:pStyle w:val="12"/>
        <w:keepNext w:val="0"/>
        <w:keepLines w:val="0"/>
        <w:pageBreakBefore w:val="0"/>
        <w:widowControl w:val="0"/>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完善公共基础设施建设，资金及时到位，确保示范村建设项目顺利开展。绩效指标为 4 个，评价等级为优。</w:t>
      </w:r>
    </w:p>
    <w:p>
      <w:pPr>
        <w:pStyle w:val="12"/>
        <w:keepNext w:val="0"/>
        <w:keepLines w:val="0"/>
        <w:pageBreakBefore w:val="0"/>
        <w:widowControl w:val="0"/>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3、乡镇“五小”运行费</w:t>
      </w:r>
    </w:p>
    <w:p>
      <w:pPr>
        <w:keepNext w:val="0"/>
        <w:keepLines w:val="0"/>
        <w:pageBreakBefore w:val="0"/>
        <w:widowControl w:val="0"/>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该项目预算数是1.8万元，支出1.8万元，总体支出进度为100%。</w:t>
      </w:r>
    </w:p>
    <w:p>
      <w:pPr>
        <w:pStyle w:val="12"/>
        <w:keepNext w:val="0"/>
        <w:keepLines w:val="0"/>
        <w:pageBreakBefore w:val="0"/>
        <w:widowControl w:val="0"/>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及时拨付资金，保障食堂正常运转。绩效指标为 4 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4、文兴东路拓宽涉及新西社区补偿费用</w:t>
      </w:r>
    </w:p>
    <w:p>
      <w:pPr>
        <w:keepNext w:val="0"/>
        <w:keepLines w:val="0"/>
        <w:pageBreakBefore w:val="0"/>
        <w:widowControl w:val="0"/>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该项目预算数是1320万元，支出1320万元，总体支出进度为100%。</w:t>
      </w:r>
    </w:p>
    <w:p>
      <w:pPr>
        <w:pStyle w:val="12"/>
        <w:keepNext w:val="0"/>
        <w:keepLines w:val="0"/>
        <w:pageBreakBefore w:val="0"/>
        <w:widowControl w:val="0"/>
        <w:kinsoku/>
        <w:wordWrap/>
        <w:overflowPunct/>
        <w:topLinePunct w:val="0"/>
        <w:bidi w:val="0"/>
        <w:snapToGrid/>
        <w:spacing w:line="560" w:lineRule="exact"/>
        <w:ind w:left="0" w:leftChars="0" w:right="0" w:rightChars="0" w:firstLine="640" w:firstLine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支付文兴东路拓宽涉及新西社区补偿费，保障新西社区工作顺利开展。绩效指标为 4 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5、信访维稳经费</w:t>
      </w:r>
    </w:p>
    <w:p>
      <w:pPr>
        <w:keepNext w:val="0"/>
        <w:keepLines w:val="0"/>
        <w:pageBreakBefore w:val="0"/>
        <w:widowControl w:val="0"/>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w:t>
      </w:r>
      <w:r>
        <w:rPr>
          <w:rFonts w:hint="eastAsia" w:ascii="仿宋" w:hAnsi="仿宋" w:eastAsia="仿宋" w:cs="仿宋"/>
          <w:spacing w:val="-20"/>
          <w:kern w:val="2"/>
          <w:sz w:val="32"/>
          <w:szCs w:val="32"/>
          <w:lang w:val="en-US" w:eastAsia="zh-CN" w:bidi="ar-SA"/>
        </w:rPr>
        <w:t>该项目预算数是11万元，支出11万元，总体支出进度为100%。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支付在京、省市等地值班、交通等费用，解决上访群众诉求，及时化解信访问题，做好普法宣传，维护良好社会氛围。绩效指标为 4 个，评价等级为优。</w:t>
      </w:r>
    </w:p>
    <w:p>
      <w:pPr>
        <w:pStyle w:val="12"/>
        <w:keepNext w:val="0"/>
        <w:keepLines w:val="0"/>
        <w:pageBreakBefore w:val="0"/>
        <w:widowControl w:val="0"/>
        <w:kinsoku/>
        <w:wordWrap/>
        <w:overflowPunct/>
        <w:topLinePunct w:val="0"/>
        <w:bidi w:val="0"/>
        <w:snapToGrid/>
        <w:spacing w:line="560" w:lineRule="exact"/>
        <w:ind w:left="0" w:leftChars="0" w:right="0" w:rightChars="0" w:firstLine="640" w:firstLine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6、乡镇遗留问题</w:t>
      </w:r>
    </w:p>
    <w:p>
      <w:pPr>
        <w:keepNext w:val="0"/>
        <w:keepLines w:val="0"/>
        <w:pageBreakBefore w:val="0"/>
        <w:widowControl w:val="0"/>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该项目预算数是0.81万元，支出0.81万元，总体支出进度为100%。</w:t>
      </w:r>
    </w:p>
    <w:p>
      <w:pPr>
        <w:pStyle w:val="12"/>
        <w:keepNext w:val="0"/>
        <w:keepLines w:val="0"/>
        <w:pageBreakBefore w:val="0"/>
        <w:widowControl w:val="0"/>
        <w:kinsoku/>
        <w:wordWrap/>
        <w:overflowPunct/>
        <w:topLinePunct w:val="0"/>
        <w:bidi w:val="0"/>
        <w:snapToGrid/>
        <w:spacing w:line="560" w:lineRule="exact"/>
        <w:ind w:left="0" w:leftChars="0" w:right="0" w:rightChars="0" w:firstLine="640" w:firstLine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支付王新端医疗补助和横涧学区欠工资。绩效指标为 3 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7、关于调整下达2023年省级农村综合改革转移支付资金的通知（一事一议）</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w:t>
      </w:r>
      <w:r>
        <w:rPr>
          <w:rFonts w:hint="eastAsia" w:ascii="仿宋" w:hAnsi="仿宋" w:eastAsia="仿宋" w:cs="仿宋"/>
          <w:spacing w:val="-20"/>
          <w:kern w:val="2"/>
          <w:sz w:val="32"/>
          <w:szCs w:val="32"/>
          <w:lang w:val="en-US" w:eastAsia="zh-CN" w:bidi="ar-SA"/>
        </w:rPr>
        <w:t>该项目预算数是18万元，支出18万元，总体支出进度为100%。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资金及时拨付保障横西大峪道路硬化、雨水排放建设项目顺利进行。绩效指标为 4 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8、关于提前下达2023年省级农村综合改革转移支付预算的通知（一事一议）</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w:t>
      </w:r>
      <w:r>
        <w:rPr>
          <w:rFonts w:hint="eastAsia" w:ascii="仿宋" w:hAnsi="仿宋" w:eastAsia="仿宋" w:cs="仿宋"/>
          <w:spacing w:val="-20"/>
          <w:kern w:val="2"/>
          <w:sz w:val="32"/>
          <w:szCs w:val="32"/>
          <w:lang w:val="en-US" w:eastAsia="zh-CN" w:bidi="ar-SA"/>
        </w:rPr>
        <w:t>该项目预算数是35万元，支出35万元，总体支出进度为100%。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资金及时拨付保障横西大峪道路硬化、雨水排放建设项目顺利进行。绩效指标为 4 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9、网格工作经费</w:t>
      </w:r>
    </w:p>
    <w:p>
      <w:pPr>
        <w:keepNext w:val="0"/>
        <w:keepLines w:val="0"/>
        <w:pageBreakBefore w:val="0"/>
        <w:widowControl w:val="0"/>
        <w:kinsoku/>
        <w:wordWrap/>
        <w:overflowPunct/>
        <w:topLinePunct w:val="0"/>
        <w:bidi w:val="0"/>
        <w:snapToGrid/>
        <w:spacing w:line="560" w:lineRule="exact"/>
        <w:ind w:left="0" w:leftChars="0" w:right="0" w:rightChars="0" w:firstLine="640" w:firstLineChars="200"/>
        <w:outlineLvl w:val="9"/>
        <w:rPr>
          <w:rFonts w:hint="eastAsia" w:ascii="仿宋" w:hAnsi="仿宋" w:eastAsia="仿宋" w:cs="仿宋"/>
          <w:sz w:val="32"/>
          <w:szCs w:val="32"/>
        </w:rPr>
      </w:pPr>
      <w:r>
        <w:rPr>
          <w:rFonts w:hint="eastAsia" w:ascii="仿宋" w:hAnsi="仿宋" w:eastAsia="仿宋" w:cs="仿宋"/>
          <w:sz w:val="32"/>
          <w:szCs w:val="32"/>
        </w:rPr>
        <w:t>该项目预算数是</w:t>
      </w:r>
      <w:r>
        <w:rPr>
          <w:rFonts w:hint="eastAsia" w:ascii="仿宋" w:hAnsi="仿宋" w:eastAsia="仿宋" w:cs="仿宋"/>
          <w:sz w:val="32"/>
          <w:szCs w:val="32"/>
          <w:lang w:val="en-US" w:eastAsia="zh-CN"/>
        </w:rPr>
        <w:t>3.69</w:t>
      </w:r>
      <w:r>
        <w:rPr>
          <w:rFonts w:hint="eastAsia" w:ascii="仿宋" w:hAnsi="仿宋" w:eastAsia="仿宋" w:cs="仿宋"/>
          <w:sz w:val="32"/>
          <w:szCs w:val="32"/>
        </w:rPr>
        <w:t>万元，支出</w:t>
      </w:r>
      <w:r>
        <w:rPr>
          <w:rFonts w:hint="eastAsia" w:ascii="仿宋" w:hAnsi="仿宋" w:eastAsia="仿宋" w:cs="仿宋"/>
          <w:sz w:val="32"/>
          <w:szCs w:val="32"/>
          <w:lang w:val="en-US" w:eastAsia="zh-CN"/>
        </w:rPr>
        <w:t>3.69</w:t>
      </w:r>
      <w:r>
        <w:rPr>
          <w:rFonts w:hint="eastAsia" w:ascii="仿宋" w:hAnsi="仿宋" w:eastAsia="仿宋" w:cs="仿宋"/>
          <w:sz w:val="32"/>
          <w:szCs w:val="32"/>
        </w:rPr>
        <w:t>万元，总体支出进度为100%。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rPr>
      </w:pPr>
      <w:r>
        <w:rPr>
          <w:rFonts w:hint="eastAsia" w:ascii="仿宋" w:hAnsi="仿宋" w:eastAsia="仿宋" w:cs="仿宋"/>
          <w:sz w:val="32"/>
          <w:szCs w:val="32"/>
        </w:rPr>
        <w:t>完成网格员相关工作，及时发放网格员经费。绩效指标为 4 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10、劳务派遣人员经费</w:t>
      </w:r>
    </w:p>
    <w:p>
      <w:pPr>
        <w:keepNext w:val="0"/>
        <w:keepLines w:val="0"/>
        <w:pageBreakBefore w:val="0"/>
        <w:widowControl w:val="0"/>
        <w:kinsoku/>
        <w:wordWrap/>
        <w:overflowPunct/>
        <w:topLinePunct w:val="0"/>
        <w:bidi w:val="0"/>
        <w:snapToGrid/>
        <w:spacing w:line="560" w:lineRule="exact"/>
        <w:ind w:left="0" w:leftChars="0" w:right="0" w:rightChars="0"/>
        <w:outlineLvl w:val="9"/>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该项目预算数是</w:t>
      </w:r>
      <w:r>
        <w:rPr>
          <w:rFonts w:hint="eastAsia" w:ascii="仿宋" w:hAnsi="仿宋" w:eastAsia="仿宋" w:cs="仿宋"/>
          <w:sz w:val="32"/>
          <w:szCs w:val="32"/>
          <w:lang w:val="en-US" w:eastAsia="zh-CN"/>
        </w:rPr>
        <w:t>118.46</w:t>
      </w:r>
      <w:r>
        <w:rPr>
          <w:rFonts w:hint="eastAsia" w:ascii="仿宋" w:hAnsi="仿宋" w:eastAsia="仿宋" w:cs="仿宋"/>
          <w:sz w:val="32"/>
          <w:szCs w:val="32"/>
        </w:rPr>
        <w:t>万元，支出</w:t>
      </w:r>
      <w:r>
        <w:rPr>
          <w:rFonts w:hint="eastAsia" w:ascii="仿宋" w:hAnsi="仿宋" w:eastAsia="仿宋" w:cs="仿宋"/>
          <w:sz w:val="32"/>
          <w:szCs w:val="32"/>
          <w:lang w:val="en-US" w:eastAsia="zh-CN"/>
        </w:rPr>
        <w:t>118.46</w:t>
      </w:r>
      <w:r>
        <w:rPr>
          <w:rFonts w:hint="eastAsia" w:ascii="仿宋" w:hAnsi="仿宋" w:eastAsia="仿宋" w:cs="仿宋"/>
          <w:sz w:val="32"/>
          <w:szCs w:val="32"/>
        </w:rPr>
        <w:t>万元，总体支出进度为100%。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rPr>
      </w:pPr>
      <w:r>
        <w:rPr>
          <w:rFonts w:hint="eastAsia" w:ascii="仿宋" w:hAnsi="仿宋" w:eastAsia="仿宋" w:cs="仿宋"/>
          <w:sz w:val="32"/>
          <w:szCs w:val="32"/>
        </w:rPr>
        <w:t>经费按时足额发放，保障</w:t>
      </w:r>
      <w:r>
        <w:rPr>
          <w:rFonts w:hint="eastAsia" w:ascii="仿宋" w:hAnsi="仿宋" w:eastAsia="仿宋" w:cs="仿宋"/>
          <w:sz w:val="32"/>
          <w:szCs w:val="32"/>
          <w:lang w:eastAsia="zh-CN"/>
        </w:rPr>
        <w:t>各项</w:t>
      </w:r>
      <w:r>
        <w:rPr>
          <w:rFonts w:hint="eastAsia" w:ascii="仿宋" w:hAnsi="仿宋" w:eastAsia="仿宋" w:cs="仿宋"/>
          <w:sz w:val="32"/>
          <w:szCs w:val="32"/>
        </w:rPr>
        <w:t>工作顺利完成。绩效指标为 4 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11、城镇无业独生子女父母奖励</w:t>
      </w:r>
    </w:p>
    <w:p>
      <w:pPr>
        <w:keepNext w:val="0"/>
        <w:keepLines w:val="0"/>
        <w:pageBreakBefore w:val="0"/>
        <w:widowControl w:val="0"/>
        <w:kinsoku/>
        <w:wordWrap/>
        <w:overflowPunct/>
        <w:topLinePunct w:val="0"/>
        <w:bidi w:val="0"/>
        <w:snapToGrid/>
        <w:spacing w:line="560" w:lineRule="exact"/>
        <w:ind w:left="0" w:leftChars="0" w:right="0" w:rightChars="0" w:firstLine="640" w:firstLineChars="200"/>
        <w:outlineLvl w:val="9"/>
        <w:rPr>
          <w:rFonts w:hint="eastAsia" w:ascii="仿宋" w:hAnsi="仿宋" w:eastAsia="仿宋" w:cs="仿宋"/>
          <w:sz w:val="32"/>
          <w:szCs w:val="32"/>
        </w:rPr>
      </w:pPr>
      <w:r>
        <w:rPr>
          <w:rFonts w:hint="eastAsia" w:ascii="仿宋" w:hAnsi="仿宋" w:eastAsia="仿宋" w:cs="仿宋"/>
          <w:sz w:val="32"/>
          <w:szCs w:val="32"/>
        </w:rPr>
        <w:t>该项目预算数是</w:t>
      </w:r>
      <w:r>
        <w:rPr>
          <w:rFonts w:hint="eastAsia" w:ascii="仿宋" w:hAnsi="仿宋" w:eastAsia="仿宋" w:cs="仿宋"/>
          <w:sz w:val="32"/>
          <w:szCs w:val="32"/>
          <w:lang w:val="en-US" w:eastAsia="zh-CN"/>
        </w:rPr>
        <w:t>2.216</w:t>
      </w:r>
      <w:r>
        <w:rPr>
          <w:rFonts w:hint="eastAsia" w:ascii="仿宋" w:hAnsi="仿宋" w:eastAsia="仿宋" w:cs="仿宋"/>
          <w:sz w:val="32"/>
          <w:szCs w:val="32"/>
        </w:rPr>
        <w:t>万元，支出</w:t>
      </w:r>
      <w:r>
        <w:rPr>
          <w:rFonts w:hint="eastAsia" w:ascii="仿宋" w:hAnsi="仿宋" w:eastAsia="仿宋" w:cs="仿宋"/>
          <w:sz w:val="32"/>
          <w:szCs w:val="32"/>
          <w:lang w:val="en-US" w:eastAsia="zh-CN"/>
        </w:rPr>
        <w:t>2.216</w:t>
      </w:r>
      <w:r>
        <w:rPr>
          <w:rFonts w:hint="eastAsia" w:ascii="仿宋" w:hAnsi="仿宋" w:eastAsia="仿宋" w:cs="仿宋"/>
          <w:sz w:val="32"/>
          <w:szCs w:val="32"/>
        </w:rPr>
        <w:t>万元，总体支出进度为100%。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rPr>
      </w:pPr>
      <w:r>
        <w:rPr>
          <w:rFonts w:hint="eastAsia" w:ascii="仿宋" w:hAnsi="仿宋" w:eastAsia="仿宋" w:cs="仿宋"/>
          <w:sz w:val="32"/>
          <w:szCs w:val="32"/>
        </w:rPr>
        <w:t>对城镇无业独生子女父母奖励进行资金支持，减轻家庭压力，保障生活质量。绩效指标为 4 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12、环境保护经费</w:t>
      </w:r>
    </w:p>
    <w:p>
      <w:pPr>
        <w:keepNext w:val="0"/>
        <w:keepLines w:val="0"/>
        <w:pageBreakBefore w:val="0"/>
        <w:widowControl w:val="0"/>
        <w:kinsoku/>
        <w:wordWrap/>
        <w:overflowPunct/>
        <w:topLinePunct w:val="0"/>
        <w:autoSpaceDE w:val="0"/>
        <w:autoSpaceDN w:val="0"/>
        <w:bidi w:val="0"/>
        <w:adjustRightInd w:val="0"/>
        <w:snapToGrid/>
        <w:spacing w:line="560" w:lineRule="exact"/>
        <w:ind w:left="0" w:leftChars="0" w:right="0" w:rightChars="0" w:firstLine="640" w:firstLineChars="200"/>
        <w:jc w:val="left"/>
        <w:outlineLvl w:val="9"/>
        <w:rPr>
          <w:rFonts w:hint="eastAsia" w:ascii="仿宋" w:hAnsi="仿宋" w:eastAsia="仿宋" w:cs="仿宋"/>
          <w:sz w:val="32"/>
          <w:szCs w:val="32"/>
        </w:rPr>
      </w:pPr>
      <w:r>
        <w:rPr>
          <w:rFonts w:hint="eastAsia" w:ascii="仿宋" w:hAnsi="仿宋" w:eastAsia="仿宋" w:cs="仿宋"/>
          <w:sz w:val="32"/>
          <w:szCs w:val="32"/>
        </w:rPr>
        <w:t>该项目预算数是</w:t>
      </w:r>
      <w:r>
        <w:rPr>
          <w:rFonts w:hint="eastAsia" w:ascii="仿宋" w:hAnsi="仿宋" w:eastAsia="仿宋" w:cs="仿宋"/>
          <w:sz w:val="32"/>
          <w:szCs w:val="32"/>
          <w:lang w:val="en-US" w:eastAsia="zh-CN"/>
        </w:rPr>
        <w:t>7</w:t>
      </w:r>
      <w:r>
        <w:rPr>
          <w:rFonts w:hint="eastAsia" w:ascii="仿宋" w:hAnsi="仿宋" w:eastAsia="仿宋" w:cs="仿宋"/>
          <w:sz w:val="32"/>
          <w:szCs w:val="32"/>
        </w:rPr>
        <w:t>万元，支出</w:t>
      </w:r>
      <w:r>
        <w:rPr>
          <w:rFonts w:hint="eastAsia" w:ascii="仿宋" w:hAnsi="仿宋" w:eastAsia="仿宋" w:cs="仿宋"/>
          <w:sz w:val="32"/>
          <w:szCs w:val="32"/>
          <w:lang w:val="en-US" w:eastAsia="zh-CN"/>
        </w:rPr>
        <w:t>7</w:t>
      </w:r>
      <w:r>
        <w:rPr>
          <w:rFonts w:hint="eastAsia" w:ascii="仿宋" w:hAnsi="仿宋" w:eastAsia="仿宋" w:cs="仿宋"/>
          <w:sz w:val="32"/>
          <w:szCs w:val="32"/>
        </w:rPr>
        <w:t>万元，总体支出进度为100%。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rPr>
      </w:pPr>
      <w:r>
        <w:rPr>
          <w:rFonts w:hint="eastAsia" w:ascii="仿宋" w:hAnsi="仿宋" w:eastAsia="仿宋" w:cs="仿宋"/>
          <w:sz w:val="32"/>
          <w:szCs w:val="32"/>
        </w:rPr>
        <w:t>开展道路清扫，提高环境整洁度，维护乡镇人居环境。绩效指标为 4 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13、社区工作经费</w:t>
      </w:r>
    </w:p>
    <w:p>
      <w:pPr>
        <w:keepNext w:val="0"/>
        <w:keepLines w:val="0"/>
        <w:pageBreakBefore w:val="0"/>
        <w:widowControl w:val="0"/>
        <w:kinsoku/>
        <w:wordWrap/>
        <w:overflowPunct/>
        <w:topLinePunct w:val="0"/>
        <w:autoSpaceDE w:val="0"/>
        <w:autoSpaceDN w:val="0"/>
        <w:bidi w:val="0"/>
        <w:adjustRightInd w:val="0"/>
        <w:snapToGrid/>
        <w:spacing w:line="560" w:lineRule="exact"/>
        <w:ind w:left="0" w:leftChars="0" w:right="0" w:rightChars="0" w:firstLine="640" w:firstLineChars="200"/>
        <w:jc w:val="left"/>
        <w:outlineLvl w:val="9"/>
        <w:rPr>
          <w:rFonts w:hint="eastAsia" w:ascii="仿宋" w:hAnsi="仿宋" w:eastAsia="仿宋" w:cs="仿宋"/>
          <w:sz w:val="32"/>
          <w:szCs w:val="32"/>
        </w:rPr>
      </w:pPr>
      <w:r>
        <w:rPr>
          <w:rFonts w:hint="eastAsia" w:ascii="仿宋" w:hAnsi="仿宋" w:eastAsia="仿宋" w:cs="仿宋"/>
          <w:sz w:val="32"/>
          <w:szCs w:val="32"/>
        </w:rPr>
        <w:t>该项目预算数是</w:t>
      </w:r>
      <w:r>
        <w:rPr>
          <w:rFonts w:hint="eastAsia" w:ascii="仿宋" w:hAnsi="仿宋" w:eastAsia="仿宋" w:cs="仿宋"/>
          <w:sz w:val="32"/>
          <w:szCs w:val="32"/>
          <w:lang w:val="en-US" w:eastAsia="zh-CN"/>
        </w:rPr>
        <w:t>85</w:t>
      </w:r>
      <w:r>
        <w:rPr>
          <w:rFonts w:hint="eastAsia" w:ascii="仿宋" w:hAnsi="仿宋" w:eastAsia="仿宋" w:cs="仿宋"/>
          <w:sz w:val="32"/>
          <w:szCs w:val="32"/>
        </w:rPr>
        <w:t>万元，支出</w:t>
      </w:r>
      <w:r>
        <w:rPr>
          <w:rFonts w:hint="eastAsia" w:ascii="仿宋" w:hAnsi="仿宋" w:eastAsia="仿宋" w:cs="仿宋"/>
          <w:sz w:val="32"/>
          <w:szCs w:val="32"/>
          <w:lang w:val="en-US" w:eastAsia="zh-CN"/>
        </w:rPr>
        <w:t>85</w:t>
      </w:r>
      <w:r>
        <w:rPr>
          <w:rFonts w:hint="eastAsia" w:ascii="仿宋" w:hAnsi="仿宋" w:eastAsia="仿宋" w:cs="仿宋"/>
          <w:sz w:val="32"/>
          <w:szCs w:val="32"/>
        </w:rPr>
        <w:t>万元，总体支出进度为100%。</w:t>
      </w:r>
    </w:p>
    <w:p>
      <w:pPr>
        <w:keepNext w:val="0"/>
        <w:keepLines w:val="0"/>
        <w:pageBreakBefore w:val="0"/>
        <w:widowControl w:val="0"/>
        <w:kinsoku/>
        <w:wordWrap/>
        <w:overflowPunct/>
        <w:topLinePunct w:val="0"/>
        <w:autoSpaceDE w:val="0"/>
        <w:autoSpaceDN w:val="0"/>
        <w:bidi w:val="0"/>
        <w:adjustRightInd w:val="0"/>
        <w:snapToGrid/>
        <w:spacing w:line="560" w:lineRule="exact"/>
        <w:ind w:left="0" w:leftChars="0" w:right="0" w:rightChars="0" w:firstLine="640" w:firstLineChars="200"/>
        <w:jc w:val="left"/>
        <w:outlineLvl w:val="9"/>
        <w:rPr>
          <w:rFonts w:hint="eastAsia" w:ascii="仿宋" w:hAnsi="仿宋" w:eastAsia="仿宋" w:cs="仿宋"/>
          <w:sz w:val="32"/>
          <w:szCs w:val="32"/>
        </w:rPr>
      </w:pPr>
      <w:r>
        <w:rPr>
          <w:rFonts w:hint="eastAsia" w:ascii="仿宋" w:hAnsi="仿宋" w:eastAsia="仿宋" w:cs="仿宋"/>
          <w:sz w:val="32"/>
          <w:szCs w:val="32"/>
        </w:rPr>
        <w:t>完成社区各项工作，保障社区工作的相关支出。绩效指标为 4 个，评价等级为优。</w:t>
      </w:r>
    </w:p>
    <w:p>
      <w:pPr>
        <w:pStyle w:val="2"/>
        <w:keepNext w:val="0"/>
        <w:keepLines w:val="0"/>
        <w:pageBreakBefore w:val="0"/>
        <w:widowControl w:val="0"/>
        <w:kinsoku/>
        <w:wordWrap/>
        <w:overflowPunct/>
        <w:topLinePunct w:val="0"/>
        <w:bidi w:val="0"/>
        <w:snapToGrid/>
        <w:spacing w:after="0" w:line="560" w:lineRule="exact"/>
        <w:ind w:left="0" w:leftChars="0" w:right="0" w:rightChars="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14、关于下达2023年省级农村综合改革转移支付预算的通知（示范村）</w:t>
      </w:r>
    </w:p>
    <w:p>
      <w:pPr>
        <w:keepNext w:val="0"/>
        <w:keepLines w:val="0"/>
        <w:pageBreakBefore w:val="0"/>
        <w:widowControl w:val="0"/>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该项目预算数是60万元，支出60万元，总体支出进度为100%。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完善公共基础设施建设，资金及时到位，确保示范村建设项目顺利开展。绩效指标为 4 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15、关于下达2023年市级农村综合改革转移支付预算的通知（一事一议）</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该项目预算数是97万元，支出57万元，总体支出进度为59%。</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资金及时拨付保障横西大峪道路硬化、雨水排放建设项目顺利进行。绩效指标为 4 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16、关于下达2023年中央农村综合改革转移支付资金的通知（一事一议）</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该项目预算数是50万元，支出50万元，总体支出进度为100%。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资金及时拨付保障横西大峪道路硬化、雨水排放建设项目顺利进行。绩效指标为 4 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17、应急基础设施项目资金</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该项目预算数是37万元，支出37万元，总体支出进度为100%。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及时拨付年前年度工程款，进一步保障施工单位权益。绩效指标为3个，评价等级为优。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18、3月份劳务派遣人员工资</w:t>
      </w:r>
    </w:p>
    <w:p>
      <w:pPr>
        <w:keepNext w:val="0"/>
        <w:keepLines w:val="0"/>
        <w:pageBreakBefore w:val="0"/>
        <w:widowControl w:val="0"/>
        <w:kinsoku/>
        <w:wordWrap/>
        <w:overflowPunct/>
        <w:topLinePunct w:val="0"/>
        <w:bidi w:val="0"/>
        <w:snapToGrid/>
        <w:spacing w:line="560" w:lineRule="exact"/>
        <w:ind w:left="0" w:leftChars="0" w:right="0" w:rightChars="0" w:firstLine="640" w:firstLineChars="200"/>
        <w:outlineLvl w:val="9"/>
        <w:rPr>
          <w:rFonts w:hint="eastAsia" w:ascii="仿宋" w:hAnsi="仿宋" w:eastAsia="仿宋" w:cs="仿宋"/>
          <w:sz w:val="32"/>
          <w:szCs w:val="32"/>
        </w:rPr>
      </w:pPr>
      <w:r>
        <w:rPr>
          <w:rFonts w:hint="eastAsia" w:ascii="仿宋" w:hAnsi="仿宋" w:eastAsia="仿宋" w:cs="仿宋"/>
          <w:sz w:val="32"/>
          <w:szCs w:val="32"/>
        </w:rPr>
        <w:t>该项目预算数是</w:t>
      </w:r>
      <w:r>
        <w:rPr>
          <w:rFonts w:hint="eastAsia" w:ascii="仿宋" w:hAnsi="仿宋" w:eastAsia="仿宋" w:cs="仿宋"/>
          <w:sz w:val="32"/>
          <w:szCs w:val="32"/>
          <w:lang w:val="en-US" w:eastAsia="zh-CN"/>
        </w:rPr>
        <w:t>13.62</w:t>
      </w:r>
      <w:r>
        <w:rPr>
          <w:rFonts w:hint="eastAsia" w:ascii="仿宋" w:hAnsi="仿宋" w:eastAsia="仿宋" w:cs="仿宋"/>
          <w:sz w:val="32"/>
          <w:szCs w:val="32"/>
        </w:rPr>
        <w:t>万元，支出</w:t>
      </w:r>
      <w:r>
        <w:rPr>
          <w:rFonts w:hint="eastAsia" w:ascii="仿宋" w:hAnsi="仿宋" w:eastAsia="仿宋" w:cs="仿宋"/>
          <w:sz w:val="32"/>
          <w:szCs w:val="32"/>
          <w:lang w:val="en-US" w:eastAsia="zh-CN"/>
        </w:rPr>
        <w:t>13.62</w:t>
      </w:r>
      <w:r>
        <w:rPr>
          <w:rFonts w:hint="eastAsia" w:ascii="仿宋" w:hAnsi="仿宋" w:eastAsia="仿宋" w:cs="仿宋"/>
          <w:sz w:val="32"/>
          <w:szCs w:val="32"/>
        </w:rPr>
        <w:t>万元，总体支出进度为100%。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rPr>
      </w:pPr>
      <w:r>
        <w:rPr>
          <w:rFonts w:hint="eastAsia" w:ascii="仿宋" w:hAnsi="仿宋" w:eastAsia="仿宋" w:cs="仿宋"/>
          <w:sz w:val="32"/>
          <w:szCs w:val="32"/>
        </w:rPr>
        <w:t>按时足额发放</w:t>
      </w:r>
      <w:r>
        <w:rPr>
          <w:rFonts w:hint="eastAsia" w:ascii="仿宋" w:hAnsi="仿宋" w:eastAsia="仿宋" w:cs="仿宋"/>
          <w:sz w:val="32"/>
          <w:szCs w:val="32"/>
          <w:lang w:val="en-US" w:eastAsia="zh-CN"/>
        </w:rPr>
        <w:t>3月份</w:t>
      </w:r>
      <w:r>
        <w:rPr>
          <w:rFonts w:hint="eastAsia" w:ascii="仿宋" w:hAnsi="仿宋" w:eastAsia="仿宋" w:cs="仿宋"/>
          <w:sz w:val="32"/>
          <w:szCs w:val="32"/>
        </w:rPr>
        <w:t>劳务派遣人员经费，保障工作顺利完成。绩效指标为 4 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19、文兴东路拓宽工程安置费</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该项目预算数是2671.894万元，支出2671.894万元，总体支出进度为100%。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项目经费及时拨付，依法保障当事人合法权益。绩效指标4个，评价等级为优。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20、关于调整下达2024年度市级社区党建惠民专项资金的通知</w:t>
      </w:r>
    </w:p>
    <w:p>
      <w:pPr>
        <w:keepNext w:val="0"/>
        <w:keepLines w:val="0"/>
        <w:pageBreakBefore w:val="0"/>
        <w:widowControl w:val="0"/>
        <w:kinsoku/>
        <w:wordWrap/>
        <w:overflowPunct/>
        <w:topLinePunct w:val="0"/>
        <w:bidi w:val="0"/>
        <w:snapToGrid/>
        <w:spacing w:line="560" w:lineRule="exact"/>
        <w:ind w:left="0" w:leftChars="0" w:right="0" w:rightChars="0" w:firstLine="640" w:firstLineChars="200"/>
        <w:outlineLvl w:val="9"/>
        <w:rPr>
          <w:rFonts w:hint="eastAsia" w:ascii="仿宋" w:hAnsi="仿宋" w:eastAsia="仿宋" w:cs="仿宋"/>
          <w:sz w:val="32"/>
          <w:szCs w:val="32"/>
        </w:rPr>
      </w:pPr>
      <w:r>
        <w:rPr>
          <w:rFonts w:hint="eastAsia" w:ascii="仿宋" w:hAnsi="仿宋" w:eastAsia="仿宋" w:cs="仿宋"/>
          <w:sz w:val="32"/>
          <w:szCs w:val="32"/>
        </w:rPr>
        <w:t>该项目预算数是</w:t>
      </w:r>
      <w:r>
        <w:rPr>
          <w:rFonts w:hint="eastAsia" w:ascii="仿宋" w:hAnsi="仿宋" w:eastAsia="仿宋" w:cs="仿宋"/>
          <w:sz w:val="32"/>
          <w:szCs w:val="32"/>
          <w:lang w:val="en-US" w:eastAsia="zh-CN"/>
        </w:rPr>
        <w:t>100</w:t>
      </w:r>
      <w:r>
        <w:rPr>
          <w:rFonts w:hint="eastAsia" w:ascii="仿宋" w:hAnsi="仿宋" w:eastAsia="仿宋" w:cs="仿宋"/>
          <w:sz w:val="32"/>
          <w:szCs w:val="32"/>
        </w:rPr>
        <w:t>万元，支出</w:t>
      </w:r>
      <w:r>
        <w:rPr>
          <w:rFonts w:hint="eastAsia" w:ascii="仿宋" w:hAnsi="仿宋" w:eastAsia="仿宋" w:cs="仿宋"/>
          <w:sz w:val="32"/>
          <w:szCs w:val="32"/>
          <w:lang w:val="en-US" w:eastAsia="zh-CN"/>
        </w:rPr>
        <w:t>75</w:t>
      </w:r>
      <w:r>
        <w:rPr>
          <w:rFonts w:hint="eastAsia" w:ascii="仿宋" w:hAnsi="仿宋" w:eastAsia="仿宋" w:cs="仿宋"/>
          <w:sz w:val="32"/>
          <w:szCs w:val="32"/>
        </w:rPr>
        <w:t>万元，总体支出进度为</w:t>
      </w:r>
      <w:r>
        <w:rPr>
          <w:rFonts w:hint="eastAsia" w:ascii="仿宋" w:hAnsi="仿宋" w:eastAsia="仿宋" w:cs="仿宋"/>
          <w:sz w:val="32"/>
          <w:szCs w:val="32"/>
          <w:lang w:val="en-US" w:eastAsia="zh-CN"/>
        </w:rPr>
        <w:t>75</w:t>
      </w:r>
      <w:r>
        <w:rPr>
          <w:rFonts w:hint="eastAsia" w:ascii="仿宋" w:hAnsi="仿宋" w:eastAsia="仿宋" w:cs="仿宋"/>
          <w:sz w:val="32"/>
          <w:szCs w:val="32"/>
        </w:rPr>
        <w:t>%。</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rPr>
      </w:pPr>
      <w:r>
        <w:rPr>
          <w:rFonts w:hint="eastAsia" w:ascii="仿宋" w:hAnsi="仿宋" w:eastAsia="仿宋" w:cs="仿宋"/>
          <w:sz w:val="32"/>
          <w:szCs w:val="32"/>
        </w:rPr>
        <w:t>对社区内既有设施改造，维护党群服务场所建设、维护等完成党建惠民项目。绩效指标为 4 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21、劳务派遣人员工资</w:t>
      </w:r>
    </w:p>
    <w:p>
      <w:pPr>
        <w:keepNext w:val="0"/>
        <w:keepLines w:val="0"/>
        <w:pageBreakBefore w:val="0"/>
        <w:widowControl w:val="0"/>
        <w:kinsoku/>
        <w:wordWrap/>
        <w:overflowPunct/>
        <w:topLinePunct w:val="0"/>
        <w:bidi w:val="0"/>
        <w:snapToGrid/>
        <w:spacing w:line="560" w:lineRule="exact"/>
        <w:ind w:left="0" w:leftChars="0" w:right="0" w:rightChars="0" w:firstLine="640" w:firstLineChars="200"/>
        <w:outlineLvl w:val="9"/>
        <w:rPr>
          <w:rFonts w:hint="eastAsia" w:ascii="仿宋" w:hAnsi="仿宋" w:eastAsia="仿宋" w:cs="仿宋"/>
          <w:sz w:val="32"/>
          <w:szCs w:val="32"/>
        </w:rPr>
      </w:pPr>
      <w:r>
        <w:rPr>
          <w:rFonts w:hint="eastAsia" w:ascii="仿宋" w:hAnsi="仿宋" w:eastAsia="仿宋" w:cs="仿宋"/>
          <w:sz w:val="32"/>
          <w:szCs w:val="32"/>
        </w:rPr>
        <w:t>该项目预算数是</w:t>
      </w:r>
      <w:r>
        <w:rPr>
          <w:rFonts w:hint="eastAsia" w:ascii="仿宋" w:hAnsi="仿宋" w:eastAsia="仿宋" w:cs="仿宋"/>
          <w:sz w:val="32"/>
          <w:szCs w:val="32"/>
          <w:lang w:val="en-US" w:eastAsia="zh-CN"/>
        </w:rPr>
        <w:t>81.72</w:t>
      </w:r>
      <w:r>
        <w:rPr>
          <w:rFonts w:hint="eastAsia" w:ascii="仿宋" w:hAnsi="仿宋" w:eastAsia="仿宋" w:cs="仿宋"/>
          <w:sz w:val="32"/>
          <w:szCs w:val="32"/>
        </w:rPr>
        <w:t>万元，支出</w:t>
      </w:r>
      <w:r>
        <w:rPr>
          <w:rFonts w:hint="eastAsia" w:ascii="仿宋" w:hAnsi="仿宋" w:eastAsia="仿宋" w:cs="仿宋"/>
          <w:sz w:val="32"/>
          <w:szCs w:val="32"/>
          <w:lang w:val="en-US" w:eastAsia="zh-CN"/>
        </w:rPr>
        <w:t>81.72</w:t>
      </w:r>
      <w:r>
        <w:rPr>
          <w:rFonts w:hint="eastAsia" w:ascii="仿宋" w:hAnsi="仿宋" w:eastAsia="仿宋" w:cs="仿宋"/>
          <w:sz w:val="32"/>
          <w:szCs w:val="32"/>
        </w:rPr>
        <w:t>万元，总体支出进度为100%。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rPr>
      </w:pPr>
      <w:r>
        <w:rPr>
          <w:rFonts w:hint="eastAsia" w:ascii="仿宋" w:hAnsi="仿宋" w:eastAsia="仿宋" w:cs="仿宋"/>
          <w:sz w:val="32"/>
          <w:szCs w:val="32"/>
        </w:rPr>
        <w:t>按时足额发放</w:t>
      </w:r>
      <w:r>
        <w:rPr>
          <w:rFonts w:hint="eastAsia" w:ascii="仿宋" w:hAnsi="仿宋" w:eastAsia="仿宋" w:cs="仿宋"/>
          <w:sz w:val="32"/>
          <w:szCs w:val="32"/>
          <w:lang w:val="en-US" w:eastAsia="zh-CN"/>
        </w:rPr>
        <w:t>4-9月份</w:t>
      </w:r>
      <w:r>
        <w:rPr>
          <w:rFonts w:hint="eastAsia" w:ascii="仿宋" w:hAnsi="仿宋" w:eastAsia="仿宋" w:cs="仿宋"/>
          <w:sz w:val="32"/>
          <w:szCs w:val="32"/>
        </w:rPr>
        <w:t>劳务派遣人员经费，保障工作顺利完成。绩效指标为 4 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22、业务经费</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该项目预算数是16.98万元，支出16.98万元，总体支出进度为100%。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按要求办理2020年至2022年残保金的申报缴费等工作。绩效指标为4个，评价等级为优。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23、岗头路东延工程拆迁相关费用</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该项目预算数是3.765万元，支出3.765万元，总体支出进度为100%。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按约定及时支付岗头路东延工程拆迁户过渡费，保护居民权益。绩效指标为4个，评价等级为优。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24、2024年美术馆、公共图书馆、文化馆（站）免费开放中央和省级补助资金</w:t>
      </w:r>
    </w:p>
    <w:p>
      <w:pPr>
        <w:keepNext w:val="0"/>
        <w:keepLines w:val="0"/>
        <w:pageBreakBefore w:val="0"/>
        <w:widowControl w:val="0"/>
        <w:kinsoku/>
        <w:wordWrap/>
        <w:overflowPunct/>
        <w:topLinePunct w:val="0"/>
        <w:bidi w:val="0"/>
        <w:snapToGrid/>
        <w:spacing w:line="560" w:lineRule="exact"/>
        <w:ind w:left="0" w:leftChars="0" w:right="0" w:rightChars="0" w:firstLine="640" w:firstLineChars="200"/>
        <w:outlineLvl w:val="9"/>
        <w:rPr>
          <w:rFonts w:hint="eastAsia" w:ascii="仿宋" w:hAnsi="仿宋" w:eastAsia="仿宋" w:cs="仿宋"/>
          <w:sz w:val="32"/>
          <w:szCs w:val="32"/>
        </w:rPr>
      </w:pPr>
      <w:r>
        <w:rPr>
          <w:rFonts w:hint="eastAsia" w:ascii="仿宋" w:hAnsi="仿宋" w:eastAsia="仿宋" w:cs="仿宋"/>
          <w:sz w:val="32"/>
          <w:szCs w:val="32"/>
        </w:rPr>
        <w:t>该项目预算数是3</w:t>
      </w:r>
      <w:r>
        <w:rPr>
          <w:rFonts w:hint="eastAsia" w:ascii="仿宋" w:hAnsi="仿宋" w:eastAsia="仿宋" w:cs="仿宋"/>
          <w:sz w:val="32"/>
          <w:szCs w:val="32"/>
          <w:lang w:val="en-US" w:eastAsia="zh-CN"/>
        </w:rPr>
        <w:t>.5</w:t>
      </w:r>
      <w:r>
        <w:rPr>
          <w:rFonts w:hint="eastAsia" w:ascii="仿宋" w:hAnsi="仿宋" w:eastAsia="仿宋" w:cs="仿宋"/>
          <w:sz w:val="32"/>
          <w:szCs w:val="32"/>
        </w:rPr>
        <w:t>万元，支出3</w:t>
      </w:r>
      <w:r>
        <w:rPr>
          <w:rFonts w:hint="eastAsia" w:ascii="仿宋" w:hAnsi="仿宋" w:eastAsia="仿宋" w:cs="仿宋"/>
          <w:sz w:val="32"/>
          <w:szCs w:val="32"/>
          <w:lang w:val="en-US" w:eastAsia="zh-CN"/>
        </w:rPr>
        <w:t>.5</w:t>
      </w:r>
      <w:r>
        <w:rPr>
          <w:rFonts w:hint="eastAsia" w:ascii="仿宋" w:hAnsi="仿宋" w:eastAsia="仿宋" w:cs="仿宋"/>
          <w:sz w:val="32"/>
          <w:szCs w:val="32"/>
        </w:rPr>
        <w:t>万元，总体支出进度为100%。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rPr>
      </w:pPr>
      <w:r>
        <w:rPr>
          <w:rFonts w:hint="eastAsia" w:ascii="仿宋" w:hAnsi="仿宋" w:eastAsia="仿宋" w:cs="仿宋"/>
          <w:sz w:val="32"/>
          <w:szCs w:val="32"/>
        </w:rPr>
        <w:t>资金及时拨付，有效保障文化站免费开放。绩效指标为 4 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25、关于下达2024年中央农村综合改革转移支付预算的通知</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该项目预算数是27万元，支出27万元，总体支出进度为100%。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rPr>
      </w:pPr>
      <w:r>
        <w:rPr>
          <w:rFonts w:hint="eastAsia" w:ascii="仿宋" w:hAnsi="仿宋" w:eastAsia="仿宋" w:cs="仿宋"/>
          <w:sz w:val="32"/>
          <w:szCs w:val="32"/>
          <w:lang w:val="en-US" w:eastAsia="zh-CN"/>
        </w:rPr>
        <w:t>资金及时拨付，保障公益事业项目顺利进行。</w:t>
      </w:r>
      <w:r>
        <w:rPr>
          <w:rFonts w:hint="eastAsia" w:ascii="仿宋" w:hAnsi="仿宋" w:eastAsia="仿宋" w:cs="仿宋"/>
          <w:sz w:val="32"/>
          <w:szCs w:val="32"/>
        </w:rPr>
        <w:t>绩效指标为 4 个，评价等级为优。</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26、关于提前下达2024年中央农村综合改革转移支付预算的通知</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firstLine="640"/>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该项目预算数是6万元，支出3万元，总体支出进度为50%。</w:t>
      </w:r>
    </w:p>
    <w:p>
      <w:pPr>
        <w:pStyle w:val="12"/>
        <w:keepNext w:val="0"/>
        <w:keepLines w:val="0"/>
        <w:pageBreakBefore w:val="0"/>
        <w:widowControl w:val="0"/>
        <w:numPr>
          <w:ilvl w:val="0"/>
          <w:numId w:val="0"/>
        </w:numPr>
        <w:kinsoku/>
        <w:wordWrap/>
        <w:overflowPunct/>
        <w:topLinePunct w:val="0"/>
        <w:bidi w:val="0"/>
        <w:snapToGrid/>
        <w:spacing w:line="560" w:lineRule="exact"/>
        <w:ind w:left="0" w:leftChars="0" w:right="0" w:rightChars="0"/>
        <w:outlineLvl w:val="9"/>
        <w:rPr>
          <w:rFonts w:hint="eastAsia" w:ascii="仿宋" w:hAnsi="仿宋" w:eastAsia="仿宋" w:cs="黑体"/>
          <w:kern w:val="2"/>
          <w:sz w:val="32"/>
          <w:szCs w:val="32"/>
          <w:lang w:val="en-US" w:eastAsia="zh-CN" w:bidi="ar-SA"/>
        </w:rPr>
      </w:pPr>
      <w:r>
        <w:rPr>
          <w:rFonts w:hint="eastAsia" w:ascii="仿宋" w:hAnsi="仿宋" w:eastAsia="仿宋" w:cs="仿宋"/>
          <w:sz w:val="32"/>
          <w:szCs w:val="32"/>
          <w:lang w:val="en-US" w:eastAsia="zh-CN"/>
        </w:rPr>
        <w:t xml:space="preserve">    资金及时拨付，保障公益事业项目顺利进行。</w:t>
      </w:r>
      <w:r>
        <w:rPr>
          <w:rFonts w:hint="eastAsia" w:ascii="仿宋" w:hAnsi="仿宋" w:eastAsia="仿宋" w:cs="仿宋"/>
          <w:sz w:val="32"/>
          <w:szCs w:val="32"/>
        </w:rPr>
        <w:t>绩效指标为 4 个，评价等级为优。</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我单位对202</w:t>
      </w:r>
      <w:r>
        <w:rPr>
          <w:rFonts w:hint="eastAsia" w:ascii="仿宋" w:hAnsi="仿宋" w:eastAsia="仿宋"/>
          <w:sz w:val="32"/>
          <w:szCs w:val="32"/>
          <w:lang w:val="en-US" w:eastAsia="zh-CN"/>
        </w:rPr>
        <w:t>4</w:t>
      </w:r>
      <w:r>
        <w:rPr>
          <w:rFonts w:hint="eastAsia" w:ascii="仿宋" w:hAnsi="仿宋" w:eastAsia="仿宋"/>
          <w:sz w:val="32"/>
          <w:szCs w:val="32"/>
        </w:rPr>
        <w:t>年本部门</w:t>
      </w:r>
      <w:r>
        <w:rPr>
          <w:rFonts w:hint="eastAsia" w:ascii="仿宋" w:hAnsi="仿宋" w:eastAsia="仿宋"/>
          <w:sz w:val="32"/>
          <w:szCs w:val="32"/>
          <w:lang w:val="en-US" w:eastAsia="zh-CN"/>
        </w:rPr>
        <w:t>26</w:t>
      </w:r>
      <w:r>
        <w:rPr>
          <w:rFonts w:hint="eastAsia" w:ascii="仿宋" w:hAnsi="仿宋" w:eastAsia="仿宋"/>
          <w:sz w:val="32"/>
          <w:szCs w:val="32"/>
        </w:rPr>
        <w:t>个专项项目开展了绩效自评工作，评价发现，已完成绩效目标的项目有</w:t>
      </w:r>
      <w:r>
        <w:rPr>
          <w:rFonts w:hint="eastAsia" w:ascii="仿宋" w:hAnsi="仿宋" w:eastAsia="仿宋"/>
          <w:sz w:val="32"/>
          <w:szCs w:val="32"/>
          <w:lang w:val="en-US" w:eastAsia="zh-CN"/>
        </w:rPr>
        <w:t>26</w:t>
      </w:r>
      <w:r>
        <w:rPr>
          <w:rFonts w:hint="eastAsia" w:ascii="仿宋" w:hAnsi="仿宋" w:eastAsia="仿宋"/>
          <w:sz w:val="32"/>
          <w:szCs w:val="32"/>
        </w:rPr>
        <w:t>个，占比100%。评价得分在90分（含90分）以上的</w:t>
      </w:r>
      <w:r>
        <w:rPr>
          <w:rFonts w:hint="eastAsia" w:ascii="仿宋" w:hAnsi="仿宋" w:eastAsia="仿宋"/>
          <w:sz w:val="32"/>
          <w:szCs w:val="32"/>
          <w:lang w:val="en-US" w:eastAsia="zh-CN"/>
        </w:rPr>
        <w:t>26</w:t>
      </w:r>
      <w:r>
        <w:rPr>
          <w:rFonts w:hint="eastAsia" w:ascii="仿宋" w:hAnsi="仿宋" w:eastAsia="仿宋"/>
          <w:sz w:val="32"/>
          <w:szCs w:val="32"/>
        </w:rPr>
        <w:t>个，占比100%。</w:t>
      </w:r>
    </w:p>
    <w:p>
      <w:pPr>
        <w:spacing w:line="360" w:lineRule="auto"/>
        <w:ind w:firstLine="640" w:firstLineChars="200"/>
        <w:rPr>
          <w:rFonts w:ascii="仿宋" w:hAnsi="仿宋" w:eastAsia="仿宋"/>
          <w:sz w:val="32"/>
          <w:szCs w:val="32"/>
        </w:rPr>
      </w:pPr>
      <w:r>
        <w:rPr>
          <w:rFonts w:hint="eastAsia" w:ascii="仿宋" w:hAnsi="仿宋" w:eastAsia="仿宋"/>
          <w:sz w:val="32"/>
          <w:szCs w:val="32"/>
        </w:rPr>
        <w:t>我单位认真贯彻落实党的二十大精神，立足职能，充分调动和发挥乡镇职能，紧紧围绕年初绩效目标，强化政治引领、服务发展大局，圆满完成年初既定目标，整体评价等级为优秀。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1.绩效目标及指标设定不够合理、准确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rPr>
        <w:t>评价发现，部分项目绩效目标填报水平有待提升，绩效目标及指标设定不够合理、准确，绩效考核目标设定上出现问题、或者是设计不合理势必要影响到绩效考核的全局，绩效目标表填写需要进一步完整、规范。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jc w:val="both"/>
        <w:textAlignment w:val="auto"/>
        <w:outlineLvl w:val="9"/>
        <w:rPr>
          <w:rFonts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2.绩效材料收集不够充分，影响对项目效益实现情况的评价</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sz w:val="32"/>
          <w:szCs w:val="32"/>
        </w:rPr>
      </w:pPr>
      <w:r>
        <w:rPr>
          <w:rFonts w:hint="eastAsia" w:ascii="仿宋" w:hAnsi="仿宋" w:eastAsia="仿宋"/>
          <w:sz w:val="32"/>
          <w:szCs w:val="32"/>
        </w:rPr>
        <w:t>绩效资料是体现项目效益情况的重要依据，本次纳入自评范围的项目多数存在缺少绩效资料的情况。项目服务对象满意度调查等关键绩效材料收集不够充分，一定程度上影响了项目效益的实现情况的评价。</w:t>
      </w:r>
    </w:p>
    <w:p>
      <w:pPr>
        <w:numPr>
          <w:ilvl w:val="0"/>
          <w:numId w:val="5"/>
        </w:num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rPr>
        <w:t>1.我乡在202</w:t>
      </w:r>
      <w:r>
        <w:rPr>
          <w:rFonts w:hint="eastAsia" w:ascii="仿宋" w:hAnsi="仿宋" w:eastAsia="仿宋"/>
          <w:sz w:val="32"/>
          <w:szCs w:val="32"/>
          <w:lang w:val="en-US" w:eastAsia="zh-CN"/>
        </w:rPr>
        <w:t>4</w:t>
      </w:r>
      <w:r>
        <w:rPr>
          <w:rFonts w:hint="eastAsia" w:ascii="仿宋" w:hAnsi="仿宋" w:eastAsia="仿宋"/>
          <w:sz w:val="32"/>
          <w:szCs w:val="32"/>
        </w:rPr>
        <w:t>年预算项目申报过程中，项目前期设定的绩效目标比较笼统，绩效指标及评价标准不够细化、量化，财政资金使用效果难以定量考核。接下来的工作中，我乡将按照上级要求，结合项目实施内容、预算、项目执行进度，针对年度绩效目标科学、合理设置对应的产出指标和效果指标，确保绩效指标合理、细化、可考量；在项目实施过程中，加强绩效监控，尽量做到对各项指标进行控制，注意项目绩效资料收集；项目结束后，强化绩效总结，发现问题，制定整改措施，并加强应用。</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rPr>
        <w:t>2.针对项目年度开展内容，对项目预算编制进行合理论证，科学编制项目预算，尽量降低项目经费年中调整比例及年终收回比例，提高预算编制的准确性；此外，合理使用项目预算，严格按照预算开展工作，提高预算使用率，提高项目执行进度、预算执行进度，提升预算执行与预算编制的一致性。</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jc w:val="both"/>
        <w:textAlignment w:val="auto"/>
        <w:outlineLvl w:val="9"/>
        <w:rPr>
          <w:rFonts w:hint="eastAsia" w:ascii="仿宋" w:hAnsi="仿宋" w:eastAsia="仿宋"/>
          <w:sz w:val="32"/>
          <w:szCs w:val="32"/>
        </w:rPr>
      </w:pPr>
      <w:r>
        <w:rPr>
          <w:rFonts w:hint="eastAsia" w:ascii="仿宋" w:hAnsi="仿宋" w:eastAsia="仿宋"/>
          <w:sz w:val="32"/>
          <w:szCs w:val="32"/>
        </w:rPr>
        <w:t>3.对项目申报材料规范化，项目建设进度质量指标都进行细化、量化，并逐步完善绩效考核制度。</w:t>
      </w:r>
    </w:p>
    <w:p>
      <w:pPr>
        <w:adjustRightInd w:val="0"/>
        <w:snapToGrid w:val="0"/>
        <w:spacing w:line="360" w:lineRule="auto"/>
        <w:ind w:firstLine="640"/>
        <w:rPr>
          <w:b/>
          <w:bCs/>
          <w:sz w:val="32"/>
          <w:szCs w:val="32"/>
        </w:rPr>
      </w:pPr>
      <w:r>
        <w:rPr>
          <w:rFonts w:hint="eastAsia" w:ascii="仿宋" w:hAnsi="仿宋" w:eastAsia="仿宋"/>
          <w:sz w:val="32"/>
          <w:szCs w:val="32"/>
        </w:rPr>
        <w:br w:type="page"/>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六、评价工作组人员名单及签字</w:t>
      </w:r>
    </w:p>
    <w:tbl>
      <w:tblPr>
        <w:tblStyle w:val="10"/>
        <w:tblW w:w="906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66"/>
        <w:gridCol w:w="2519"/>
        <w:gridCol w:w="3696"/>
        <w:gridCol w:w="148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c>
          <w:tcPr>
            <w:tcW w:w="1366"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姓名</w:t>
            </w:r>
          </w:p>
        </w:tc>
        <w:tc>
          <w:tcPr>
            <w:tcW w:w="2519"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工作单位</w:t>
            </w:r>
          </w:p>
        </w:tc>
        <w:tc>
          <w:tcPr>
            <w:tcW w:w="3696"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职务</w:t>
            </w:r>
          </w:p>
        </w:tc>
        <w:tc>
          <w:tcPr>
            <w:tcW w:w="1480"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签字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28" w:hRule="atLeast"/>
        </w:trPr>
        <w:tc>
          <w:tcPr>
            <w:tcW w:w="1366"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纪璇</w:t>
            </w:r>
          </w:p>
        </w:tc>
        <w:tc>
          <w:tcPr>
            <w:tcW w:w="2519"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横涧乡人民政府</w:t>
            </w:r>
          </w:p>
        </w:tc>
        <w:tc>
          <w:tcPr>
            <w:tcW w:w="3696"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政府副乡长</w:t>
            </w:r>
          </w:p>
        </w:tc>
        <w:tc>
          <w:tcPr>
            <w:tcW w:w="1480" w:type="dxa"/>
            <w:vAlign w:val="center"/>
          </w:tcPr>
          <w:p>
            <w:pPr>
              <w:spacing w:line="560" w:lineRule="exact"/>
              <w:jc w:val="center"/>
              <w:rPr>
                <w:rFonts w:ascii="仿宋" w:hAnsi="仿宋" w:eastAsia="仿宋"/>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7" w:hRule="atLeast"/>
        </w:trPr>
        <w:tc>
          <w:tcPr>
            <w:tcW w:w="1366"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王雪利</w:t>
            </w:r>
          </w:p>
        </w:tc>
        <w:tc>
          <w:tcPr>
            <w:tcW w:w="2519"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横涧乡人民政府</w:t>
            </w:r>
          </w:p>
        </w:tc>
        <w:tc>
          <w:tcPr>
            <w:tcW w:w="3696"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党政办</w:t>
            </w:r>
            <w:r>
              <w:rPr>
                <w:rFonts w:hint="eastAsia" w:ascii="仿宋" w:hAnsi="仿宋" w:eastAsia="仿宋"/>
                <w:sz w:val="32"/>
                <w:szCs w:val="32"/>
                <w:lang w:eastAsia="zh-CN"/>
              </w:rPr>
              <w:t>负责人</w:t>
            </w:r>
          </w:p>
        </w:tc>
        <w:tc>
          <w:tcPr>
            <w:tcW w:w="1480" w:type="dxa"/>
            <w:vAlign w:val="center"/>
          </w:tcPr>
          <w:p>
            <w:pPr>
              <w:spacing w:line="560" w:lineRule="exact"/>
              <w:jc w:val="center"/>
              <w:rPr>
                <w:rFonts w:ascii="仿宋" w:hAnsi="仿宋" w:eastAsia="仿宋"/>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16" w:hRule="atLeast"/>
        </w:trPr>
        <w:tc>
          <w:tcPr>
            <w:tcW w:w="1366"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冯慧荣</w:t>
            </w:r>
          </w:p>
        </w:tc>
        <w:tc>
          <w:tcPr>
            <w:tcW w:w="2519"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横涧乡人民政府</w:t>
            </w:r>
          </w:p>
        </w:tc>
        <w:tc>
          <w:tcPr>
            <w:tcW w:w="3696"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纪委办职员</w:t>
            </w:r>
          </w:p>
        </w:tc>
        <w:tc>
          <w:tcPr>
            <w:tcW w:w="1480" w:type="dxa"/>
            <w:vAlign w:val="center"/>
          </w:tcPr>
          <w:p>
            <w:pPr>
              <w:spacing w:line="560" w:lineRule="exact"/>
              <w:jc w:val="center"/>
              <w:rPr>
                <w:rFonts w:ascii="仿宋" w:hAnsi="仿宋" w:eastAsia="仿宋"/>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9" w:hRule="atLeast"/>
        </w:trPr>
        <w:tc>
          <w:tcPr>
            <w:tcW w:w="1366"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王海丽</w:t>
            </w:r>
          </w:p>
        </w:tc>
        <w:tc>
          <w:tcPr>
            <w:tcW w:w="2519"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横涧乡人民政府</w:t>
            </w:r>
          </w:p>
        </w:tc>
        <w:tc>
          <w:tcPr>
            <w:tcW w:w="3696" w:type="dxa"/>
            <w:vAlign w:val="center"/>
          </w:tcPr>
          <w:p>
            <w:pPr>
              <w:spacing w:line="560" w:lineRule="exact"/>
              <w:jc w:val="center"/>
              <w:rPr>
                <w:rFonts w:ascii="仿宋" w:hAnsi="仿宋" w:eastAsia="仿宋"/>
                <w:sz w:val="32"/>
                <w:szCs w:val="32"/>
              </w:rPr>
            </w:pPr>
            <w:r>
              <w:rPr>
                <w:rFonts w:hint="eastAsia" w:ascii="仿宋" w:hAnsi="仿宋" w:eastAsia="仿宋"/>
                <w:sz w:val="30"/>
                <w:szCs w:val="30"/>
              </w:rPr>
              <w:t>行政综合服务中心</w:t>
            </w:r>
            <w:r>
              <w:rPr>
                <w:rFonts w:hint="eastAsia" w:ascii="仿宋" w:hAnsi="仿宋" w:eastAsia="仿宋"/>
                <w:sz w:val="30"/>
                <w:szCs w:val="30"/>
                <w:lang w:eastAsia="zh-CN"/>
              </w:rPr>
              <w:t>负责人</w:t>
            </w:r>
          </w:p>
        </w:tc>
        <w:tc>
          <w:tcPr>
            <w:tcW w:w="1480" w:type="dxa"/>
            <w:vAlign w:val="center"/>
          </w:tcPr>
          <w:p>
            <w:pPr>
              <w:spacing w:line="560" w:lineRule="exact"/>
              <w:jc w:val="center"/>
              <w:rPr>
                <w:rFonts w:ascii="仿宋" w:hAnsi="仿宋" w:eastAsia="仿宋"/>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9" w:hRule="atLeast"/>
        </w:trPr>
        <w:tc>
          <w:tcPr>
            <w:tcW w:w="1366"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栾国霞</w:t>
            </w:r>
          </w:p>
        </w:tc>
        <w:tc>
          <w:tcPr>
            <w:tcW w:w="2519"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横涧乡人民政府</w:t>
            </w:r>
          </w:p>
        </w:tc>
        <w:tc>
          <w:tcPr>
            <w:tcW w:w="3696"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三级主任科员</w:t>
            </w:r>
          </w:p>
        </w:tc>
        <w:tc>
          <w:tcPr>
            <w:tcW w:w="1480" w:type="dxa"/>
            <w:vAlign w:val="center"/>
          </w:tcPr>
          <w:p>
            <w:pPr>
              <w:spacing w:line="560" w:lineRule="exact"/>
              <w:jc w:val="center"/>
              <w:rPr>
                <w:rFonts w:ascii="仿宋" w:hAnsi="仿宋" w:eastAsia="仿宋"/>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3" w:hRule="atLeast"/>
        </w:trPr>
        <w:tc>
          <w:tcPr>
            <w:tcW w:w="1366"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白佳男</w:t>
            </w:r>
          </w:p>
        </w:tc>
        <w:tc>
          <w:tcPr>
            <w:tcW w:w="2519"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横涧乡人民政府</w:t>
            </w:r>
          </w:p>
        </w:tc>
        <w:tc>
          <w:tcPr>
            <w:tcW w:w="3696"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综合行政执法队队长</w:t>
            </w:r>
          </w:p>
        </w:tc>
        <w:tc>
          <w:tcPr>
            <w:tcW w:w="1480" w:type="dxa"/>
            <w:vAlign w:val="center"/>
          </w:tcPr>
          <w:p>
            <w:pPr>
              <w:spacing w:line="560" w:lineRule="exact"/>
              <w:jc w:val="center"/>
              <w:rPr>
                <w:rFonts w:ascii="仿宋" w:hAnsi="仿宋" w:eastAsia="仿宋"/>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1366"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祗玉玺</w:t>
            </w:r>
          </w:p>
        </w:tc>
        <w:tc>
          <w:tcPr>
            <w:tcW w:w="2519" w:type="dxa"/>
            <w:vAlign w:val="center"/>
          </w:tcPr>
          <w:p>
            <w:pPr>
              <w:spacing w:line="560" w:lineRule="exact"/>
              <w:jc w:val="center"/>
              <w:rPr>
                <w:rFonts w:ascii="仿宋" w:hAnsi="仿宋" w:eastAsia="仿宋"/>
                <w:sz w:val="32"/>
                <w:szCs w:val="32"/>
              </w:rPr>
            </w:pPr>
            <w:r>
              <w:rPr>
                <w:rFonts w:hint="eastAsia" w:ascii="仿宋" w:hAnsi="仿宋" w:eastAsia="仿宋"/>
                <w:sz w:val="32"/>
                <w:szCs w:val="32"/>
              </w:rPr>
              <w:t>横涧乡人民政府</w:t>
            </w:r>
          </w:p>
        </w:tc>
        <w:tc>
          <w:tcPr>
            <w:tcW w:w="3696" w:type="dxa"/>
            <w:vAlign w:val="center"/>
          </w:tcPr>
          <w:p>
            <w:pPr>
              <w:spacing w:line="560" w:lineRule="exact"/>
              <w:jc w:val="center"/>
              <w:rPr>
                <w:rFonts w:ascii="仿宋" w:hAnsi="仿宋" w:eastAsia="仿宋"/>
                <w:sz w:val="32"/>
                <w:szCs w:val="32"/>
              </w:rPr>
            </w:pPr>
            <w:r>
              <w:rPr>
                <w:rFonts w:hint="eastAsia" w:ascii="仿宋" w:hAnsi="仿宋" w:eastAsia="仿宋"/>
                <w:sz w:val="32"/>
                <w:szCs w:val="32"/>
                <w:lang w:eastAsia="zh-CN"/>
              </w:rPr>
              <w:t>经济发展办</w:t>
            </w:r>
            <w:r>
              <w:rPr>
                <w:rFonts w:hint="eastAsia" w:ascii="仿宋" w:hAnsi="仿宋" w:eastAsia="仿宋"/>
                <w:sz w:val="32"/>
                <w:szCs w:val="32"/>
              </w:rPr>
              <w:t>公室主任</w:t>
            </w:r>
          </w:p>
        </w:tc>
        <w:tc>
          <w:tcPr>
            <w:tcW w:w="1480" w:type="dxa"/>
            <w:vAlign w:val="center"/>
          </w:tcPr>
          <w:p>
            <w:pPr>
              <w:spacing w:line="560" w:lineRule="exact"/>
              <w:jc w:val="center"/>
              <w:rPr>
                <w:rFonts w:ascii="仿宋" w:hAnsi="仿宋" w:eastAsia="仿宋"/>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1366"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杨计生</w:t>
            </w:r>
          </w:p>
        </w:tc>
        <w:tc>
          <w:tcPr>
            <w:tcW w:w="2519"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横涧乡人民政府</w:t>
            </w:r>
          </w:p>
        </w:tc>
        <w:tc>
          <w:tcPr>
            <w:tcW w:w="3696"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安全发展办公室主</w:t>
            </w:r>
            <w:bookmarkStart w:id="0" w:name="_GoBack"/>
            <w:bookmarkEnd w:id="0"/>
            <w:r>
              <w:rPr>
                <w:rFonts w:hint="eastAsia" w:ascii="仿宋" w:hAnsi="仿宋" w:eastAsia="仿宋"/>
                <w:sz w:val="32"/>
                <w:szCs w:val="32"/>
                <w:lang w:eastAsia="zh-CN"/>
              </w:rPr>
              <w:t>任</w:t>
            </w:r>
          </w:p>
        </w:tc>
        <w:tc>
          <w:tcPr>
            <w:tcW w:w="1480" w:type="dxa"/>
            <w:vAlign w:val="center"/>
          </w:tcPr>
          <w:p>
            <w:pPr>
              <w:spacing w:line="560" w:lineRule="exact"/>
              <w:jc w:val="center"/>
              <w:rPr>
                <w:rFonts w:ascii="仿宋" w:hAnsi="仿宋" w:eastAsia="仿宋"/>
                <w:sz w:val="32"/>
                <w:szCs w:val="3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1366"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张海林</w:t>
            </w:r>
          </w:p>
        </w:tc>
        <w:tc>
          <w:tcPr>
            <w:tcW w:w="2519"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横涧乡人民政府</w:t>
            </w:r>
          </w:p>
        </w:tc>
        <w:tc>
          <w:tcPr>
            <w:tcW w:w="3696" w:type="dxa"/>
            <w:vAlign w:val="center"/>
          </w:tcPr>
          <w:p>
            <w:pPr>
              <w:spacing w:line="560" w:lineRule="exact"/>
              <w:jc w:val="center"/>
              <w:rPr>
                <w:rFonts w:hint="eastAsia" w:ascii="仿宋" w:hAnsi="仿宋" w:eastAsia="仿宋"/>
                <w:sz w:val="32"/>
                <w:szCs w:val="32"/>
                <w:lang w:eastAsia="zh-CN"/>
              </w:rPr>
            </w:pPr>
            <w:r>
              <w:rPr>
                <w:rFonts w:hint="eastAsia" w:ascii="仿宋" w:hAnsi="仿宋" w:eastAsia="仿宋"/>
                <w:sz w:val="32"/>
                <w:szCs w:val="32"/>
                <w:lang w:eastAsia="zh-CN"/>
              </w:rPr>
              <w:t>农业综合服务中心主任</w:t>
            </w:r>
          </w:p>
        </w:tc>
        <w:tc>
          <w:tcPr>
            <w:tcW w:w="1480" w:type="dxa"/>
            <w:vAlign w:val="center"/>
          </w:tcPr>
          <w:p>
            <w:pPr>
              <w:spacing w:line="560" w:lineRule="exact"/>
              <w:jc w:val="center"/>
              <w:rPr>
                <w:rFonts w:ascii="仿宋" w:hAnsi="仿宋" w:eastAsia="仿宋"/>
                <w:sz w:val="32"/>
                <w:szCs w:val="32"/>
              </w:rPr>
            </w:pPr>
          </w:p>
        </w:tc>
      </w:tr>
    </w:tbl>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decorative"/>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仿宋_GBK">
    <w:altName w:val="宋体"/>
    <w:panose1 w:val="00000000000000000000"/>
    <w:charset w:val="86"/>
    <w:family w:val="swiss"/>
    <w:pitch w:val="default"/>
    <w:sig w:usb0="00000000" w:usb1="00000000" w:usb2="00000000" w:usb3="00000000" w:csb0="00040001" w:csb1="00000000"/>
  </w:font>
  <w:font w:name="Arial">
    <w:panose1 w:val="020B0604020202020204"/>
    <w:charset w:val="00"/>
    <w:family w:val="swiss"/>
    <w:pitch w:val="default"/>
    <w:sig w:usb0="E0002AFF" w:usb1="C0007843" w:usb2="00000009" w:usb3="00000000" w:csb0="400001FF" w:csb1="FFFF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黑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swiss"/>
    <w:pitch w:val="default"/>
    <w:sig w:usb0="00000001" w:usb1="080E0000" w:usb2="00000000" w:usb3="00000000" w:csb0="00040000" w:csb1="00000000"/>
  </w:font>
  <w:font w:name="仿宋_GB2312">
    <w:panose1 w:val="02010609030101010101"/>
    <w:charset w:val="86"/>
    <w:family w:val="roman"/>
    <w:pitch w:val="default"/>
    <w:sig w:usb0="00000001" w:usb1="080E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 w:name="仿宋_GB2312">
    <w:panose1 w:val="02010609030101010101"/>
    <w:charset w:val="86"/>
    <w:family w:val="decorative"/>
    <w:pitch w:val="default"/>
    <w:sig w:usb0="00000001" w:usb1="080E0000" w:usb2="00000000" w:usb3="00000000" w:csb0="00040000" w:csb1="00000000"/>
  </w:font>
  <w:font w:name="仿宋">
    <w:panose1 w:val="02010609060101010101"/>
    <w:charset w:val="86"/>
    <w:family w:val="swiss"/>
    <w:pitch w:val="default"/>
    <w:sig w:usb0="800002BF" w:usb1="38CF7CFA" w:usb2="00000016" w:usb3="00000000" w:csb0="00040001" w:csb1="00000000"/>
  </w:font>
  <w:font w:name="仿宋">
    <w:panose1 w:val="02010609060101010101"/>
    <w:charset w:val="86"/>
    <w:family w:val="decorative"/>
    <w:pitch w:val="default"/>
    <w:sig w:usb0="800002BF" w:usb1="38CF7CFA" w:usb2="00000016" w:usb3="00000000" w:csb0="00040001" w:csb1="00000000"/>
  </w:font>
  <w:font w:name="楷体">
    <w:panose1 w:val="02010609060101010101"/>
    <w:charset w:val="86"/>
    <w:family w:val="swiss"/>
    <w:pitch w:val="default"/>
    <w:sig w:usb0="800002BF" w:usb1="38CF7CFA" w:usb2="00000016" w:usb3="00000000" w:csb0="00040001" w:csb1="00000000"/>
  </w:font>
  <w:font w:name="方正仿宋_GBK">
    <w:altName w:val="宋体"/>
    <w:panose1 w:val="00000000000000000000"/>
    <w:charset w:val="86"/>
    <w:family w:val="decorative"/>
    <w:pitch w:val="default"/>
    <w:sig w:usb0="00000000" w:usb1="00000000" w:usb2="00000000" w:usb3="00000000" w:csb0="00040001" w:csb1="00000000"/>
  </w:font>
  <w:font w:name="Arial">
    <w:panose1 w:val="020B0604020202020204"/>
    <w:charset w:val="00"/>
    <w:family w:val="decorative"/>
    <w:pitch w:val="default"/>
    <w:sig w:usb0="E0002AFF" w:usb1="C0007843" w:usb2="00000009" w:usb3="00000000" w:csb0="400001FF" w:csb1="FFFF0000"/>
  </w:font>
  <w:font w:name="黑体">
    <w:panose1 w:val="02010609060101010101"/>
    <w:charset w:val="86"/>
    <w:family w:val="swiss"/>
    <w:pitch w:val="default"/>
    <w:sig w:usb0="800002BF" w:usb1="38CF7CFA" w:usb2="00000016" w:usb3="00000000" w:csb0="00040001" w:csb1="00000000"/>
  </w:font>
  <w:font w:name="楷体_GB2312">
    <w:panose1 w:val="02010609030101010101"/>
    <w:charset w:val="86"/>
    <w:family w:val="swiss"/>
    <w:pitch w:val="default"/>
    <w:sig w:usb0="00000001" w:usb1="080E0000" w:usb2="00000000" w:usb3="00000000" w:csb0="00040000" w:csb1="00000000"/>
  </w:font>
  <w:font w:name="仿宋">
    <w:panose1 w:val="02010609060101010101"/>
    <w:charset w:val="86"/>
    <w:family w:val="roman"/>
    <w:pitch w:val="default"/>
    <w:sig w:usb0="800002BF" w:usb1="38CF7CFA" w:usb2="00000016" w:usb3="00000000" w:csb0="00040001" w:csb1="00000000"/>
  </w:font>
  <w:font w:name="方正仿宋_GBK">
    <w:altName w:val="宋体"/>
    <w:panose1 w:val="00000000000000000000"/>
    <w:charset w:val="86"/>
    <w:family w:val="modern"/>
    <w:pitch w:val="default"/>
    <w:sig w:usb0="00000000" w:usb1="00000000" w:usb2="00000000" w:usb3="00000000" w:csb0="00000000" w:csb1="00000000"/>
  </w:font>
  <w:font w:name="楷体">
    <w:panose1 w:val="02010609060101010101"/>
    <w:charset w:val="86"/>
    <w:family w:val="decorative"/>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Arial">
    <w:panose1 w:val="020B0604020202020204"/>
    <w:charset w:val="00"/>
    <w:family w:val="roman"/>
    <w:pitch w:val="default"/>
    <w:sig w:usb0="E0002AFF" w:usb1="C0007843" w:usb2="00000009" w:usb3="00000000" w:csb0="400001FF" w:csb1="FFFF0000"/>
  </w:font>
  <w:font w:name="黑体">
    <w:panose1 w:val="02010609060101010101"/>
    <w:charset w:val="86"/>
    <w:family w:val="decorative"/>
    <w:pitch w:val="default"/>
    <w:sig w:usb0="800002BF" w:usb1="38CF7CFA" w:usb2="00000016" w:usb3="00000000" w:csb0="00040001" w:csb1="00000000"/>
  </w:font>
  <w:font w:name="楷体_GB2312">
    <w:panose1 w:val="02010609030101010101"/>
    <w:charset w:val="86"/>
    <w:family w:val="decorative"/>
    <w:pitch w:val="default"/>
    <w:sig w:usb0="00000001" w:usb1="080E0000" w:usb2="00000000" w:usb3="00000000" w:csb0="00040000" w:csb1="00000000"/>
  </w:font>
  <w:font w:name="楷体">
    <w:panose1 w:val="02010609060101010101"/>
    <w:charset w:val="86"/>
    <w:family w:val="roman"/>
    <w:pitch w:val="default"/>
    <w:sig w:usb0="800002BF" w:usb1="38CF7CFA" w:usb2="00000016" w:usb3="00000000" w:csb0="00040001" w:csb1="00000000"/>
  </w:font>
  <w:font w:name="Arial">
    <w:panose1 w:val="020B0604020202020204"/>
    <w:charset w:val="00"/>
    <w:family w:val="modern"/>
    <w:pitch w:val="default"/>
    <w:sig w:usb0="E0002AFF" w:usb1="C0007843" w:usb2="00000009" w:usb3="00000000" w:csb0="400001FF" w:csb1="FFFF0000"/>
  </w:font>
  <w:font w:name="黑体">
    <w:panose1 w:val="02010609060101010101"/>
    <w:charset w:val="86"/>
    <w:family w:val="roman"/>
    <w:pitch w:val="default"/>
    <w:sig w:usb0="800002BF" w:usb1="38CF7CFA" w:usb2="00000016" w:usb3="00000000" w:csb0="00040001" w:csb1="00000000"/>
  </w:font>
  <w:font w:name="楷体_GB2312">
    <w:panose1 w:val="02010609030101010101"/>
    <w:charset w:val="86"/>
    <w:family w:val="roman"/>
    <w:pitch w:val="default"/>
    <w:sig w:usb0="00000001" w:usb1="080E0000" w:usb2="00000000" w:usb3="00000000" w:csb0="00040000" w:csb1="00000000"/>
  </w:font>
  <w:font w:name="方正小标宋_GBK">
    <w:altName w:val="宋体"/>
    <w:panose1 w:val="00000000000000000000"/>
    <w:charset w:val="86"/>
    <w:family w:val="modern"/>
    <w:pitch w:val="default"/>
    <w:sig w:usb0="00000000" w:usb1="00000000" w:usb2="00000000" w:usb3="00000000" w:csb0="00000000" w:csb1="00000000"/>
  </w:font>
  <w:font w:name="方正书宋_GBK">
    <w:altName w:val="宋体"/>
    <w:panose1 w:val="00000000000000000000"/>
    <w:charset w:val="86"/>
    <w:family w:val="modern"/>
    <w:pitch w:val="default"/>
    <w:sig w:usb0="00000000" w:usb1="00000000" w:usb2="00000000" w:usb3="00000000" w:csb0="00000000" w:csb1="00000000"/>
  </w:font>
  <w:font w:name="方正楷体_GBK">
    <w:altName w:val="宋体"/>
    <w:panose1 w:val="00000000000000000000"/>
    <w:charset w:val="86"/>
    <w:family w:val="modern"/>
    <w:pitch w:val="default"/>
    <w:sig w:usb0="00000000" w:usb1="00000000" w:usb2="00000000" w:usb3="00000000" w:csb0="00000000" w:csb1="00000000"/>
  </w:font>
  <w:font w:name="Calibri Light">
    <w:panose1 w:val="020F0302020204030204"/>
    <w:charset w:val="00"/>
    <w:family w:val="decorative"/>
    <w:pitch w:val="default"/>
    <w:sig w:usb0="A00002EF" w:usb1="4000207B" w:usb2="00000000" w:usb3="00000000" w:csb0="2000019F" w:csb1="00000000"/>
  </w:font>
  <w:font w:name="方正小标宋_GBK">
    <w:altName w:val="宋体"/>
    <w:panose1 w:val="00000000000000000000"/>
    <w:charset w:val="86"/>
    <w:family w:val="swiss"/>
    <w:pitch w:val="default"/>
    <w:sig w:usb0="00000000" w:usb1="00000000" w:usb2="00000000" w:usb3="00000000" w:csb0="00000000" w:csb1="00000000"/>
  </w:font>
  <w:font w:name="方正书宋_GBK">
    <w:altName w:val="宋体"/>
    <w:panose1 w:val="00000000000000000000"/>
    <w:charset w:val="86"/>
    <w:family w:val="swiss"/>
    <w:pitch w:val="default"/>
    <w:sig w:usb0="00000000" w:usb1="00000000" w:usb2="00000000" w:usb3="00000000" w:csb0="00000000" w:csb1="00000000"/>
  </w:font>
  <w:font w:name="方正楷体_GBK">
    <w:altName w:val="宋体"/>
    <w:panose1 w:val="00000000000000000000"/>
    <w:charset w:val="86"/>
    <w:family w:val="swiss"/>
    <w:pitch w:val="default"/>
    <w:sig w:usb0="00000000" w:usb1="00000000" w:usb2="00000000" w:usb3="00000000" w:csb0="00000000" w:csb1="00000000"/>
  </w:font>
  <w:font w:name="Calibri Light">
    <w:panose1 w:val="020F0302020204030204"/>
    <w:charset w:val="00"/>
    <w:family w:val="roman"/>
    <w:pitch w:val="default"/>
    <w:sig w:usb0="A00002EF" w:usb1="4000207B" w:usb2="00000000" w:usb3="00000000" w:csb0="2000019F" w:csb1="00000000"/>
  </w:font>
  <w:font w:name="方正小标宋_GBK">
    <w:altName w:val="宋体"/>
    <w:panose1 w:val="00000000000000000000"/>
    <w:charset w:val="86"/>
    <w:family w:val="decorative"/>
    <w:pitch w:val="default"/>
    <w:sig w:usb0="00000000" w:usb1="00000000" w:usb2="00000000" w:usb3="00000000" w:csb0="00000000" w:csb1="00000000"/>
  </w:font>
  <w:font w:name="方正书宋_GBK">
    <w:altName w:val="宋体"/>
    <w:panose1 w:val="00000000000000000000"/>
    <w:charset w:val="86"/>
    <w:family w:val="decorative"/>
    <w:pitch w:val="default"/>
    <w:sig w:usb0="00000000" w:usb1="00000000" w:usb2="00000000" w:usb3="00000000" w:csb0="00000000" w:csb1="00000000"/>
  </w:font>
  <w:font w:name="方正楷体_GBK">
    <w:altName w:val="宋体"/>
    <w:panose1 w:val="00000000000000000000"/>
    <w:charset w:val="86"/>
    <w:family w:val="decorative"/>
    <w:pitch w:val="default"/>
    <w:sig w:usb0="00000000" w:usb1="00000000" w:usb2="00000000" w:usb3="00000000" w:csb0="00000000" w:csb1="00000000"/>
  </w:font>
  <w:font w:name="Calibri Light">
    <w:panose1 w:val="020F0302020204030204"/>
    <w:charset w:val="00"/>
    <w:family w:val="modern"/>
    <w:pitch w:val="default"/>
    <w:sig w:usb0="A00002EF" w:usb1="4000207B" w:usb2="00000000"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Calibri Light">
    <w:panose1 w:val="020F0302020204030204"/>
    <w:charset w:val="00"/>
    <w:family w:val="swiss"/>
    <w:pitch w:val="default"/>
    <w:sig w:usb0="A00002EF" w:usb1="4000207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90805" distR="90805" simplePos="0" relativeHeight="102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102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DxMSTN4AEAAKoDAAAOAAAAZHJzL2Uyb0RvYy54bWytU8tu2zAQvBfo&#10;PxC815KVJo0Ny0FQI0WBok2R9APWFCUR4AtL2pL79V1SshM0t6IXcikuZ2d2R5u70Wh2lBiUszVf&#10;LkrOpBWuUbar+a/nhw+3nIUItgHtrKz5SQZ+t33/bjP4taxc73QjkRGIDevB17yP0a+LIoheGggL&#10;56Wly9ahgUhH7IoGYSB0o4uqLG+KwWHj0QkZAn3dTZd8m/HbVor4o22DjEzXnLjFvGJe92ktthtY&#10;dwi+V2KmAf/AwoCyVPQCtYMI7IDqDZRRAl1wbVwIZwrXtkrIrIHULMu/1Dz14GXWQs0J/tKm8P9g&#10;xffjIzLV0Ow4s2BoRD8P0LB7RDewq/LTVWrR4MOaMp/8I86nQGHSO7Zo0k5K2Jjberq0VY6RCfpY&#10;lauPq4ozQVfLm+q2ym0vXh57DPGLdIaloOZIU8vNhOO3EKkgpZ5TUi3rHpTWeXLasqHmq+vqmuCB&#10;/NNqiBQaT4qC7TLMq/wEs4PQsyOQIYLTqpksYFSUSRuV0pa2pHjSmKI47sdZ+N41J+oYWZ6Y9g5/&#10;czaQfWpuyd+c6a+WppOcdg7wHOzPAVhBD2tORKfwc5wcefCoup5wl5l38PeHSFpzCxKNqfbMjgyR&#10;6c7mTY57fc5ZL7/Y9g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1qUiZ0QAAAAMBAAAPAAAAAAAA&#10;AAEAIAAAACIAAABkcnMvZG93bnJldi54bWxQSwECFAAUAAAACACHTuJA8TEkzeABAACqAwAADgAA&#10;AAAAAAABACAAAAAgAQAAZHJzL2Uyb0RvYy54bWxQSwUGAAAAAAYABgBZAQAAcgUAAAAA&#10;">
              <v:fill on="f" focussize="0,0"/>
              <v:stroke on="f" joinstyle="miter"/>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583892635">
    <w:nsid w:val="5E68489B"/>
    <w:multiLevelType w:val="singleLevel"/>
    <w:tmpl w:val="5E68489B"/>
    <w:lvl w:ilvl="0" w:tentative="1">
      <w:start w:val="1"/>
      <w:numFmt w:val="chineseCounting"/>
      <w:suff w:val="nothing"/>
      <w:lvlText w:val="（%1）"/>
      <w:lvlJc w:val="left"/>
      <w:pPr>
        <w:ind w:left="0" w:firstLine="0"/>
      </w:pPr>
      <w:rPr>
        <w:rFonts w:ascii="楷体" w:hAnsi="楷体" w:eastAsia="楷体"/>
      </w:rPr>
    </w:lvl>
  </w:abstractNum>
  <w:abstractNum w:abstractNumId="85371521">
    <w:nsid w:val="0516AA81"/>
    <w:multiLevelType w:val="singleLevel"/>
    <w:tmpl w:val="0516AA81"/>
    <w:lvl w:ilvl="0" w:tentative="1">
      <w:start w:val="2"/>
      <w:numFmt w:val="chineseCounting"/>
      <w:suff w:val="nothing"/>
      <w:lvlText w:val="（%1）"/>
      <w:lvlJc w:val="left"/>
      <w:pPr>
        <w:ind w:left="642" w:firstLine="0"/>
      </w:pPr>
      <w:rPr>
        <w:rFonts w:hint="eastAsia"/>
      </w:rPr>
    </w:lvl>
  </w:abstractNum>
  <w:abstractNum w:abstractNumId="1752716404">
    <w:nsid w:val="68785474"/>
    <w:multiLevelType w:val="singleLevel"/>
    <w:tmpl w:val="68785474"/>
    <w:lvl w:ilvl="0" w:tentative="1">
      <w:start w:val="2"/>
      <w:numFmt w:val="chineseCounting"/>
      <w:suff w:val="nothing"/>
      <w:lvlText w:val="（%1）"/>
      <w:lvlJc w:val="left"/>
    </w:lvl>
  </w:abstractNum>
  <w:abstractNum w:abstractNumId="1752714832">
    <w:nsid w:val="68784E50"/>
    <w:multiLevelType w:val="singleLevel"/>
    <w:tmpl w:val="68784E50"/>
    <w:lvl w:ilvl="0" w:tentative="1">
      <w:start w:val="3"/>
      <w:numFmt w:val="decimal"/>
      <w:suff w:val="nothing"/>
      <w:lvlText w:val="%1、"/>
      <w:lvlJc w:val="left"/>
    </w:lvl>
  </w:abstractNum>
  <w:abstractNum w:abstractNumId="1752738975">
    <w:nsid w:val="6878AC9F"/>
    <w:multiLevelType w:val="singleLevel"/>
    <w:tmpl w:val="6878AC9F"/>
    <w:lvl w:ilvl="0" w:tentative="1">
      <w:start w:val="2"/>
      <w:numFmt w:val="chineseCounting"/>
      <w:suff w:val="nothing"/>
      <w:lvlText w:val="（%1）"/>
      <w:lvlJc w:val="left"/>
    </w:lvl>
  </w:abstractNum>
  <w:num w:numId="1">
    <w:abstractNumId w:val="1752714832"/>
  </w:num>
  <w:num w:numId="2">
    <w:abstractNumId w:val="1752716404"/>
  </w:num>
  <w:num w:numId="3">
    <w:abstractNumId w:val="85371521"/>
  </w:num>
  <w:num w:numId="4">
    <w:abstractNumId w:val="1583892635"/>
  </w:num>
  <w:num w:numId="5">
    <w:abstractNumId w:val="175273897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w:rsids>
    <w:rsidRoot w:val="00000000"/>
    <w:rsid w:val="05F028C3"/>
    <w:rsid w:val="0EDB3444"/>
    <w:rsid w:val="18AD719F"/>
    <w:rsid w:val="1ABF7A18"/>
    <w:rsid w:val="3BDA2185"/>
    <w:rsid w:val="415E69B6"/>
    <w:rsid w:val="436116E3"/>
    <w:rsid w:val="454A411F"/>
    <w:rsid w:val="46AB1CE4"/>
    <w:rsid w:val="48595B43"/>
    <w:rsid w:val="4D994EFC"/>
    <w:rsid w:val="5AD74A43"/>
    <w:rsid w:val="5C980A80"/>
    <w:rsid w:val="64ED6D0F"/>
    <w:rsid w:val="653F7269"/>
    <w:rsid w:val="6F720BC2"/>
    <w:rsid w:val="710541FA"/>
    <w:rsid w:val="754B00BA"/>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Arial"/>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宋体" w:cs="黑体"/>
      <w:kern w:val="2"/>
      <w:sz w:val="21"/>
      <w:szCs w:val="22"/>
      <w:lang w:val="en-US" w:eastAsia="zh-CN" w:bidi="ar-SA"/>
    </w:rPr>
  </w:style>
  <w:style w:type="paragraph" w:styleId="4">
    <w:name w:val="heading 1"/>
    <w:basedOn w:val="1"/>
    <w:next w:val="1"/>
    <w:uiPriority w:val="0"/>
    <w:pPr>
      <w:keepNext/>
      <w:keepLines/>
      <w:widowControl w:val="0"/>
      <w:spacing w:before="340" w:after="330" w:line="578" w:lineRule="auto"/>
      <w:outlineLvl w:val="0"/>
    </w:pPr>
    <w:rPr>
      <w:b/>
      <w:bCs/>
      <w:kern w:val="44"/>
      <w:sz w:val="44"/>
      <w:szCs w:val="44"/>
    </w:rPr>
  </w:style>
  <w:style w:type="paragraph" w:styleId="5">
    <w:name w:val="heading 2"/>
    <w:basedOn w:val="1"/>
    <w:next w:val="1"/>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6">
    <w:name w:val="heading 3"/>
    <w:basedOn w:val="1"/>
    <w:next w:val="1"/>
    <w:uiPriority w:val="0"/>
    <w:pPr>
      <w:keepNext/>
      <w:keepLines/>
      <w:widowControl w:val="0"/>
      <w:spacing w:before="260" w:after="260" w:line="415" w:lineRule="auto"/>
      <w:outlineLvl w:val="2"/>
    </w:pPr>
    <w:rPr>
      <w:b/>
      <w:bCs/>
      <w:sz w:val="32"/>
      <w:szCs w:val="32"/>
    </w:rPr>
  </w:style>
  <w:style w:type="character" w:default="1" w:styleId="9">
    <w:name w:val="Default Paragraph Font"/>
    <w:uiPriority w:val="0"/>
  </w:style>
  <w:style w:type="table" w:default="1" w:styleId="10">
    <w:name w:val="Normal Table"/>
    <w:semiHidden/>
    <w:uiPriority w:val="0"/>
    <w:tblPr>
      <w:tblLayout w:type="fixed"/>
      <w:tblCellMar>
        <w:top w:w="0" w:type="dxa"/>
        <w:left w:w="108" w:type="dxa"/>
        <w:bottom w:w="0" w:type="dxa"/>
        <w:right w:w="108" w:type="dxa"/>
      </w:tblCellMar>
    </w:tblPr>
  </w:style>
  <w:style w:type="paragraph" w:styleId="2">
    <w:name w:val="Body Text First Indent 2"/>
    <w:basedOn w:val="3"/>
    <w:uiPriority w:val="0"/>
    <w:pPr>
      <w:spacing w:after="0" w:line="360" w:lineRule="auto"/>
      <w:ind w:left="0" w:firstLine="200" w:firstLineChars="200"/>
      <w:textAlignment w:val="baseline"/>
    </w:pPr>
    <w:rPr>
      <w:sz w:val="24"/>
    </w:rPr>
  </w:style>
  <w:style w:type="paragraph" w:styleId="3">
    <w:name w:val="Body Text Indent"/>
    <w:basedOn w:val="1"/>
    <w:uiPriority w:val="0"/>
    <w:pPr>
      <w:ind w:firstLine="229" w:firstLineChars="229"/>
    </w:pPr>
  </w:style>
  <w:style w:type="paragraph" w:styleId="7">
    <w:name w:val="footer"/>
    <w:basedOn w:val="1"/>
    <w:uiPriority w:val="0"/>
    <w:pPr>
      <w:tabs>
        <w:tab w:val="center" w:pos="4153"/>
        <w:tab w:val="right" w:pos="8306"/>
      </w:tabs>
      <w:snapToGrid w:val="0"/>
      <w:jc w:val="left"/>
    </w:pPr>
    <w:rPr>
      <w:sz w:val="18"/>
    </w:rPr>
  </w:style>
  <w:style w:type="paragraph" w:styleId="8">
    <w:name w:val="header"/>
    <w:basedOn w:val="1"/>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paragraph" w:customStyle="1" w:styleId="11">
    <w:name w:val="插入文本样式-插入总体目标文件"/>
    <w:basedOn w:val="1"/>
    <w:qFormat/>
    <w:uiPriority w:val="0"/>
    <w:pPr>
      <w:spacing w:line="500" w:lineRule="exact"/>
      <w:ind w:firstLine="560"/>
    </w:pPr>
    <w:rPr>
      <w:rFonts w:eastAsia="方正仿宋_GBK"/>
      <w:sz w:val="28"/>
    </w:rPr>
  </w:style>
  <w:style w:type="paragraph" w:customStyle="1" w:styleId="12">
    <w:name w:val="插入文本样式-插入职责分类绩效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Normal.eit</Template>
  <Pages>2</Pages>
  <Words>0</Words>
  <Characters>502</Characters>
  <Lines>0</Lines>
  <Paragraphs>29</Paragraphs>
  <ScaleCrop>false</ScaleCrop>
  <LinksUpToDate>false</LinksUpToDate>
  <CharactersWithSpaces>670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2025-07-21T01:24:59Z</cp:lastPrinted>
  <dcterms:modified xsi:type="dcterms:W3CDTF">2025-07-21T01:26:36Z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y fmtid="{D5CDD505-2E9C-101B-9397-08002B2CF9AE}" pid="3" name="ICV">
    <vt:lpwstr>96934721B1514D3FBAA28020338CE855_12</vt:lpwstr>
  </property>
</Properties>
</file>