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adjustRightInd w:val="0"/>
        <w:snapToGrid w:val="0"/>
        <w:spacing w:line="560" w:lineRule="exact"/>
        <w:rPr>
          <w:rFonts w:ascii="黑体" w:eastAsia="黑体" w:cs="黑体" w:hAnsi="黑体" w:hint="eastAsia"/>
          <w:sz w:val="32"/>
          <w:szCs w:val="32"/>
        </w:rPr>
      </w:pPr>
      <w:r>
        <w:rPr>
          <w:rFonts w:ascii="黑体" w:eastAsia="黑体" w:cs="黑体" w:hAnsi="黑体" w:hint="eastAsia"/>
          <w:sz w:val="32"/>
          <w:szCs w:val="32"/>
        </w:rPr>
        <w:t>附件4</w:t>
      </w:r>
    </w:p>
    <w:p>
      <w:pPr>
        <w:spacing w:line="560" w:lineRule="exact"/>
        <w:jc w:val="center"/>
        <w:rPr>
          <w:rFonts w:ascii="宋体" w:cs="宋体" w:hAnsi="宋体"/>
          <w:b/>
          <w:bCs/>
          <w:sz w:val="44"/>
          <w:szCs w:val="44"/>
        </w:rPr>
      </w:pPr>
    </w:p>
    <w:p>
      <w:pPr>
        <w:spacing w:line="560" w:lineRule="exact"/>
        <w:jc w:val="center"/>
        <w:rPr>
          <w:rFonts w:ascii="宋体" w:cs="宋体" w:hAnsi="宋体" w:hint="eastAsia"/>
          <w:b/>
          <w:bCs/>
          <w:sz w:val="44"/>
          <w:szCs w:val="44"/>
        </w:rPr>
      </w:pPr>
      <w:r>
        <w:rPr>
          <w:rFonts w:ascii="宋体" w:cs="宋体" w:hAnsi="宋体"/>
          <w:b/>
          <w:bCs/>
          <w:sz w:val="44"/>
          <w:szCs w:val="44"/>
        </w:rPr>
        <w:t>区委巡察办</w:t>
      </w:r>
    </w:p>
    <w:p>
      <w:pPr>
        <w:spacing w:line="560" w:lineRule="exact"/>
        <w:jc w:val="center"/>
        <w:rPr>
          <w:rFonts w:ascii="宋体" w:cs="宋体" w:hAnsi="宋体"/>
          <w:b/>
          <w:bCs/>
          <w:sz w:val="44"/>
          <w:szCs w:val="44"/>
        </w:rPr>
      </w:pPr>
      <w:r>
        <w:rPr>
          <w:rFonts w:ascii="宋体" w:cs="宋体" w:hAnsi="宋体" w:hint="eastAsia"/>
          <w:b/>
          <w:bCs/>
          <w:sz w:val="44"/>
          <w:szCs w:val="44"/>
        </w:rPr>
        <w:t>202</w:t>
      </w:r>
      <w:r>
        <w:rPr>
          <w:rFonts w:ascii="宋体" w:cs="宋体" w:hAnsi="宋体"/>
          <w:b/>
          <w:bCs/>
          <w:sz w:val="44"/>
          <w:szCs w:val="44"/>
        </w:rPr>
        <w:t>4</w:t>
      </w:r>
      <w:r>
        <w:rPr>
          <w:rFonts w:ascii="宋体" w:cs="宋体" w:hAnsi="宋体" w:hint="eastAsia"/>
          <w:b/>
          <w:bCs/>
          <w:sz w:val="44"/>
          <w:szCs w:val="44"/>
        </w:rPr>
        <w:t>年度整体支出绩效自评报告</w:t>
      </w:r>
    </w:p>
    <w:p>
      <w:pPr>
        <w:spacing w:line="560" w:lineRule="exact"/>
        <w:rPr>
          <w:rFonts w:ascii="华文楷体" w:eastAsia="华文楷体"/>
          <w:sz w:val="32"/>
          <w:szCs w:val="32"/>
        </w:rPr>
      </w:pPr>
    </w:p>
    <w:p>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贯彻落实</w:t>
      </w:r>
      <w:r>
        <w:rPr>
          <w:rFonts w:ascii="仿宋" w:eastAsia="仿宋" w:hAnsi="仿宋"/>
          <w:sz w:val="32"/>
          <w:szCs w:val="32"/>
        </w:rPr>
        <w:t>区委区政府</w:t>
      </w:r>
      <w:r>
        <w:rPr>
          <w:rFonts w:ascii="仿宋" w:eastAsia="仿宋" w:hAnsi="仿宋" w:hint="eastAsia"/>
          <w:sz w:val="32"/>
          <w:szCs w:val="32"/>
        </w:rPr>
        <w:t>《关于全面落实预算绩效管理的实施意见》（</w:t>
      </w:r>
      <w:r>
        <w:rPr>
          <w:rFonts w:ascii="仿宋" w:eastAsia="仿宋" w:hAnsi="仿宋"/>
          <w:sz w:val="32"/>
          <w:szCs w:val="32"/>
        </w:rPr>
        <w:t>矿</w:t>
      </w:r>
      <w:r>
        <w:rPr>
          <w:rFonts w:ascii="仿宋" w:eastAsia="仿宋" w:hAnsi="仿宋" w:hint="eastAsia"/>
          <w:sz w:val="32"/>
          <w:szCs w:val="32"/>
        </w:rPr>
        <w:t>发﹝2019﹞</w:t>
      </w:r>
      <w:r>
        <w:rPr>
          <w:rFonts w:ascii="仿宋" w:eastAsia="仿宋" w:hAnsi="仿宋"/>
          <w:sz w:val="32"/>
          <w:szCs w:val="32"/>
        </w:rPr>
        <w:t>7</w:t>
      </w:r>
      <w:r>
        <w:rPr>
          <w:rFonts w:ascii="仿宋" w:eastAsia="仿宋" w:hAnsi="仿宋" w:hint="eastAsia"/>
          <w:sz w:val="32"/>
          <w:szCs w:val="32"/>
        </w:rPr>
        <w:t>号）文件精神，遵循“科学性、规范性、客观性和公正性”的原则，对</w:t>
      </w:r>
      <w:r>
        <w:rPr>
          <w:rFonts w:ascii="仿宋" w:eastAsia="仿宋" w:hAnsi="仿宋"/>
          <w:sz w:val="32"/>
          <w:szCs w:val="32"/>
        </w:rPr>
        <w:t>巡察办</w:t>
      </w:r>
      <w:r>
        <w:rPr>
          <w:rFonts w:ascii="仿宋" w:eastAsia="仿宋" w:hAnsi="仿宋" w:hint="eastAsia"/>
          <w:sz w:val="32"/>
          <w:szCs w:val="32"/>
        </w:rPr>
        <w:t>202</w:t>
      </w:r>
      <w:r>
        <w:rPr>
          <w:rFonts w:ascii="仿宋" w:eastAsia="仿宋" w:hAnsi="仿宋"/>
          <w:sz w:val="32"/>
          <w:szCs w:val="32"/>
        </w:rPr>
        <w:t>4</w:t>
      </w:r>
      <w:r>
        <w:rPr>
          <w:rFonts w:ascii="仿宋" w:eastAsia="仿宋" w:hAnsi="仿宋" w:hint="eastAsia"/>
          <w:sz w:val="32"/>
          <w:szCs w:val="32"/>
        </w:rPr>
        <w:t>年整体支出情况实施了财政支出绩效自评价，形成本评价报告。</w:t>
      </w:r>
    </w:p>
    <w:p>
      <w:pPr>
        <w:adjustRightInd w:val="0"/>
        <w:snapToGrid w:val="0"/>
        <w:spacing w:line="560" w:lineRule="exact"/>
        <w:rPr>
          <w:rFonts w:ascii="黑体" w:eastAsia="黑体" w:hAnsi="黑体"/>
          <w:b/>
          <w:bCs/>
          <w:sz w:val="32"/>
          <w:szCs w:val="36"/>
        </w:rPr>
      </w:pPr>
      <w:r>
        <w:rPr>
          <w:rFonts w:ascii="黑体" w:eastAsia="黑体" w:hAnsi="黑体" w:hint="eastAsia"/>
          <w:sz w:val="32"/>
          <w:szCs w:val="32"/>
        </w:rPr>
        <w:t xml:space="preserve">     一、部门</w:t>
      </w:r>
      <w:r>
        <w:rPr>
          <w:rFonts w:ascii="黑体" w:eastAsia="黑体" w:hAnsi="黑体" w:hint="eastAsia"/>
          <w:sz w:val="32"/>
          <w:szCs w:val="36"/>
        </w:rPr>
        <w:t>基本情况</w:t>
      </w:r>
    </w:p>
    <w:p>
      <w:pPr>
        <w:adjustRightInd w:val="0"/>
        <w:snapToGrid w:val="0"/>
        <w:spacing w:line="560" w:lineRule="exact"/>
        <w:ind w:firstLineChars="200" w:firstLine="640"/>
        <w:rPr>
          <w:rFonts w:ascii="楷体" w:eastAsia="楷体" w:cs="楷体_GB2312" w:hAnsi="楷体"/>
          <w:bCs/>
          <w:sz w:val="32"/>
          <w:szCs w:val="32"/>
        </w:rPr>
      </w:pPr>
      <w:r>
        <w:rPr>
          <w:rFonts w:ascii="楷体" w:eastAsia="楷体" w:cs="楷体_GB2312" w:hAnsi="楷体" w:hint="eastAsia"/>
          <w:bCs/>
          <w:sz w:val="32"/>
          <w:szCs w:val="32"/>
        </w:rPr>
        <w:t>（一）部门概况</w:t>
      </w:r>
    </w:p>
    <w:p>
      <w:pPr>
        <w:adjustRightInd w:val="0"/>
        <w:snapToGrid w:val="0"/>
        <w:spacing w:line="560" w:lineRule="exact"/>
        <w:ind w:firstLineChars="200" w:firstLine="640"/>
        <w:rPr>
          <w:rFonts w:ascii="仿宋" w:eastAsia="仿宋" w:hAnsi="仿宋"/>
          <w:sz w:val="32"/>
          <w:szCs w:val="32"/>
        </w:rPr>
      </w:pPr>
      <w:r>
        <w:rPr>
          <w:rFonts w:ascii="仿宋" w:eastAsia="仿宋" w:hAnsi="仿宋"/>
          <w:sz w:val="32"/>
          <w:szCs w:val="32"/>
        </w:rPr>
        <w:t>1.</w:t>
      </w:r>
      <w:r>
        <w:rPr>
          <w:rFonts w:ascii="仿宋" w:eastAsia="仿宋" w:hAnsi="仿宋" w:hint="eastAsia"/>
          <w:sz w:val="32"/>
          <w:szCs w:val="32"/>
        </w:rPr>
        <w:t>部门职能</w:t>
      </w:r>
      <w:r>
        <w:rPr>
          <w:rFonts w:ascii="仿宋" w:eastAsia="仿宋" w:hAnsi="仿宋"/>
          <w:sz w:val="32"/>
          <w:szCs w:val="32"/>
        </w:rPr>
        <w:t>：</w:t>
      </w:r>
    </w:p>
    <w:p>
      <w:pPr>
        <w:keepNext w:val="0"/>
        <w:keepLines w:val="0"/>
        <w:pageBreakBefore w:val="0"/>
        <w:widowControl w:val="0"/>
        <w:kinsoku/>
        <w:wordWrap/>
        <w:overflowPunct/>
        <w:topLinePunct w:val="0"/>
        <w:autoSpaceDE/>
        <w:autoSpaceDN/>
        <w:bidi w:val="0"/>
        <w:adjustRightInd/>
        <w:snapToGrid w:val="0"/>
        <w:spacing w:line="560" w:lineRule="exact"/>
        <w:ind w:left="0" w:firstLineChars="200" w:firstLine="640"/>
        <w:textAlignment w:val="auto"/>
        <w:outlineLvl w:val="9"/>
        <w:rPr>
          <w:rFonts w:ascii="仿宋" w:eastAsia="仿宋" w:hAnsi="仿宋" w:hint="eastAsia"/>
          <w:sz w:val="32"/>
          <w:szCs w:val="32"/>
          <w:lang w:val="en-US" w:eastAsia="zh-CN"/>
        </w:rPr>
      </w:pPr>
      <w:r>
        <w:rPr>
          <w:rFonts w:ascii="仿宋" w:eastAsia="仿宋" w:hAnsi="仿宋" w:hint="eastAsia"/>
          <w:sz w:val="32"/>
          <w:szCs w:val="32"/>
          <w:lang w:val="en-US" w:eastAsia="zh-CN"/>
        </w:rPr>
        <w:t>根据《区委巡察工作领导小组办公室职能配置、内设机构和人员编制规定》，区委巡察工作领导小组办公室的主要职责是：</w:t>
      </w:r>
    </w:p>
    <w:p>
      <w:pPr>
        <w:keepNext w:val="0"/>
        <w:keepLines w:val="0"/>
        <w:pageBreakBefore w:val="0"/>
        <w:widowControl w:val="0"/>
        <w:kinsoku/>
        <w:wordWrap/>
        <w:overflowPunct/>
        <w:topLinePunct w:val="0"/>
        <w:autoSpaceDE/>
        <w:autoSpaceDN/>
        <w:bidi w:val="0"/>
        <w:adjustRightInd/>
        <w:snapToGrid w:val="0"/>
        <w:spacing w:line="560" w:lineRule="exact"/>
        <w:ind w:left="0" w:firstLineChars="200" w:firstLine="640"/>
        <w:textAlignment w:val="auto"/>
        <w:outlineLvl w:val="9"/>
        <w:rPr>
          <w:rFonts w:ascii="仿宋" w:eastAsia="仿宋" w:hAnsi="仿宋" w:hint="eastAsia"/>
          <w:sz w:val="32"/>
          <w:szCs w:val="32"/>
          <w:lang w:val="en-US" w:eastAsia="zh-CN"/>
        </w:rPr>
      </w:pPr>
      <w:r>
        <w:rPr>
          <w:rFonts w:ascii="仿宋" w:eastAsia="仿宋" w:hAnsi="仿宋" w:hint="eastAsia"/>
          <w:sz w:val="32"/>
          <w:szCs w:val="32"/>
          <w:lang w:val="en-US" w:eastAsia="zh-CN"/>
        </w:rPr>
        <w:t>（</w:t>
      </w:r>
      <w:r>
        <w:rPr>
          <w:rFonts w:ascii="仿宋" w:eastAsia="仿宋" w:hAnsi="仿宋"/>
          <w:sz w:val="32"/>
          <w:szCs w:val="32"/>
          <w:lang w:val="en-US" w:eastAsia="zh-CN"/>
        </w:rPr>
        <w:t>1</w:t>
      </w:r>
      <w:r>
        <w:rPr>
          <w:rFonts w:ascii="仿宋" w:eastAsia="仿宋" w:hAnsi="仿宋" w:hint="eastAsia"/>
          <w:sz w:val="32"/>
          <w:szCs w:val="32"/>
          <w:lang w:val="en-US" w:eastAsia="zh-CN"/>
        </w:rPr>
        <w:t>）贯彻落实党中央、省委、市委、区委和区委巡察工作领导小组的决策部署,向市委巡察工作领导小组办公室和区委巡察工作领导小组报告工作情况。</w:t>
      </w:r>
    </w:p>
    <w:p>
      <w:pPr>
        <w:keepNext w:val="0"/>
        <w:keepLines w:val="0"/>
        <w:pageBreakBefore w:val="0"/>
        <w:widowControl w:val="0"/>
        <w:kinsoku/>
        <w:wordWrap/>
        <w:overflowPunct/>
        <w:topLinePunct w:val="0"/>
        <w:autoSpaceDE/>
        <w:autoSpaceDN/>
        <w:bidi w:val="0"/>
        <w:adjustRightInd/>
        <w:snapToGrid w:val="0"/>
        <w:spacing w:line="560" w:lineRule="exact"/>
        <w:ind w:left="0" w:firstLineChars="200" w:firstLine="640"/>
        <w:textAlignment w:val="auto"/>
        <w:outlineLvl w:val="9"/>
        <w:rPr>
          <w:rFonts w:ascii="仿宋" w:eastAsia="仿宋" w:hAnsi="仿宋" w:hint="eastAsia"/>
          <w:sz w:val="32"/>
          <w:szCs w:val="32"/>
          <w:lang w:val="en-US" w:eastAsia="zh-CN"/>
        </w:rPr>
      </w:pPr>
      <w:r>
        <w:rPr>
          <w:rFonts w:ascii="仿宋" w:eastAsia="仿宋" w:hAnsi="仿宋" w:hint="eastAsia"/>
          <w:sz w:val="32"/>
          <w:szCs w:val="32"/>
          <w:lang w:val="en-US" w:eastAsia="zh-CN"/>
        </w:rPr>
        <w:t>（</w:t>
      </w:r>
      <w:r>
        <w:rPr>
          <w:rFonts w:ascii="仿宋" w:eastAsia="仿宋" w:hAnsi="仿宋"/>
          <w:sz w:val="32"/>
          <w:szCs w:val="32"/>
          <w:lang w:val="en-US" w:eastAsia="zh-CN"/>
        </w:rPr>
        <w:t>2</w:t>
      </w:r>
      <w:r>
        <w:rPr>
          <w:rFonts w:ascii="仿宋" w:eastAsia="仿宋" w:hAnsi="仿宋" w:hint="eastAsia"/>
          <w:sz w:val="32"/>
          <w:szCs w:val="32"/>
          <w:lang w:val="en-US" w:eastAsia="zh-CN"/>
        </w:rPr>
        <w:t>）统筹、协调、指导开展巡察工作。</w:t>
      </w:r>
    </w:p>
    <w:p>
      <w:pPr>
        <w:keepNext w:val="0"/>
        <w:keepLines w:val="0"/>
        <w:pageBreakBefore w:val="0"/>
        <w:widowControl w:val="0"/>
        <w:kinsoku/>
        <w:wordWrap/>
        <w:overflowPunct/>
        <w:topLinePunct w:val="0"/>
        <w:autoSpaceDE/>
        <w:autoSpaceDN/>
        <w:bidi w:val="0"/>
        <w:adjustRightInd/>
        <w:snapToGrid w:val="0"/>
        <w:spacing w:line="560" w:lineRule="exact"/>
        <w:ind w:left="0" w:firstLineChars="200" w:firstLine="640"/>
        <w:textAlignment w:val="auto"/>
        <w:outlineLvl w:val="9"/>
        <w:rPr>
          <w:rFonts w:ascii="仿宋" w:eastAsia="仿宋" w:hAnsi="仿宋" w:hint="eastAsia"/>
          <w:sz w:val="32"/>
          <w:szCs w:val="32"/>
          <w:lang w:val="en-US" w:eastAsia="zh-CN"/>
        </w:rPr>
      </w:pPr>
      <w:r>
        <w:rPr>
          <w:rFonts w:ascii="仿宋" w:eastAsia="仿宋" w:hAnsi="仿宋" w:hint="eastAsia"/>
          <w:sz w:val="32"/>
          <w:szCs w:val="32"/>
          <w:lang w:val="en-US" w:eastAsia="zh-CN"/>
        </w:rPr>
        <w:t>（</w:t>
      </w:r>
      <w:r>
        <w:rPr>
          <w:rFonts w:ascii="仿宋" w:eastAsia="仿宋" w:hAnsi="仿宋"/>
          <w:sz w:val="32"/>
          <w:szCs w:val="32"/>
          <w:lang w:val="en-US" w:eastAsia="zh-CN"/>
        </w:rPr>
        <w:t>3</w:t>
      </w:r>
      <w:r>
        <w:rPr>
          <w:rFonts w:ascii="仿宋" w:eastAsia="仿宋" w:hAnsi="仿宋" w:hint="eastAsia"/>
          <w:sz w:val="32"/>
          <w:szCs w:val="32"/>
          <w:lang w:val="en-US" w:eastAsia="zh-CN"/>
        </w:rPr>
        <w:t>）承担政策研究、制度建设等工作。</w:t>
      </w:r>
    </w:p>
    <w:p>
      <w:pPr>
        <w:keepNext w:val="0"/>
        <w:keepLines w:val="0"/>
        <w:pageBreakBefore w:val="0"/>
        <w:widowControl w:val="0"/>
        <w:kinsoku/>
        <w:wordWrap/>
        <w:overflowPunct/>
        <w:topLinePunct w:val="0"/>
        <w:autoSpaceDE/>
        <w:autoSpaceDN/>
        <w:bidi w:val="0"/>
        <w:adjustRightInd/>
        <w:snapToGrid w:val="0"/>
        <w:spacing w:line="560" w:lineRule="exact"/>
        <w:ind w:left="0" w:firstLineChars="200" w:firstLine="640"/>
        <w:textAlignment w:val="auto"/>
        <w:outlineLvl w:val="9"/>
        <w:rPr>
          <w:rFonts w:ascii="仿宋" w:eastAsia="仿宋" w:hAnsi="仿宋" w:hint="eastAsia"/>
          <w:sz w:val="32"/>
          <w:szCs w:val="32"/>
          <w:lang w:val="en-US" w:eastAsia="zh-CN"/>
        </w:rPr>
      </w:pPr>
      <w:r>
        <w:rPr>
          <w:rFonts w:ascii="仿宋" w:eastAsia="仿宋" w:hAnsi="仿宋" w:hint="eastAsia"/>
          <w:sz w:val="32"/>
          <w:szCs w:val="32"/>
          <w:lang w:val="en-US" w:eastAsia="zh-CN"/>
        </w:rPr>
        <w:t>（</w:t>
      </w:r>
      <w:r>
        <w:rPr>
          <w:rFonts w:ascii="仿宋" w:eastAsia="仿宋" w:hAnsi="仿宋"/>
          <w:sz w:val="32"/>
          <w:szCs w:val="32"/>
          <w:lang w:val="en-US" w:eastAsia="zh-CN"/>
        </w:rPr>
        <w:t>4</w:t>
      </w:r>
      <w:r>
        <w:rPr>
          <w:rFonts w:ascii="仿宋" w:eastAsia="仿宋" w:hAnsi="仿宋" w:hint="eastAsia"/>
          <w:sz w:val="32"/>
          <w:szCs w:val="32"/>
          <w:lang w:val="en-US" w:eastAsia="zh-CN"/>
        </w:rPr>
        <w:t>）对区委、区委巡察工作领导小组决定的事项进行督办,会同区委巡察组对巡察整改工作进行专项检查。</w:t>
      </w:r>
    </w:p>
    <w:p>
      <w:pPr>
        <w:keepNext w:val="0"/>
        <w:keepLines w:val="0"/>
        <w:pageBreakBefore w:val="0"/>
        <w:widowControl w:val="0"/>
        <w:kinsoku/>
        <w:wordWrap/>
        <w:overflowPunct/>
        <w:topLinePunct w:val="0"/>
        <w:autoSpaceDE/>
        <w:autoSpaceDN/>
        <w:bidi w:val="0"/>
        <w:adjustRightInd/>
        <w:snapToGrid w:val="0"/>
        <w:spacing w:line="560" w:lineRule="exact"/>
        <w:ind w:left="0" w:firstLineChars="200" w:firstLine="640"/>
        <w:textAlignment w:val="auto"/>
        <w:outlineLvl w:val="9"/>
        <w:rPr>
          <w:rFonts w:ascii="仿宋" w:eastAsia="仿宋" w:hAnsi="仿宋" w:hint="eastAsia"/>
          <w:sz w:val="32"/>
          <w:szCs w:val="32"/>
          <w:lang w:val="en-US" w:eastAsia="zh-CN"/>
        </w:rPr>
      </w:pPr>
      <w:r>
        <w:rPr>
          <w:rFonts w:ascii="仿宋" w:eastAsia="仿宋" w:hAnsi="仿宋" w:hint="eastAsia"/>
          <w:sz w:val="32"/>
          <w:szCs w:val="32"/>
          <w:lang w:val="en-US" w:eastAsia="zh-CN"/>
        </w:rPr>
        <w:t>（</w:t>
      </w:r>
      <w:r>
        <w:rPr>
          <w:rFonts w:ascii="仿宋" w:eastAsia="仿宋" w:hAnsi="仿宋"/>
          <w:sz w:val="32"/>
          <w:szCs w:val="32"/>
          <w:lang w:val="en-US" w:eastAsia="zh-CN"/>
        </w:rPr>
        <w:t>5</w:t>
      </w:r>
      <w:r>
        <w:rPr>
          <w:rFonts w:ascii="仿宋" w:eastAsia="仿宋" w:hAnsi="仿宋" w:hint="eastAsia"/>
          <w:sz w:val="32"/>
          <w:szCs w:val="32"/>
          <w:lang w:val="en-US" w:eastAsia="zh-CN"/>
        </w:rPr>
        <w:t>）配合有关部门对巡察工作人员进行培训、考核、监督和管理。</w:t>
      </w:r>
    </w:p>
    <w:p>
      <w:pPr>
        <w:keepNext w:val="0"/>
        <w:keepLines w:val="0"/>
        <w:pageBreakBefore w:val="0"/>
        <w:widowControl w:val="0"/>
        <w:kinsoku/>
        <w:wordWrap/>
        <w:overflowPunct/>
        <w:topLinePunct w:val="0"/>
        <w:autoSpaceDE/>
        <w:autoSpaceDN/>
        <w:adjustRightInd/>
        <w:snapToGrid w:val="0"/>
        <w:spacing w:line="560" w:lineRule="exact"/>
        <w:ind w:left="0" w:firstLineChars="200" w:firstLine="640"/>
        <w:rPr>
          <w:rFonts w:ascii="仿宋" w:eastAsia="仿宋" w:hAnsi="仿宋"/>
          <w:sz w:val="32"/>
          <w:szCs w:val="32"/>
        </w:rPr>
      </w:pPr>
      <w:r>
        <w:rPr>
          <w:rFonts w:ascii="仿宋" w:eastAsia="仿宋" w:hAnsi="仿宋" w:hint="eastAsia"/>
          <w:sz w:val="32"/>
          <w:szCs w:val="32"/>
          <w:lang w:val="en-US" w:eastAsia="zh-CN"/>
        </w:rPr>
        <w:t>（</w:t>
      </w:r>
      <w:r>
        <w:rPr>
          <w:rFonts w:ascii="仿宋" w:eastAsia="仿宋" w:hAnsi="仿宋"/>
          <w:sz w:val="32"/>
          <w:szCs w:val="32"/>
          <w:lang w:val="en-US" w:eastAsia="zh-CN"/>
        </w:rPr>
        <w:t>6</w:t>
      </w:r>
      <w:r>
        <w:rPr>
          <w:rFonts w:ascii="仿宋" w:eastAsia="仿宋" w:hAnsi="仿宋" w:hint="eastAsia"/>
          <w:sz w:val="32"/>
          <w:szCs w:val="32"/>
          <w:lang w:val="en-US" w:eastAsia="zh-CN"/>
        </w:rPr>
        <w:t>）完成市委巡察工作领导小组办公室和区委巡察工作领导小组交办的其他任务。</w:t>
      </w:r>
    </w:p>
    <w:p>
      <w:pPr>
        <w:adjustRightInd w:val="0"/>
        <w:snapToGrid w:val="0"/>
        <w:spacing w:line="560" w:lineRule="exact"/>
        <w:ind w:firstLineChars="200" w:firstLine="640"/>
        <w:rPr>
          <w:rFonts w:ascii="仿宋" w:eastAsia="仿宋" w:hAnsi="仿宋"/>
          <w:sz w:val="32"/>
          <w:szCs w:val="32"/>
        </w:rPr>
      </w:pPr>
      <w:r>
        <w:rPr>
          <w:rFonts w:ascii="仿宋" w:eastAsia="仿宋" w:hAnsi="仿宋"/>
          <w:sz w:val="32"/>
          <w:szCs w:val="32"/>
        </w:rPr>
        <w:t>2.</w:t>
      </w:r>
      <w:r>
        <w:rPr>
          <w:rFonts w:ascii="仿宋" w:eastAsia="仿宋" w:hAnsi="仿宋" w:hint="eastAsia"/>
          <w:sz w:val="32"/>
          <w:szCs w:val="32"/>
        </w:rPr>
        <w:t>组织机构及人员</w:t>
      </w:r>
      <w:r>
        <w:rPr>
          <w:rFonts w:ascii="仿宋" w:eastAsia="仿宋" w:hAnsi="仿宋"/>
          <w:sz w:val="32"/>
          <w:szCs w:val="32"/>
        </w:rPr>
        <w:t>：</w:t>
      </w:r>
    </w:p>
    <w:tbl>
      <w:tblPr>
        <w:jc w:val="left"/>
        <w:tblInd w:w="177" w:type="dxa"/>
        <w:tblW w:w="8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108" w:type="dxa"/>
          <w:bottom w:w="0" w:type="dxa"/>
          <w:right w:w="108" w:type="dxa"/>
        </w:tblCellMar>
      </w:tblPr>
      <w:tblGrid>
        <w:gridCol w:w="2082"/>
        <w:gridCol w:w="2001"/>
        <w:gridCol w:w="2131"/>
        <w:gridCol w:w="2506"/>
      </w:tblGrid>
      <w:tr>
        <w:trPr>
          <w:trHeight w:val="804"/>
        </w:trPr>
        <w:tc>
          <w:tcPr>
            <w:tcW w:w="2082" w:type="dxa"/>
            <w:vAlign w:val="center"/>
          </w:tcPr>
          <w:p>
            <w:pPr>
              <w:jc w:val="center"/>
              <w:rPr>
                <w:rFonts w:ascii="仿宋" w:eastAsia="仿宋" w:hAnsi="仿宋"/>
                <w:sz w:val="32"/>
                <w:szCs w:val="32"/>
              </w:rPr>
            </w:pPr>
            <w:r>
              <w:rPr>
                <w:rFonts w:ascii="仿宋" w:eastAsia="仿宋" w:hAnsi="仿宋" w:hint="eastAsia"/>
                <w:sz w:val="32"/>
                <w:szCs w:val="32"/>
              </w:rPr>
              <w:t>单位名称</w:t>
            </w:r>
          </w:p>
        </w:tc>
        <w:tc>
          <w:tcPr>
            <w:tcW w:w="2001" w:type="dxa"/>
            <w:vAlign w:val="center"/>
          </w:tcPr>
          <w:p>
            <w:pPr>
              <w:jc w:val="center"/>
              <w:rPr>
                <w:rFonts w:ascii="仿宋" w:eastAsia="仿宋" w:hAnsi="仿宋"/>
                <w:sz w:val="32"/>
                <w:szCs w:val="32"/>
              </w:rPr>
            </w:pPr>
            <w:r>
              <w:rPr>
                <w:rFonts w:ascii="仿宋" w:eastAsia="仿宋" w:hAnsi="仿宋" w:hint="eastAsia"/>
                <w:sz w:val="32"/>
                <w:szCs w:val="32"/>
              </w:rPr>
              <w:t>单位性质</w:t>
            </w:r>
          </w:p>
        </w:tc>
        <w:tc>
          <w:tcPr>
            <w:tcW w:w="2131" w:type="dxa"/>
            <w:vAlign w:val="center"/>
          </w:tcPr>
          <w:p>
            <w:pPr>
              <w:jc w:val="center"/>
              <w:rPr>
                <w:rFonts w:ascii="仿宋" w:eastAsia="仿宋" w:hAnsi="仿宋"/>
                <w:sz w:val="32"/>
                <w:szCs w:val="32"/>
              </w:rPr>
            </w:pPr>
            <w:r>
              <w:rPr>
                <w:rFonts w:ascii="仿宋" w:eastAsia="仿宋" w:hAnsi="仿宋" w:hint="eastAsia"/>
                <w:sz w:val="32"/>
                <w:szCs w:val="32"/>
              </w:rPr>
              <w:t>单位规格</w:t>
            </w:r>
          </w:p>
        </w:tc>
        <w:tc>
          <w:tcPr>
            <w:tcW w:w="2506" w:type="dxa"/>
            <w:vAlign w:val="center"/>
          </w:tcPr>
          <w:p>
            <w:pPr>
              <w:jc w:val="center"/>
              <w:rPr>
                <w:rFonts w:ascii="仿宋" w:eastAsia="仿宋" w:hAnsi="仿宋"/>
                <w:sz w:val="32"/>
                <w:szCs w:val="32"/>
              </w:rPr>
            </w:pPr>
            <w:r>
              <w:rPr>
                <w:rFonts w:ascii="仿宋" w:eastAsia="仿宋" w:hAnsi="仿宋" w:hint="eastAsia"/>
                <w:sz w:val="32"/>
                <w:szCs w:val="32"/>
              </w:rPr>
              <w:t>经费保障形势</w:t>
            </w:r>
          </w:p>
        </w:tc>
      </w:tr>
      <w:tr>
        <w:tc>
          <w:tcPr>
            <w:tcW w:w="2082" w:type="dxa"/>
            <w:tcBorders>
              <w:top w:val="single" w:sz="4" w:space="0" w:color="000000"/>
              <w:left w:val="single" w:sz="4" w:space="0" w:color="000000"/>
              <w:right w:val="single" w:sz="4" w:space="0" w:color="000000"/>
            </w:tcBorders>
          </w:tcPr>
          <w:p>
            <w:pPr>
              <w:jc w:val="center"/>
              <w:rPr>
                <w:rFonts w:ascii="仿宋" w:eastAsia="仿宋" w:hAnsi="仿宋" w:hint="eastAsia"/>
                <w:sz w:val="32"/>
                <w:szCs w:val="32"/>
                <w:lang w:eastAsia="zh-CN"/>
              </w:rPr>
            </w:pPr>
            <w:r>
              <w:rPr>
                <w:rFonts w:ascii="仿宋" w:eastAsia="仿宋" w:hAnsi="仿宋" w:hint="eastAsia"/>
                <w:sz w:val="32"/>
                <w:szCs w:val="32"/>
                <w:lang w:eastAsia="zh-CN"/>
              </w:rPr>
              <w:t>区委</w:t>
            </w:r>
            <w:r>
              <w:rPr>
                <w:rFonts w:ascii="仿宋" w:eastAsia="仿宋" w:hAnsi="仿宋"/>
                <w:sz w:val="32"/>
                <w:szCs w:val="32"/>
                <w:lang w:eastAsia="zh-CN"/>
              </w:rPr>
              <w:t>巡察办</w:t>
            </w:r>
          </w:p>
        </w:tc>
        <w:tc>
          <w:tcPr>
            <w:tcW w:w="2001" w:type="dxa"/>
            <w:tcBorders>
              <w:top w:val="single" w:sz="4" w:space="0" w:color="000000"/>
              <w:left w:val="single" w:sz="4" w:space="0" w:color="000000"/>
              <w:right w:val="single" w:sz="4" w:space="0" w:color="000000"/>
            </w:tcBorders>
            <w:vAlign w:val="center"/>
          </w:tcPr>
          <w:p>
            <w:pPr>
              <w:jc w:val="center"/>
              <w:rPr>
                <w:rFonts w:ascii="仿宋" w:eastAsia="仿宋" w:hAnsi="仿宋"/>
                <w:sz w:val="32"/>
                <w:szCs w:val="32"/>
              </w:rPr>
            </w:pPr>
            <w:r>
              <w:rPr>
                <w:rFonts w:ascii="仿宋" w:eastAsia="仿宋" w:hAnsi="仿宋" w:hint="eastAsia"/>
                <w:sz w:val="32"/>
                <w:szCs w:val="32"/>
              </w:rPr>
              <w:t>行政</w:t>
            </w:r>
          </w:p>
        </w:tc>
        <w:tc>
          <w:tcPr>
            <w:tcW w:w="2131" w:type="dxa"/>
            <w:tcBorders>
              <w:top w:val="single" w:sz="4" w:space="0" w:color="000000"/>
              <w:left w:val="single" w:sz="4" w:space="0" w:color="000000"/>
              <w:right w:val="single" w:sz="4" w:space="0" w:color="000000"/>
            </w:tcBorders>
            <w:vAlign w:val="center"/>
          </w:tcPr>
          <w:p>
            <w:pPr>
              <w:jc w:val="center"/>
              <w:rPr>
                <w:rFonts w:ascii="仿宋" w:eastAsia="仿宋" w:hAnsi="仿宋"/>
                <w:sz w:val="32"/>
                <w:szCs w:val="32"/>
              </w:rPr>
            </w:pPr>
            <w:r>
              <w:rPr>
                <w:rFonts w:ascii="仿宋" w:eastAsia="仿宋" w:hAnsi="仿宋" w:hint="eastAsia"/>
                <w:sz w:val="32"/>
                <w:szCs w:val="32"/>
              </w:rPr>
              <w:t>正科级</w:t>
            </w:r>
          </w:p>
        </w:tc>
        <w:tc>
          <w:tcPr>
            <w:tcW w:w="2506" w:type="dxa"/>
            <w:tcBorders>
              <w:top w:val="single" w:sz="4" w:space="0" w:color="000000"/>
              <w:left w:val="single" w:sz="4" w:space="0" w:color="000000"/>
              <w:right w:val="single" w:sz="4" w:space="0" w:color="000000"/>
            </w:tcBorders>
            <w:vAlign w:val="center"/>
          </w:tcPr>
          <w:p>
            <w:pPr>
              <w:jc w:val="center"/>
              <w:rPr>
                <w:rFonts w:ascii="仿宋" w:eastAsia="仿宋" w:hAnsi="仿宋"/>
                <w:sz w:val="32"/>
                <w:szCs w:val="32"/>
              </w:rPr>
            </w:pPr>
            <w:r>
              <w:rPr>
                <w:rFonts w:ascii="仿宋" w:eastAsia="仿宋" w:hAnsi="仿宋" w:hint="eastAsia"/>
                <w:sz w:val="32"/>
                <w:szCs w:val="32"/>
              </w:rPr>
              <w:t>财政拨款</w:t>
            </w:r>
          </w:p>
        </w:tc>
      </w:tr>
    </w:tbl>
    <w:p>
      <w:pPr>
        <w:snapToGrid w:val="0"/>
        <w:spacing w:line="520" w:lineRule="exact"/>
        <w:ind w:firstLineChars="200" w:firstLine="640"/>
        <w:rPr>
          <w:rFonts w:ascii="仿宋" w:eastAsia="仿宋" w:cs="仿宋" w:hAnsi="仿宋" w:hint="eastAsia"/>
          <w:sz w:val="32"/>
          <w:szCs w:val="32"/>
        </w:rPr>
      </w:pPr>
      <w:r>
        <w:rPr>
          <w:rFonts w:ascii="仿宋" w:eastAsia="仿宋" w:cs="仿宋" w:hAnsi="仿宋"/>
          <w:sz w:val="32"/>
          <w:szCs w:val="32"/>
          <w:lang w:val="en-US" w:eastAsia="zh-CN"/>
        </w:rPr>
        <w:t>2024</w:t>
      </w:r>
      <w:r>
        <w:rPr>
          <w:rFonts w:ascii="仿宋" w:eastAsia="仿宋" w:cs="仿宋" w:hAnsi="仿宋" w:hint="eastAsia"/>
          <w:sz w:val="32"/>
          <w:szCs w:val="32"/>
          <w:lang w:val="en-US" w:eastAsia="zh-CN"/>
        </w:rPr>
        <w:t>年末在职人员</w:t>
      </w:r>
      <w:r>
        <w:rPr>
          <w:rFonts w:ascii="仿宋" w:eastAsia="仿宋" w:cs="仿宋" w:hAnsi="仿宋"/>
          <w:sz w:val="32"/>
          <w:szCs w:val="32"/>
          <w:lang w:val="en-US" w:eastAsia="zh-CN"/>
        </w:rPr>
        <w:t>6</w:t>
      </w:r>
      <w:r>
        <w:rPr>
          <w:rFonts w:ascii="仿宋" w:eastAsia="仿宋" w:cs="仿宋" w:hAnsi="仿宋" w:hint="eastAsia"/>
          <w:sz w:val="32"/>
          <w:szCs w:val="32"/>
          <w:lang w:val="en-US" w:eastAsia="zh-CN"/>
        </w:rPr>
        <w:t>名，无退休，无临时借调等情况。</w:t>
      </w:r>
    </w:p>
    <w:p>
      <w:pPr>
        <w:adjustRightInd w:val="0"/>
        <w:snapToGrid w:val="0"/>
        <w:spacing w:line="560" w:lineRule="exact"/>
        <w:ind w:firstLineChars="200" w:firstLine="640"/>
        <w:rPr>
          <w:rFonts w:ascii="仿宋" w:eastAsia="仿宋" w:hAnsi="仿宋"/>
          <w:sz w:val="32"/>
          <w:szCs w:val="32"/>
        </w:rPr>
      </w:pPr>
      <w:r>
        <w:rPr>
          <w:rFonts w:ascii="仿宋" w:eastAsia="仿宋" w:hAnsi="仿宋"/>
          <w:sz w:val="32"/>
          <w:szCs w:val="32"/>
        </w:rPr>
        <w:t>3.</w:t>
      </w:r>
      <w:r>
        <w:rPr>
          <w:rFonts w:ascii="仿宋" w:eastAsia="仿宋" w:hAnsi="仿宋" w:hint="eastAsia"/>
          <w:sz w:val="32"/>
          <w:szCs w:val="32"/>
        </w:rPr>
        <w:t>资产情况</w:t>
      </w:r>
      <w:r>
        <w:rPr>
          <w:rFonts w:ascii="仿宋" w:eastAsia="仿宋" w:hAnsi="仿宋"/>
          <w:sz w:val="32"/>
          <w:szCs w:val="32"/>
        </w:rPr>
        <w:t>：</w:t>
      </w:r>
    </w:p>
    <w:p>
      <w:pPr>
        <w:adjustRightInd w:val="0"/>
        <w:snapToGrid w:val="0"/>
        <w:spacing w:line="560" w:lineRule="exact"/>
        <w:ind w:firstLineChars="200" w:firstLine="640"/>
        <w:rPr>
          <w:rFonts w:ascii="楷体" w:eastAsia="楷体" w:cs="楷体_GB2312" w:hAnsi="楷体"/>
          <w:bCs/>
          <w:sz w:val="32"/>
          <w:szCs w:val="32"/>
        </w:rPr>
      </w:pPr>
      <w:r>
        <w:rPr>
          <w:rFonts w:ascii="仿宋" w:eastAsia="仿宋" w:cs="仿宋" w:hAnsi="仿宋" w:hint="eastAsia"/>
          <w:sz w:val="32"/>
          <w:szCs w:val="32"/>
        </w:rPr>
        <w:t>202</w:t>
      </w:r>
      <w:r>
        <w:rPr>
          <w:rFonts w:ascii="仿宋" w:eastAsia="仿宋" w:cs="仿宋" w:hAnsi="仿宋"/>
          <w:sz w:val="32"/>
          <w:szCs w:val="32"/>
          <w:lang w:val="en-US" w:eastAsia="zh-CN"/>
        </w:rPr>
        <w:t>4</w:t>
      </w:r>
      <w:r>
        <w:rPr>
          <w:rFonts w:ascii="仿宋" w:eastAsia="仿宋" w:cs="仿宋" w:hAnsi="仿宋" w:hint="eastAsia"/>
          <w:sz w:val="32"/>
          <w:szCs w:val="32"/>
        </w:rPr>
        <w:t>年年初</w:t>
      </w:r>
      <w:r>
        <w:rPr>
          <w:rFonts w:ascii="仿宋" w:eastAsia="仿宋" w:cs="仿宋" w:hAnsi="仿宋"/>
          <w:sz w:val="32"/>
          <w:szCs w:val="32"/>
        </w:rPr>
        <w:t>净</w:t>
      </w:r>
      <w:r>
        <w:rPr>
          <w:rFonts w:ascii="仿宋" w:eastAsia="仿宋" w:cs="仿宋" w:hAnsi="仿宋" w:hint="eastAsia"/>
          <w:sz w:val="32"/>
          <w:szCs w:val="32"/>
        </w:rPr>
        <w:t>资产</w:t>
      </w:r>
      <w:r>
        <w:rPr>
          <w:rFonts w:ascii="仿宋" w:eastAsia="仿宋" w:cs="仿宋" w:hAnsi="仿宋"/>
          <w:sz w:val="32"/>
          <w:szCs w:val="32"/>
          <w:lang w:val="en-US" w:eastAsia="zh-CN"/>
        </w:rPr>
        <w:t>14.91</w:t>
      </w:r>
      <w:r>
        <w:rPr>
          <w:rFonts w:ascii="仿宋" w:eastAsia="仿宋" w:cs="仿宋" w:hAnsi="仿宋" w:hint="eastAsia"/>
          <w:sz w:val="32"/>
          <w:szCs w:val="32"/>
        </w:rPr>
        <w:t>万元，年末</w:t>
      </w:r>
      <w:r>
        <w:rPr>
          <w:rFonts w:ascii="仿宋" w:eastAsia="仿宋" w:cs="仿宋"/>
          <w:sz w:val="32"/>
          <w:szCs w:val="32"/>
          <w:lang w:bidi="ar-SA"/>
        </w:rPr>
        <w:t>10.79</w:t>
      </w:r>
      <w:r>
        <w:rPr>
          <w:rFonts w:ascii="仿宋" w:eastAsia="仿宋" w:cs="仿宋" w:hint="eastAsia"/>
          <w:sz w:val="32"/>
          <w:szCs w:val="32"/>
          <w:lang w:bidi="ar-SA"/>
        </w:rPr>
        <w:t>万元，较上年减少</w:t>
      </w:r>
      <w:r>
        <w:rPr>
          <w:rFonts w:ascii="仿宋" w:eastAsia="仿宋" w:cs="仿宋"/>
          <w:sz w:val="32"/>
          <w:szCs w:val="32"/>
          <w:lang w:bidi="ar-SA"/>
        </w:rPr>
        <w:t>27.63</w:t>
      </w:r>
      <w:r>
        <w:rPr>
          <w:rFonts w:ascii="仿宋" w:eastAsia="仿宋" w:cs="仿宋" w:hint="eastAsia"/>
          <w:sz w:val="32"/>
          <w:szCs w:val="32"/>
          <w:lang w:bidi="ar-SA"/>
        </w:rPr>
        <w:t>%</w:t>
      </w:r>
      <w:r>
        <w:rPr>
          <w:rFonts w:ascii="仿宋" w:eastAsia="仿宋" w:cs="仿宋" w:hAnsi="仿宋" w:hint="eastAsia"/>
          <w:sz w:val="32"/>
          <w:szCs w:val="32"/>
          <w:lang w:eastAsia="zh-CN"/>
        </w:rPr>
        <w:t>。</w:t>
      </w:r>
    </w:p>
    <w:p>
      <w:pPr>
        <w:adjustRightInd w:val="0"/>
        <w:snapToGrid w:val="0"/>
        <w:spacing w:line="560" w:lineRule="exact"/>
        <w:ind w:firstLineChars="200" w:firstLine="640"/>
        <w:rPr>
          <w:rFonts w:ascii="楷体" w:eastAsia="楷体" w:cs="楷体_GB2312" w:hAnsi="楷体"/>
          <w:bCs/>
          <w:sz w:val="32"/>
          <w:szCs w:val="32"/>
        </w:rPr>
      </w:pPr>
      <w:r>
        <w:rPr>
          <w:rFonts w:ascii="楷体" w:eastAsia="楷体" w:cs="楷体_GB2312" w:hAnsi="楷体" w:hint="eastAsia"/>
          <w:bCs/>
          <w:sz w:val="32"/>
          <w:szCs w:val="32"/>
        </w:rPr>
        <w:t>（二）部门收支预决算情况</w:t>
      </w:r>
    </w:p>
    <w:p>
      <w:pPr>
        <w:snapToGrid w:val="0"/>
        <w:spacing w:line="520" w:lineRule="exact"/>
        <w:ind w:firstLineChars="200" w:firstLine="640"/>
        <w:rPr>
          <w:rFonts w:ascii="楷体" w:eastAsia="楷体" w:cs="楷体_GB2312" w:hAnsi="楷体"/>
          <w:bCs/>
          <w:sz w:val="32"/>
          <w:szCs w:val="32"/>
        </w:rPr>
      </w:pPr>
      <w:r>
        <w:rPr>
          <w:rFonts w:ascii="仿宋" w:eastAsia="仿宋" w:cs="仿宋" w:hAnsi="仿宋" w:hint="eastAsia"/>
          <w:sz w:val="32"/>
          <w:szCs w:val="32"/>
          <w:lang w:val="en-US" w:eastAsia="zh-CN"/>
        </w:rPr>
        <w:t>202</w:t>
      </w:r>
      <w:r>
        <w:rPr>
          <w:rFonts w:ascii="仿宋" w:eastAsia="仿宋" w:cs="仿宋" w:hAnsi="仿宋"/>
          <w:sz w:val="32"/>
          <w:szCs w:val="32"/>
          <w:lang w:val="en-US" w:eastAsia="zh-CN"/>
        </w:rPr>
        <w:t>4</w:t>
      </w:r>
      <w:r>
        <w:rPr>
          <w:rFonts w:ascii="仿宋" w:eastAsia="仿宋" w:cs="仿宋" w:hAnsi="仿宋" w:hint="eastAsia"/>
          <w:sz w:val="32"/>
          <w:szCs w:val="32"/>
        </w:rPr>
        <w:t>年部门年初预算收入</w:t>
      </w:r>
      <w:r>
        <w:rPr>
          <w:rFonts w:ascii="仿宋" w:eastAsia="仿宋" w:cs="仿宋" w:hAnsi="仿宋"/>
          <w:sz w:val="32"/>
          <w:szCs w:val="32"/>
          <w:lang w:val="en-US" w:eastAsia="zh-CN"/>
        </w:rPr>
        <w:t>119.49</w:t>
      </w:r>
      <w:r>
        <w:rPr>
          <w:rFonts w:ascii="仿宋" w:eastAsia="仿宋" w:cs="仿宋" w:hAnsi="仿宋" w:hint="eastAsia"/>
          <w:sz w:val="32"/>
          <w:szCs w:val="32"/>
        </w:rPr>
        <w:t>万元，202</w:t>
      </w:r>
      <w:r>
        <w:rPr>
          <w:rFonts w:ascii="仿宋" w:eastAsia="仿宋" w:cs="仿宋" w:hAnsi="仿宋"/>
          <w:sz w:val="32"/>
          <w:szCs w:val="32"/>
          <w:lang w:val="en-US" w:eastAsia="zh-CN"/>
        </w:rPr>
        <w:t>4</w:t>
      </w:r>
      <w:r>
        <w:rPr>
          <w:rFonts w:ascii="仿宋" w:eastAsia="仿宋" w:cs="仿宋" w:hAnsi="仿宋" w:hint="eastAsia"/>
          <w:sz w:val="32"/>
          <w:szCs w:val="32"/>
        </w:rPr>
        <w:t>年部门预算支出</w:t>
      </w:r>
      <w:r>
        <w:rPr>
          <w:rFonts w:ascii="仿宋" w:eastAsia="仿宋" w:cs="仿宋" w:hAnsi="仿宋"/>
          <w:sz w:val="32"/>
          <w:szCs w:val="32"/>
          <w:lang w:val="en-US" w:eastAsia="zh-CN"/>
        </w:rPr>
        <w:t>119.49</w:t>
      </w:r>
      <w:r>
        <w:rPr>
          <w:rFonts w:ascii="仿宋" w:eastAsia="仿宋" w:cs="仿宋" w:hAnsi="仿宋" w:hint="eastAsia"/>
          <w:sz w:val="32"/>
          <w:szCs w:val="32"/>
        </w:rPr>
        <w:t>万元，其中：基本支出</w:t>
      </w:r>
      <w:r>
        <w:rPr>
          <w:rFonts w:ascii="仿宋" w:eastAsia="仿宋" w:cs="仿宋" w:hAnsi="仿宋"/>
          <w:sz w:val="32"/>
          <w:szCs w:val="32"/>
          <w:lang w:val="en-US" w:eastAsia="zh-CN"/>
        </w:rPr>
        <w:t>110.87</w:t>
      </w:r>
      <w:r>
        <w:rPr>
          <w:rFonts w:ascii="仿宋" w:eastAsia="仿宋" w:cs="仿宋" w:hAnsi="仿宋" w:hint="eastAsia"/>
          <w:sz w:val="32"/>
          <w:szCs w:val="32"/>
        </w:rPr>
        <w:t>万元，项目支出</w:t>
      </w:r>
      <w:r>
        <w:rPr>
          <w:rFonts w:ascii="仿宋" w:eastAsia="仿宋" w:cs="仿宋" w:hAnsi="仿宋"/>
          <w:sz w:val="32"/>
          <w:szCs w:val="32"/>
          <w:lang w:val="en-US" w:eastAsia="zh-CN"/>
        </w:rPr>
        <w:t>8.62</w:t>
      </w:r>
      <w:r>
        <w:rPr>
          <w:rFonts w:ascii="仿宋" w:eastAsia="仿宋" w:cs="仿宋" w:hAnsi="仿宋" w:hint="eastAsia"/>
          <w:sz w:val="32"/>
          <w:szCs w:val="32"/>
        </w:rPr>
        <w:t>万元。20</w:t>
      </w:r>
      <w:r>
        <w:rPr>
          <w:rFonts w:ascii="仿宋" w:eastAsia="仿宋" w:cs="仿宋" w:hAnsi="仿宋"/>
          <w:sz w:val="32"/>
          <w:szCs w:val="32"/>
        </w:rPr>
        <w:t>2</w:t>
      </w:r>
      <w:r>
        <w:rPr>
          <w:rFonts w:ascii="仿宋" w:eastAsia="仿宋" w:cs="仿宋" w:hAnsi="仿宋"/>
          <w:sz w:val="32"/>
          <w:szCs w:val="32"/>
          <w:lang w:val="en-US" w:eastAsia="zh-CN"/>
        </w:rPr>
        <w:t>4</w:t>
      </w:r>
      <w:r>
        <w:rPr>
          <w:rFonts w:ascii="仿宋" w:eastAsia="仿宋" w:cs="仿宋" w:hAnsi="仿宋" w:hint="eastAsia"/>
          <w:sz w:val="32"/>
          <w:szCs w:val="32"/>
        </w:rPr>
        <w:t>年实际收入</w:t>
      </w:r>
      <w:r>
        <w:rPr>
          <w:rFonts w:ascii="仿宋" w:eastAsia="仿宋" w:cs="仿宋" w:hAnsi="仿宋"/>
          <w:sz w:val="32"/>
          <w:szCs w:val="32"/>
          <w:lang w:val="en-US" w:eastAsia="zh-CN"/>
        </w:rPr>
        <w:t>119.49</w:t>
      </w:r>
      <w:r>
        <w:rPr>
          <w:rFonts w:ascii="仿宋" w:eastAsia="仿宋" w:cs="仿宋" w:hAnsi="仿宋" w:hint="eastAsia"/>
          <w:sz w:val="32"/>
          <w:szCs w:val="32"/>
        </w:rPr>
        <w:t>万元,实际支出</w:t>
      </w:r>
      <w:r>
        <w:rPr>
          <w:rFonts w:ascii="仿宋" w:eastAsia="仿宋" w:cs="仿宋" w:hAnsi="仿宋"/>
          <w:sz w:val="32"/>
          <w:szCs w:val="32"/>
          <w:lang w:val="en-US" w:eastAsia="zh-CN"/>
        </w:rPr>
        <w:t>119.49</w:t>
      </w:r>
      <w:r>
        <w:rPr>
          <w:rFonts w:ascii="仿宋" w:eastAsia="仿宋" w:cs="仿宋" w:hAnsi="仿宋" w:hint="eastAsia"/>
          <w:sz w:val="32"/>
          <w:szCs w:val="32"/>
        </w:rPr>
        <w:t>万元</w:t>
      </w:r>
      <w:r>
        <w:rPr>
          <w:rFonts w:ascii="仿宋" w:eastAsia="仿宋" w:cs="仿宋" w:hAnsi="仿宋" w:hint="eastAsia"/>
          <w:sz w:val="32"/>
          <w:szCs w:val="32"/>
          <w:lang w:eastAsia="zh-CN"/>
        </w:rPr>
        <w:t>，</w:t>
      </w:r>
      <w:r>
        <w:rPr>
          <w:rFonts w:ascii="仿宋" w:eastAsia="仿宋" w:cs="仿宋" w:hAnsi="仿宋" w:hint="eastAsia"/>
          <w:sz w:val="32"/>
          <w:szCs w:val="32"/>
        </w:rPr>
        <w:t>其中：基本支出</w:t>
      </w:r>
      <w:r>
        <w:rPr>
          <w:rFonts w:ascii="仿宋" w:eastAsia="仿宋" w:cs="仿宋" w:hAnsi="仿宋"/>
          <w:sz w:val="32"/>
          <w:szCs w:val="32"/>
          <w:lang w:val="en-US" w:eastAsia="zh-CN"/>
        </w:rPr>
        <w:t>110.87</w:t>
      </w:r>
      <w:r>
        <w:rPr>
          <w:rFonts w:ascii="仿宋" w:eastAsia="仿宋" w:cs="仿宋" w:hAnsi="仿宋" w:hint="eastAsia"/>
          <w:sz w:val="32"/>
          <w:szCs w:val="32"/>
        </w:rPr>
        <w:t>万元，项目支出</w:t>
      </w:r>
      <w:r>
        <w:rPr>
          <w:rFonts w:ascii="仿宋" w:eastAsia="仿宋" w:cs="仿宋" w:hAnsi="仿宋"/>
          <w:sz w:val="32"/>
          <w:szCs w:val="32"/>
          <w:lang w:val="en-US" w:eastAsia="zh-CN"/>
        </w:rPr>
        <w:t>8.62</w:t>
      </w:r>
      <w:r>
        <w:rPr>
          <w:rFonts w:ascii="仿宋" w:eastAsia="仿宋" w:cs="仿宋" w:hAnsi="仿宋" w:hint="eastAsia"/>
          <w:sz w:val="32"/>
          <w:szCs w:val="32"/>
        </w:rPr>
        <w:t>万元</w:t>
      </w:r>
      <w:r>
        <w:rPr>
          <w:rFonts w:ascii="仿宋" w:eastAsia="仿宋" w:cs="仿宋" w:hAnsi="仿宋" w:hint="eastAsia"/>
          <w:sz w:val="32"/>
          <w:szCs w:val="32"/>
          <w:lang w:eastAsia="zh-CN"/>
        </w:rPr>
        <w:t>。</w:t>
      </w:r>
    </w:p>
    <w:p>
      <w:pPr>
        <w:adjustRightInd w:val="0"/>
        <w:snapToGrid w:val="0"/>
        <w:spacing w:line="560" w:lineRule="exact"/>
        <w:ind w:firstLineChars="200" w:firstLine="640"/>
        <w:rPr>
          <w:rFonts w:ascii="楷体" w:eastAsia="楷体" w:cs="楷体_GB2312" w:hAnsi="楷体"/>
          <w:bCs/>
          <w:sz w:val="32"/>
          <w:szCs w:val="32"/>
        </w:rPr>
      </w:pPr>
      <w:r>
        <w:rPr>
          <w:rFonts w:ascii="楷体" w:eastAsia="楷体" w:cs="楷体_GB2312" w:hAnsi="楷体" w:hint="eastAsia"/>
          <w:bCs/>
          <w:sz w:val="32"/>
          <w:szCs w:val="32"/>
        </w:rPr>
        <w:t>（三）部门整体支出绩效目标、指标</w:t>
      </w:r>
    </w:p>
    <w:p>
      <w:pPr>
        <w:pBdr>
          <w:top w:val="none" w:sz="0" w:space="0" w:color="auto"/>
          <w:left w:val="none" w:sz="0" w:space="0" w:color="auto"/>
          <w:bottom w:val="none" w:sz="0" w:space="0" w:color="auto"/>
          <w:right w:val="none" w:sz="0" w:space="0" w:color="auto"/>
        </w:pBdr>
        <w:ind w:firstLineChars="200" w:firstLine="640"/>
        <w:rPr>
          <w:rFonts w:ascii="仿宋" w:eastAsia="仿宋" w:cs="仿宋" w:hAnsi="仿宋" w:hint="eastAsia"/>
          <w:sz w:val="32"/>
          <w:szCs w:val="32"/>
        </w:rPr>
      </w:pPr>
      <w:r>
        <w:rPr>
          <w:rFonts w:ascii="仿宋" w:eastAsia="仿宋" w:cs="仿宋" w:hAnsi="仿宋"/>
          <w:sz w:val="32"/>
          <w:szCs w:val="32"/>
        </w:rPr>
        <w:t>区委</w:t>
      </w:r>
      <w:r>
        <w:rPr>
          <w:rFonts w:ascii="仿宋" w:eastAsia="仿宋" w:cs="仿宋" w:hAnsi="仿宋" w:hint="eastAsia"/>
          <w:sz w:val="32"/>
          <w:szCs w:val="32"/>
        </w:rPr>
        <w:t>巡察</w:t>
      </w:r>
      <w:r>
        <w:rPr>
          <w:rFonts w:ascii="仿宋" w:eastAsia="仿宋" w:cs="仿宋" w:hAnsi="仿宋"/>
          <w:sz w:val="32"/>
          <w:szCs w:val="32"/>
        </w:rPr>
        <w:t>办</w:t>
      </w:r>
      <w:r>
        <w:rPr>
          <w:rFonts w:ascii="仿宋" w:eastAsia="仿宋" w:cs="仿宋" w:hAnsi="仿宋" w:hint="eastAsia"/>
          <w:sz w:val="32"/>
          <w:szCs w:val="32"/>
        </w:rPr>
        <w:t>整体支出致力于为巡察工作的高效开展提供全面且有力的保障。通过科学合理地配置资金，在投入层面，确保资金及时足额到位并按预算规范使用；过程层面，严格遵循巡察流程，保障巡察工作有序推进；产出层面，形成高质量的巡察成果，精准发现各类问题；效果层面，推动问题有效整改，强化监督震慑作用，最终实现提升巡察工作质量与效率，确保政策法规落地生根，促进被巡察单位廉洁自律和规范管理，助力提升整体治理效能的核心目标。</w:t>
      </w:r>
    </w:p>
    <w:p>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二、自评工作开展情况</w:t>
      </w:r>
    </w:p>
    <w:p>
      <w:pPr>
        <w:spacing w:line="560" w:lineRule="exact"/>
        <w:rPr>
          <w:rFonts w:ascii="楷体" w:eastAsia="楷体" w:cs="楷体_GB2312" w:hAnsi="楷体"/>
          <w:sz w:val="32"/>
          <w:szCs w:val="32"/>
        </w:rPr>
      </w:pPr>
      <w:r>
        <w:rPr>
          <w:rFonts w:ascii="仿宋" w:eastAsia="仿宋" w:cs="楷体_GB2312" w:hAnsi="仿宋" w:hint="eastAsia"/>
          <w:b/>
          <w:bCs/>
          <w:sz w:val="32"/>
          <w:szCs w:val="32"/>
        </w:rPr>
        <w:t xml:space="preserve">    </w:t>
      </w:r>
      <w:r>
        <w:rPr>
          <w:rFonts w:ascii="楷体" w:eastAsia="楷体" w:cs="楷体_GB2312" w:hAnsi="楷体" w:hint="eastAsia"/>
          <w:bCs/>
          <w:sz w:val="32"/>
          <w:szCs w:val="32"/>
        </w:rPr>
        <w:t>（一）自评的组织工作</w:t>
      </w:r>
    </w:p>
    <w:p>
      <w:pPr>
        <w:widowControl w:val="0"/>
        <w:wordWrap/>
        <w:spacing w:line="560" w:lineRule="exact"/>
        <w:ind w:right="0" w:firstLineChars="200" w:firstLine="640"/>
        <w:textAlignment w:val="auto"/>
        <w:outlineLvl w:val="9"/>
        <w:rPr>
          <w:rFonts w:ascii="仿宋" w:eastAsia="仿宋" w:cs="仿宋" w:hAnsi="仿宋" w:hint="eastAsia"/>
          <w:sz w:val="32"/>
          <w:szCs w:val="32"/>
        </w:rPr>
      </w:pPr>
      <w:r>
        <w:rPr>
          <w:rFonts w:ascii="仿宋" w:eastAsia="仿宋" w:hAnsi="仿宋" w:hint="eastAsia"/>
          <w:sz w:val="32"/>
          <w:szCs w:val="32"/>
        </w:rPr>
        <w:t xml:space="preserve"> </w:t>
      </w:r>
      <w:r>
        <w:rPr>
          <w:rFonts w:ascii="仿宋" w:eastAsia="仿宋" w:cs="仿宋" w:hAnsi="仿宋" w:hint="eastAsia"/>
          <w:sz w:val="32"/>
          <w:szCs w:val="32"/>
        </w:rPr>
        <w:t>为进一步提高我</w:t>
      </w:r>
      <w:r>
        <w:rPr>
          <w:rFonts w:ascii="仿宋" w:eastAsia="仿宋" w:cs="仿宋" w:hAnsi="仿宋" w:hint="eastAsia"/>
          <w:sz w:val="32"/>
          <w:szCs w:val="32"/>
          <w:lang w:eastAsia="zh-CN"/>
        </w:rPr>
        <w:t>单位</w:t>
      </w:r>
      <w:r>
        <w:rPr>
          <w:rFonts w:ascii="仿宋" w:eastAsia="仿宋" w:cs="仿宋" w:hAnsi="仿宋" w:hint="eastAsia"/>
          <w:sz w:val="32"/>
          <w:szCs w:val="32"/>
        </w:rPr>
        <w:t>绩效预算管理工作，根据《</w:t>
      </w:r>
      <w:r>
        <w:rPr>
          <w:rFonts w:ascii="仿宋" w:eastAsia="仿宋" w:cs="仿宋" w:hAnsi="仿宋" w:hint="eastAsia"/>
          <w:sz w:val="32"/>
          <w:szCs w:val="32"/>
          <w:lang w:eastAsia="zh-CN"/>
        </w:rPr>
        <w:t>中共井陉矿区委、井陉矿区人民政府关于全面落实预算绩效管理的实施意见</w:t>
      </w:r>
      <w:r>
        <w:rPr>
          <w:rFonts w:ascii="仿宋" w:eastAsia="仿宋" w:cs="仿宋" w:hAnsi="仿宋" w:hint="eastAsia"/>
          <w:sz w:val="32"/>
          <w:szCs w:val="32"/>
        </w:rPr>
        <w:t>》（</w:t>
      </w:r>
      <w:r>
        <w:rPr>
          <w:rFonts w:ascii="仿宋" w:eastAsia="仿宋" w:cs="仿宋" w:hAnsi="仿宋" w:hint="eastAsia"/>
          <w:sz w:val="32"/>
          <w:szCs w:val="32"/>
          <w:lang w:eastAsia="zh-CN"/>
        </w:rPr>
        <w:t>矿发</w:t>
      </w:r>
      <w:r>
        <w:rPr>
          <w:rFonts w:ascii="仿宋" w:eastAsia="仿宋" w:cs="仿宋" w:hAnsi="仿宋" w:hint="eastAsia"/>
          <w:sz w:val="32"/>
          <w:szCs w:val="32"/>
        </w:rPr>
        <w:t>〔</w:t>
      </w:r>
      <w:r>
        <w:rPr>
          <w:rFonts w:ascii="仿宋" w:eastAsia="仿宋" w:cs="仿宋" w:hAnsi="仿宋" w:hint="eastAsia"/>
          <w:sz w:val="32"/>
          <w:szCs w:val="32"/>
          <w:lang w:val="en-US" w:eastAsia="zh-CN"/>
        </w:rPr>
        <w:t>2019</w:t>
      </w:r>
      <w:r>
        <w:rPr>
          <w:rFonts w:ascii="仿宋" w:eastAsia="仿宋" w:cs="仿宋" w:hAnsi="仿宋" w:hint="eastAsia"/>
          <w:sz w:val="32"/>
          <w:szCs w:val="32"/>
        </w:rPr>
        <w:t>〕</w:t>
      </w:r>
      <w:r>
        <w:rPr>
          <w:rFonts w:ascii="仿宋" w:eastAsia="仿宋" w:cs="仿宋" w:hAnsi="仿宋" w:hint="eastAsia"/>
          <w:sz w:val="32"/>
          <w:szCs w:val="32"/>
          <w:lang w:val="en-US" w:eastAsia="zh-CN"/>
        </w:rPr>
        <w:t>7</w:t>
      </w:r>
      <w:r>
        <w:rPr>
          <w:rFonts w:ascii="仿宋" w:eastAsia="仿宋" w:cs="仿宋" w:hAnsi="仿宋" w:hint="eastAsia"/>
          <w:sz w:val="32"/>
          <w:szCs w:val="32"/>
        </w:rPr>
        <w:t>号）要求，成立绩效评价工作组，对我</w:t>
      </w:r>
      <w:r>
        <w:rPr>
          <w:rFonts w:ascii="仿宋" w:eastAsia="仿宋" w:cs="仿宋" w:hAnsi="仿宋" w:hint="eastAsia"/>
          <w:sz w:val="32"/>
          <w:szCs w:val="32"/>
          <w:lang w:eastAsia="zh-CN"/>
        </w:rPr>
        <w:t>委全部</w:t>
      </w:r>
      <w:r>
        <w:rPr>
          <w:rFonts w:ascii="仿宋" w:eastAsia="仿宋" w:cs="仿宋" w:hAnsi="仿宋" w:hint="eastAsia"/>
          <w:sz w:val="32"/>
          <w:szCs w:val="32"/>
        </w:rPr>
        <w:t>的</w:t>
      </w:r>
      <w:r>
        <w:rPr>
          <w:rFonts w:ascii="仿宋" w:eastAsia="仿宋" w:cs="仿宋" w:hAnsi="仿宋" w:hint="eastAsia"/>
          <w:sz w:val="32"/>
          <w:szCs w:val="32"/>
          <w:lang w:eastAsia="zh-CN"/>
        </w:rPr>
        <w:t>资金</w:t>
      </w:r>
      <w:r>
        <w:rPr>
          <w:rFonts w:ascii="仿宋" w:eastAsia="仿宋" w:cs="仿宋" w:hAnsi="仿宋" w:hint="eastAsia"/>
          <w:sz w:val="32"/>
          <w:szCs w:val="32"/>
        </w:rPr>
        <w:t>项目，开展20</w:t>
      </w:r>
      <w:r>
        <w:rPr>
          <w:rFonts w:ascii="仿宋" w:eastAsia="仿宋" w:cs="仿宋" w:hAnsi="仿宋" w:hint="eastAsia"/>
          <w:sz w:val="32"/>
          <w:szCs w:val="32"/>
          <w:lang w:val="en-US" w:eastAsia="zh-CN"/>
        </w:rPr>
        <w:t>2</w:t>
      </w:r>
      <w:r>
        <w:rPr>
          <w:rFonts w:ascii="仿宋" w:eastAsia="仿宋" w:cs="仿宋" w:hAnsi="仿宋"/>
          <w:sz w:val="32"/>
          <w:szCs w:val="32"/>
          <w:lang w:val="en-US" w:eastAsia="zh-CN"/>
        </w:rPr>
        <w:t>4</w:t>
      </w:r>
      <w:r>
        <w:rPr>
          <w:rFonts w:ascii="仿宋" w:eastAsia="仿宋" w:cs="仿宋" w:hAnsi="仿宋" w:hint="eastAsia"/>
          <w:sz w:val="32"/>
          <w:szCs w:val="32"/>
        </w:rPr>
        <w:t>年度</w:t>
      </w:r>
      <w:r>
        <w:rPr>
          <w:rFonts w:ascii="仿宋" w:eastAsia="仿宋" w:cs="仿宋" w:hAnsi="仿宋" w:hint="eastAsia"/>
          <w:sz w:val="32"/>
          <w:szCs w:val="32"/>
          <w:lang w:eastAsia="zh-CN"/>
        </w:rPr>
        <w:t>部门整体</w:t>
      </w:r>
      <w:r>
        <w:rPr>
          <w:rFonts w:ascii="仿宋" w:eastAsia="仿宋" w:cs="仿宋" w:hAnsi="仿宋" w:hint="eastAsia"/>
          <w:sz w:val="32"/>
          <w:szCs w:val="32"/>
        </w:rPr>
        <w:t>绩效自评工作。</w:t>
      </w:r>
    </w:p>
    <w:p>
      <w:pPr>
        <w:keepNext w:val="0"/>
        <w:keepLines w:val="0"/>
        <w:pageBreakBefore w:val="0"/>
        <w:widowControl w:val="0"/>
        <w:kinsoku/>
        <w:wordWrap/>
        <w:overflowPunct/>
        <w:topLinePunct w:val="0"/>
        <w:autoSpaceDE/>
        <w:autoSpaceDN/>
        <w:adjustRightInd w:val="0"/>
        <w:snapToGrid w:val="0"/>
        <w:spacing w:line="560" w:lineRule="exact"/>
        <w:ind w:firstLineChars="200" w:firstLine="640"/>
        <w:rPr>
          <w:rFonts w:ascii="仿宋" w:eastAsia="仿宋" w:cs="仿宋" w:hAnsi="仿宋" w:hint="eastAsia"/>
          <w:sz w:val="32"/>
          <w:szCs w:val="32"/>
        </w:rPr>
      </w:pPr>
      <w:r>
        <w:rPr>
          <w:rFonts w:ascii="仿宋" w:eastAsia="仿宋" w:cs="仿宋" w:hAnsi="仿宋" w:hint="eastAsia"/>
          <w:sz w:val="32"/>
          <w:szCs w:val="32"/>
        </w:rPr>
        <w:t>绩效评价工作组根据工作方案，明确任务分工，确定评价程序及时间安排。根据20</w:t>
      </w:r>
      <w:r>
        <w:rPr>
          <w:rFonts w:ascii="仿宋" w:eastAsia="仿宋" w:cs="仿宋" w:hAnsi="仿宋" w:hint="eastAsia"/>
          <w:sz w:val="32"/>
          <w:szCs w:val="32"/>
          <w:lang w:val="en-US" w:eastAsia="zh-CN"/>
        </w:rPr>
        <w:t>2</w:t>
      </w:r>
      <w:r>
        <w:rPr>
          <w:rFonts w:ascii="仿宋" w:eastAsia="仿宋" w:cs="仿宋" w:hAnsi="仿宋"/>
          <w:sz w:val="32"/>
          <w:szCs w:val="32"/>
          <w:lang w:val="en-US" w:eastAsia="zh-CN"/>
        </w:rPr>
        <w:t>4</w:t>
      </w:r>
      <w:r>
        <w:rPr>
          <w:rFonts w:ascii="仿宋" w:eastAsia="仿宋" w:cs="仿宋" w:hAnsi="仿宋" w:hint="eastAsia"/>
          <w:sz w:val="32"/>
          <w:szCs w:val="32"/>
        </w:rPr>
        <w:t>年初设定的绩效目标完成情况和各绩效指标完成情况进行核实分析，填报《</w:t>
      </w:r>
      <w:r>
        <w:rPr>
          <w:rFonts w:ascii="仿宋" w:eastAsia="仿宋" w:cs="仿宋" w:hAnsi="仿宋" w:hint="eastAsia"/>
          <w:sz w:val="32"/>
          <w:szCs w:val="32"/>
          <w:lang w:val="en-US" w:eastAsia="zh-CN"/>
        </w:rPr>
        <w:t>202</w:t>
      </w:r>
      <w:r>
        <w:rPr>
          <w:rFonts w:ascii="仿宋" w:eastAsia="仿宋" w:cs="仿宋" w:hAnsi="仿宋"/>
          <w:sz w:val="32"/>
          <w:szCs w:val="32"/>
          <w:lang w:val="en-US" w:eastAsia="zh-CN"/>
        </w:rPr>
        <w:t>4</w:t>
      </w:r>
      <w:r>
        <w:rPr>
          <w:rFonts w:ascii="仿宋" w:eastAsia="仿宋" w:cs="仿宋" w:hAnsi="仿宋" w:hint="eastAsia"/>
          <w:sz w:val="32"/>
          <w:szCs w:val="32"/>
          <w:lang w:val="en-US" w:eastAsia="zh-CN"/>
        </w:rPr>
        <w:t>年</w:t>
      </w:r>
      <w:r>
        <w:rPr>
          <w:rFonts w:ascii="仿宋" w:eastAsia="仿宋" w:cs="仿宋" w:hAnsi="仿宋" w:hint="eastAsia"/>
          <w:sz w:val="32"/>
          <w:szCs w:val="32"/>
        </w:rPr>
        <w:t>项目绩效自评表》，并撰写绩效自评报告。</w:t>
      </w:r>
    </w:p>
    <w:p>
      <w:pPr>
        <w:numPr>
          <w:ilvl w:val="0"/>
          <w:numId w:val="1"/>
        </w:numPr>
        <w:spacing w:line="560" w:lineRule="exact"/>
        <w:rPr>
          <w:rFonts w:ascii="楷体" w:eastAsia="楷体" w:cs="楷体_GB2312" w:hAnsi="楷体"/>
          <w:bCs/>
          <w:sz w:val="32"/>
          <w:szCs w:val="32"/>
        </w:rPr>
      </w:pPr>
      <w:r>
        <w:rPr>
          <w:rFonts w:ascii="楷体" w:eastAsia="楷体" w:cs="楷体_GB2312" w:hAnsi="楷体" w:hint="eastAsia"/>
          <w:bCs/>
          <w:sz w:val="32"/>
          <w:szCs w:val="32"/>
        </w:rPr>
        <w:t>自评的方法和过程</w:t>
      </w:r>
    </w:p>
    <w:p>
      <w:pPr>
        <w:pBdr>
          <w:top w:val="none" w:sz="0" w:space="0" w:color="auto"/>
          <w:left w:val="none" w:sz="0" w:space="0" w:color="auto"/>
          <w:bottom w:val="none" w:sz="0" w:space="0" w:color="auto"/>
          <w:right w:val="none" w:sz="0" w:space="0" w:color="auto"/>
        </w:pBdr>
        <w:adjustRightInd w:val="0"/>
        <w:snapToGrid w:val="0"/>
        <w:spacing w:line="560" w:lineRule="exact"/>
        <w:ind w:left="0" w:firstLineChars="200" w:firstLine="640"/>
        <w:rPr>
          <w:rFonts w:ascii="仿宋" w:eastAsia="仿宋" w:cs="仿宋" w:hAnsi="仿宋" w:hint="eastAsia"/>
          <w:bCs/>
          <w:sz w:val="32"/>
          <w:szCs w:val="32"/>
        </w:rPr>
      </w:pPr>
      <w:r>
        <w:rPr>
          <w:rFonts w:ascii="仿宋" w:eastAsia="仿宋" w:cs="仿宋" w:hAnsi="仿宋" w:hint="eastAsia"/>
          <w:bCs/>
          <w:sz w:val="32"/>
          <w:szCs w:val="32"/>
        </w:rPr>
        <w:t>1.自评方法：一是台账核查法，通过全面查阅日常工作形成的台账、报表、巡察工作记录等，直接获取各项绩效指标的完成数据。二是自我对照法，综合股全体人员熟悉全部工作流程和指标要求，以个人和集体相结合的方式，对照区级绩效指标体系，逐项核对工作完成情况。三是服务对象回访法，通过实地调研、当面交流等简便方式，回访被巡察单位对巡察工作的意见建议，收集满意度打分情况。</w:t>
      </w:r>
    </w:p>
    <w:p>
      <w:pPr>
        <w:adjustRightInd w:val="0"/>
        <w:snapToGrid w:val="0"/>
        <w:spacing w:line="560" w:lineRule="exact"/>
        <w:ind w:firstLineChars="200" w:firstLine="640"/>
        <w:rPr>
          <w:rFonts w:ascii="仿宋" w:eastAsia="仿宋" w:cs="仿宋" w:hAnsi="仿宋" w:hint="eastAsia"/>
          <w:bCs/>
          <w:sz w:val="32"/>
          <w:szCs w:val="32"/>
        </w:rPr>
      </w:pPr>
      <w:r>
        <w:rPr>
          <w:rFonts w:ascii="仿宋" w:eastAsia="仿宋" w:cs="仿宋" w:hAnsi="仿宋" w:hint="eastAsia"/>
          <w:bCs/>
          <w:sz w:val="32"/>
          <w:szCs w:val="32"/>
        </w:rPr>
        <w:t>2.自评过程：</w:t>
      </w:r>
    </w:p>
    <w:p>
      <w:pPr>
        <w:pBdr>
          <w:top w:val="none" w:sz="0" w:space="0" w:color="auto"/>
          <w:left w:val="none" w:sz="0" w:space="0" w:color="auto"/>
          <w:bottom w:val="none" w:sz="0" w:space="0" w:color="auto"/>
          <w:right w:val="none" w:sz="0" w:space="0" w:color="auto"/>
        </w:pBdr>
        <w:adjustRightInd w:val="0"/>
        <w:snapToGrid w:val="0"/>
        <w:spacing w:line="560" w:lineRule="exact"/>
        <w:ind w:firstLineChars="200" w:firstLine="640"/>
        <w:rPr>
          <w:rFonts w:ascii="仿宋" w:eastAsia="仿宋" w:cs="仿宋" w:hAnsi="仿宋" w:hint="eastAsia"/>
          <w:bCs/>
          <w:sz w:val="32"/>
          <w:szCs w:val="32"/>
        </w:rPr>
      </w:pPr>
      <w:r>
        <w:rPr>
          <w:rFonts w:ascii="仿宋" w:eastAsia="仿宋" w:cs="仿宋" w:hAnsi="仿宋" w:hint="eastAsia"/>
          <w:bCs/>
          <w:sz w:val="32"/>
          <w:szCs w:val="32"/>
        </w:rPr>
        <w:t>（1）启动准备：单位负责人牵头，明确全体人员参与自评工作，结合综合股职责将绩效指标分解到个人，确保每人清楚负责的评估内容，同时整理现存的各类工作资料，为自评提供基础数据支持。​</w:t>
      </w:r>
    </w:p>
    <w:p>
      <w:pPr>
        <w:pBdr>
          <w:top w:val="none" w:sz="0" w:space="0" w:color="auto"/>
          <w:left w:val="none" w:sz="0" w:space="0" w:color="auto"/>
          <w:bottom w:val="none" w:sz="0" w:space="0" w:color="auto"/>
          <w:right w:val="none" w:sz="0" w:space="0" w:color="auto"/>
        </w:pBdr>
        <w:adjustRightInd w:val="0"/>
        <w:snapToGrid w:val="0"/>
        <w:spacing w:line="560" w:lineRule="exact"/>
        <w:ind w:firstLineChars="200" w:firstLine="640"/>
        <w:rPr>
          <w:rFonts w:ascii="仿宋" w:eastAsia="仿宋" w:cs="仿宋" w:hAnsi="仿宋" w:hint="eastAsia"/>
          <w:bCs/>
          <w:sz w:val="32"/>
          <w:szCs w:val="32"/>
        </w:rPr>
      </w:pPr>
      <w:r>
        <w:rPr>
          <w:rFonts w:ascii="仿宋" w:eastAsia="仿宋" w:cs="仿宋" w:hAnsi="仿宋" w:hint="eastAsia"/>
          <w:bCs/>
          <w:sz w:val="32"/>
          <w:szCs w:val="32"/>
        </w:rPr>
        <w:t>（2）指标评估：相关人员按照分工，依据各自负责的指标，运用台账核查法核对量化数据，如业务办理量、任务完成率等；通过自我对照法对工作作风、服务规范等定性指标进行初步评估，之后集体讨论形成统一意见。​</w:t>
      </w:r>
    </w:p>
    <w:p>
      <w:pPr>
        <w:pBdr>
          <w:top w:val="none" w:sz="0" w:space="0" w:color="auto"/>
          <w:left w:val="none" w:sz="0" w:space="0" w:color="auto"/>
          <w:bottom w:val="none" w:sz="0" w:space="0" w:color="auto"/>
          <w:right w:val="none" w:sz="0" w:space="0" w:color="auto"/>
        </w:pBdr>
        <w:adjustRightInd w:val="0"/>
        <w:snapToGrid w:val="0"/>
        <w:spacing w:line="560" w:lineRule="exact"/>
        <w:ind w:firstLineChars="200" w:firstLine="640"/>
        <w:rPr>
          <w:rFonts w:ascii="仿宋" w:eastAsia="仿宋" w:cs="仿宋" w:hAnsi="仿宋" w:hint="eastAsia"/>
          <w:bCs/>
          <w:sz w:val="32"/>
          <w:szCs w:val="32"/>
        </w:rPr>
      </w:pPr>
      <w:r>
        <w:rPr>
          <w:rFonts w:ascii="仿宋" w:eastAsia="仿宋" w:cs="仿宋" w:hAnsi="仿宋" w:hint="eastAsia"/>
          <w:bCs/>
          <w:sz w:val="32"/>
          <w:szCs w:val="32"/>
        </w:rPr>
        <w:t>（3）意见收集：对每轮被巡察单位进行回访，记录反馈意见，并将其作为评估服务类指标的重要参考，结合内部评估情况，进一步完善指标完成情况的判断。</w:t>
      </w:r>
    </w:p>
    <w:p>
      <w:pPr>
        <w:pBdr>
          <w:top w:val="none" w:sz="0" w:space="0" w:color="auto"/>
          <w:left w:val="none" w:sz="0" w:space="0" w:color="auto"/>
          <w:bottom w:val="none" w:sz="0" w:space="0" w:color="auto"/>
          <w:right w:val="none" w:sz="0" w:space="0" w:color="auto"/>
        </w:pBdr>
        <w:adjustRightInd w:val="0"/>
        <w:snapToGrid w:val="0"/>
        <w:spacing w:line="560" w:lineRule="exact"/>
        <w:ind w:firstLineChars="200" w:firstLine="640"/>
        <w:rPr>
          <w:rFonts w:ascii="仿宋" w:eastAsia="仿宋" w:cs="仿宋" w:hAnsi="仿宋" w:hint="eastAsia"/>
          <w:bCs/>
          <w:sz w:val="32"/>
          <w:szCs w:val="32"/>
        </w:rPr>
      </w:pPr>
      <w:r>
        <w:rPr>
          <w:rFonts w:ascii="仿宋" w:eastAsia="仿宋" w:cs="仿宋" w:hAnsi="仿宋" w:hint="eastAsia"/>
          <w:bCs/>
          <w:sz w:val="32"/>
          <w:szCs w:val="32"/>
        </w:rPr>
        <w:t>（4）报告形成：汇总所有评估结果，梳理指标完成的亮点与不足，深入分析未达标的原因，形成自评报告并确保报告全面反映工作实际。</w:t>
      </w:r>
    </w:p>
    <w:p>
      <w:pPr>
        <w:spacing w:line="560" w:lineRule="exact"/>
        <w:ind w:firstLineChars="200" w:firstLine="640"/>
        <w:rPr>
          <w:rFonts w:ascii="黑体" w:eastAsia="黑体" w:hAnsi="黑体"/>
          <w:b/>
          <w:bCs/>
          <w:sz w:val="32"/>
          <w:szCs w:val="32"/>
        </w:rPr>
      </w:pPr>
      <w:r>
        <w:rPr>
          <w:rFonts w:ascii="黑体" w:eastAsia="黑体" w:hAnsi="黑体" w:hint="eastAsia"/>
          <w:sz w:val="32"/>
          <w:szCs w:val="32"/>
        </w:rPr>
        <w:t xml:space="preserve"> 三、部门整体支出绩效目标实现情况及指标分析</w:t>
      </w:r>
    </w:p>
    <w:p>
      <w:pPr>
        <w:numPr>
          <w:ilvl w:val="0"/>
          <w:numId w:val="2"/>
        </w:numPr>
        <w:spacing w:line="560" w:lineRule="exact"/>
        <w:ind w:left="0" w:firstLineChars="200" w:firstLine="640"/>
        <w:rPr>
          <w:rFonts w:ascii="楷体" w:eastAsia="楷体" w:cs="楷体_GB2312" w:hAnsi="楷体"/>
          <w:bCs/>
          <w:sz w:val="32"/>
          <w:szCs w:val="32"/>
        </w:rPr>
      </w:pPr>
      <w:r>
        <w:rPr>
          <w:rFonts w:ascii="楷体" w:eastAsia="楷体" w:cs="楷体_GB2312" w:hAnsi="楷体" w:hint="eastAsia"/>
          <w:bCs/>
          <w:sz w:val="32"/>
          <w:szCs w:val="32"/>
        </w:rPr>
        <w:t>总体绩效目标实现情况</w:t>
      </w:r>
    </w:p>
    <w:p>
      <w:pPr>
        <w:pStyle w:val="17"/>
        <w:adjustRightInd w:val="0"/>
        <w:snapToGrid/>
        <w:spacing w:line="560" w:lineRule="exact"/>
        <w:ind w:leftChars="0" w:left="0" w:firstLineChars="200" w:firstLine="616"/>
        <w:contextualSpacing w:val="0"/>
        <w:rPr>
          <w:rFonts w:ascii="仿宋" w:eastAsia="仿宋" w:cs="仿宋" w:hAnsi="仿宋" w:hint="eastAsia"/>
          <w:spacing w:val="0"/>
          <w:szCs w:val="32"/>
        </w:rPr>
      </w:pPr>
      <w:r>
        <w:rPr>
          <w:rFonts w:ascii="仿宋" w:eastAsia="仿宋" w:cs="楷体_GB2312" w:hAnsi="仿宋" w:hint="eastAsia"/>
          <w:b/>
          <w:bCs/>
          <w:sz w:val="32"/>
          <w:szCs w:val="32"/>
        </w:rPr>
        <w:t xml:space="preserve">  </w:t>
      </w:r>
      <w:r>
        <w:rPr>
          <w:rStyle w:val="0"/>
          <w:rFonts w:ascii="仿宋" w:eastAsia="仿宋" w:cs="仿宋" w:hAnsi="仿宋" w:hint="eastAsia"/>
          <w:spacing w:val="0"/>
          <w:sz w:val="32"/>
          <w:szCs w:val="32"/>
          <w:lang w:val="en-US" w:eastAsia="zh-CN"/>
        </w:rPr>
        <w:t>202</w:t>
      </w:r>
      <w:r>
        <w:rPr>
          <w:rStyle w:val="0"/>
          <w:rFonts w:ascii="仿宋" w:eastAsia="仿宋" w:cs="仿宋" w:hAnsi="仿宋"/>
          <w:spacing w:val="0"/>
          <w:sz w:val="32"/>
          <w:szCs w:val="32"/>
          <w:lang w:val="en-US" w:eastAsia="zh-CN"/>
        </w:rPr>
        <w:t>4</w:t>
      </w:r>
      <w:r>
        <w:rPr>
          <w:rStyle w:val="0"/>
          <w:rFonts w:ascii="仿宋" w:eastAsia="仿宋" w:cs="仿宋" w:hAnsi="仿宋" w:hint="eastAsia"/>
          <w:spacing w:val="0"/>
          <w:sz w:val="32"/>
          <w:szCs w:val="32"/>
          <w:lang w:val="en-US" w:eastAsia="zh-CN"/>
        </w:rPr>
        <w:t>年以来，在市委正确领导和市委巡察办的具体指导下，中共井陉矿区委深入学习贯彻习近平新时代中国特色社会主义思想，坚决落实“</w:t>
      </w:r>
      <w:r>
        <w:rPr>
          <w:rStyle w:val="0"/>
          <w:rFonts w:ascii="仿宋" w:eastAsia="仿宋" w:cs="仿宋" w:hAnsi="仿宋" w:hint="eastAsia"/>
          <w:spacing w:val="0"/>
          <w:sz w:val="32"/>
          <w:szCs w:val="32"/>
        </w:rPr>
        <w:t>发现问题、形成震慑,推动改革、促进发展</w:t>
      </w:r>
      <w:r>
        <w:rPr>
          <w:rStyle w:val="0"/>
          <w:rFonts w:ascii="仿宋" w:eastAsia="仿宋" w:cs="仿宋" w:hAnsi="仿宋" w:hint="eastAsia"/>
          <w:spacing w:val="0"/>
          <w:sz w:val="32"/>
          <w:szCs w:val="32"/>
          <w:lang w:val="en-US" w:eastAsia="zh-CN"/>
        </w:rPr>
        <w:t>”巡视工作方针，充分发挥巡察监督利剑和密切联系群众纽带功能，夯实主体责任、建立完善机制、创新思路举措，全面推进以巡促改、以巡促建、以巡促治，</w:t>
      </w:r>
      <w:r>
        <w:rPr>
          <w:rStyle w:val="0"/>
          <w:rFonts w:ascii="仿宋" w:eastAsia="仿宋" w:cs="仿宋" w:hAnsi="仿宋" w:hint="eastAsia"/>
          <w:spacing w:val="0"/>
          <w:sz w:val="32"/>
          <w:szCs w:val="32"/>
          <w:lang w:val="en-US" w:eastAsia="zh-CN"/>
          <w:highlight w:val="auto"/>
        </w:rPr>
        <w:t>巡察工作取得明显成效。</w:t>
      </w:r>
    </w:p>
    <w:p>
      <w:pPr>
        <w:spacing w:line="560" w:lineRule="exact"/>
        <w:ind w:firstLineChars="200" w:firstLine="640"/>
        <w:rPr>
          <w:rFonts w:ascii="楷体" w:eastAsia="楷体" w:hAnsi="楷体"/>
          <w:bCs/>
          <w:sz w:val="32"/>
          <w:szCs w:val="32"/>
        </w:rPr>
      </w:pPr>
      <w:r>
        <w:rPr>
          <w:rFonts w:ascii="楷体" w:eastAsia="楷体" w:cs="楷体_GB2312" w:hAnsi="楷体" w:hint="eastAsia"/>
          <w:bCs/>
          <w:sz w:val="32"/>
          <w:szCs w:val="32"/>
        </w:rPr>
        <w:t>（二）分项绩效目标实现情况及指标分析</w:t>
      </w:r>
    </w:p>
    <w:p>
      <w:pPr>
        <w:widowControl w:val="0"/>
        <w:wordWrap/>
        <w:spacing w:line="560" w:lineRule="exact"/>
        <w:ind w:left="0" w:right="0" w:firstLineChars="200" w:firstLine="640"/>
        <w:textAlignment w:val="auto"/>
        <w:outlineLvl w:val="9"/>
        <w:rPr>
          <w:rFonts w:ascii="仿宋" w:eastAsia="仿宋" w:cs="仿宋" w:hAnsi="仿宋" w:hint="eastAsia"/>
          <w:sz w:val="32"/>
          <w:szCs w:val="32"/>
          <w:lang w:val="en-US" w:eastAsia="zh-CN"/>
        </w:rPr>
      </w:pPr>
      <w:r>
        <w:rPr>
          <w:rFonts w:ascii="仿宋" w:eastAsia="仿宋" w:cs="仿宋" w:hAnsi="仿宋" w:hint="eastAsia"/>
          <w:b/>
          <w:bCs/>
          <w:sz w:val="32"/>
          <w:szCs w:val="32"/>
          <w:lang w:val="en-US" w:eastAsia="zh-CN"/>
        </w:rPr>
        <w:t>1.</w:t>
      </w:r>
      <w:r>
        <w:rPr>
          <w:rFonts w:ascii="仿宋" w:eastAsia="仿宋" w:cs="仿宋" w:hAnsi="仿宋"/>
          <w:b/>
          <w:bCs/>
          <w:sz w:val="32"/>
          <w:szCs w:val="32"/>
          <w:lang w:val="en-US" w:eastAsia="zh-CN"/>
        </w:rPr>
        <w:t>巡察专项经费项目</w:t>
      </w:r>
      <w:r>
        <w:rPr>
          <w:rFonts w:ascii="仿宋" w:eastAsia="仿宋" w:cs="仿宋" w:hAnsi="仿宋" w:hint="eastAsia"/>
          <w:b/>
          <w:bCs/>
          <w:sz w:val="32"/>
          <w:szCs w:val="32"/>
          <w:lang w:val="en-US" w:eastAsia="zh-CN"/>
        </w:rPr>
        <w:t>：</w:t>
      </w:r>
      <w:r>
        <w:rPr>
          <w:rFonts w:ascii="仿宋" w:eastAsia="仿宋" w:cs="仿宋" w:hAnsi="仿宋" w:hint="eastAsia"/>
          <w:sz w:val="32"/>
          <w:szCs w:val="32"/>
        </w:rPr>
        <w:t>该项目预算为</w:t>
      </w:r>
      <w:r>
        <w:rPr>
          <w:rFonts w:ascii="仿宋" w:eastAsia="仿宋" w:cs="仿宋" w:hAnsi="仿宋"/>
          <w:sz w:val="32"/>
          <w:szCs w:val="32"/>
          <w:lang w:val="en-US" w:eastAsia="zh-CN"/>
        </w:rPr>
        <w:t>8.62</w:t>
      </w:r>
      <w:r>
        <w:rPr>
          <w:rFonts w:ascii="仿宋" w:eastAsia="仿宋" w:cs="仿宋" w:hAnsi="仿宋" w:hint="eastAsia"/>
          <w:sz w:val="32"/>
          <w:szCs w:val="32"/>
        </w:rPr>
        <w:t>万元，支出</w:t>
      </w:r>
      <w:r>
        <w:rPr>
          <w:rFonts w:ascii="仿宋" w:eastAsia="仿宋" w:cs="仿宋" w:hAnsi="仿宋"/>
          <w:sz w:val="32"/>
          <w:szCs w:val="32"/>
          <w:lang w:val="en-US" w:eastAsia="zh-CN"/>
        </w:rPr>
        <w:t>8.62</w:t>
      </w:r>
      <w:r>
        <w:rPr>
          <w:rFonts w:ascii="仿宋" w:eastAsia="仿宋" w:cs="仿宋" w:hAnsi="仿宋" w:hint="eastAsia"/>
          <w:sz w:val="32"/>
          <w:szCs w:val="32"/>
          <w:lang w:val="en-US" w:eastAsia="zh-CN"/>
        </w:rPr>
        <w:t>万元。</w:t>
      </w:r>
    </w:p>
    <w:p>
      <w:pPr>
        <w:pStyle w:val="18"/>
        <w:keepNext w:val="0"/>
        <w:keepLines w:val="0"/>
        <w:pageBreakBefore w:val="0"/>
        <w:widowControl w:val="0"/>
        <w:suppressLineNumbers w:val="0"/>
        <w:kinsoku w:val="0"/>
        <w:wordWrap/>
        <w:overflowPunct w:val="0"/>
        <w:topLinePunct w:val="0"/>
        <w:autoSpaceDE w:val="0"/>
        <w:autoSpaceDN w:val="0"/>
        <w:bidi w:val="0"/>
        <w:adjustRightInd/>
        <w:snapToGrid w:val="0"/>
        <w:spacing w:before="0" w:beforeAutospacing="0" w:after="0" w:afterAutospacing="0" w:line="600" w:lineRule="exact"/>
        <w:ind w:left="0" w:right="0" w:firstLineChars="200" w:firstLine="640"/>
        <w:jc w:val="left"/>
        <w:textAlignment w:val="auto"/>
        <w:rPr>
          <w:rFonts w:ascii="仿宋" w:eastAsia="仿宋" w:cs="仿宋" w:hAnsi="仿宋" w:hint="eastAsia"/>
          <w:sz w:val="32"/>
          <w:szCs w:val="32"/>
          <w:lang w:eastAsia="zh-CN"/>
        </w:rPr>
      </w:pPr>
      <w:r>
        <w:rPr>
          <w:rFonts w:ascii="仿宋" w:eastAsia="仿宋" w:cs="仿宋" w:hAnsi="仿宋" w:hint="eastAsia"/>
          <w:sz w:val="32"/>
          <w:szCs w:val="32"/>
        </w:rPr>
        <w:t>产出指标和效果指标完成情况</w:t>
      </w:r>
      <w:r>
        <w:rPr>
          <w:rFonts w:ascii="仿宋" w:eastAsia="仿宋" w:cs="仿宋" w:hAnsi="仿宋" w:hint="eastAsia"/>
          <w:sz w:val="32"/>
          <w:szCs w:val="32"/>
          <w:lang w:eastAsia="zh-CN"/>
        </w:rPr>
        <w:t>：</w:t>
      </w:r>
    </w:p>
    <w:p>
      <w:pPr>
        <w:spacing w:line="560" w:lineRule="exact"/>
        <w:ind w:firstLineChars="250" w:firstLine="800"/>
        <w:rPr>
          <w:rFonts w:ascii="仿宋" w:eastAsia="仿宋" w:cs="仿宋" w:hAnsi="仿宋" w:hint="eastAsia"/>
          <w:bCs/>
          <w:sz w:val="32"/>
          <w:szCs w:val="32"/>
        </w:rPr>
      </w:pPr>
      <w:r>
        <w:rPr>
          <w:rFonts w:ascii="仿宋" w:eastAsia="仿宋" w:cs="仿宋" w:hAnsi="仿宋"/>
          <w:bCs/>
          <w:sz w:val="32"/>
          <w:szCs w:val="32"/>
          <w:lang w:eastAsia="zh-CN"/>
        </w:rPr>
        <w:t>2024年</w:t>
      </w:r>
      <w:r>
        <w:rPr>
          <w:rFonts w:ascii="仿宋" w:eastAsia="仿宋" w:cs="仿宋" w:hAnsi="仿宋" w:hint="eastAsia"/>
          <w:bCs/>
          <w:sz w:val="32"/>
          <w:szCs w:val="32"/>
          <w:lang w:eastAsia="zh-CN"/>
        </w:rPr>
        <w:t>全力推进巡察全覆盖。</w:t>
      </w:r>
      <w:r>
        <w:rPr>
          <w:rFonts w:ascii="仿宋" w:eastAsia="仿宋" w:cs="仿宋" w:hAnsi="仿宋" w:hint="eastAsia"/>
          <w:bCs/>
          <w:sz w:val="32"/>
          <w:szCs w:val="32"/>
        </w:rPr>
        <w:t>坚持与市委巡察工作上下贯通，紧盯重点领域、回应群众关切，突出防范化解重大风险隐患目标，分别</w:t>
      </w:r>
      <w:r>
        <w:rPr>
          <w:rFonts w:ascii="仿宋" w:eastAsia="仿宋" w:cs="仿宋" w:hAnsi="仿宋" w:hint="eastAsia"/>
          <w:sz w:val="32"/>
          <w:szCs w:val="32"/>
        </w:rPr>
        <w:t>组织开展了十二届区委第六轮、第七轮、第八轮巡察，</w:t>
      </w:r>
      <w:r>
        <w:rPr>
          <w:rFonts w:ascii="仿宋" w:eastAsia="仿宋" w:cs="仿宋" w:hAnsi="仿宋" w:hint="eastAsia"/>
          <w:bCs/>
          <w:snapToGrid w:val="0"/>
          <w:sz w:val="32"/>
          <w:szCs w:val="32"/>
          <w:lang w:val="en-US"/>
        </w:rPr>
        <w:t>区委</w:t>
      </w:r>
      <w:r>
        <w:rPr>
          <w:rFonts w:ascii="仿宋" w:eastAsia="仿宋" w:cs="仿宋" w:hAnsi="仿宋" w:hint="eastAsia"/>
          <w:sz w:val="32"/>
          <w:szCs w:val="32"/>
        </w:rPr>
        <w:t>共</w:t>
      </w:r>
      <w:r>
        <w:rPr>
          <w:rFonts w:ascii="仿宋" w:eastAsia="仿宋" w:cs="仿宋" w:hAnsi="仿宋" w:hint="eastAsia"/>
          <w:bCs/>
          <w:snapToGrid w:val="0"/>
          <w:sz w:val="32"/>
          <w:szCs w:val="32"/>
          <w:lang w:val="en-US"/>
        </w:rPr>
        <w:t>组建9个巡察组</w:t>
      </w:r>
      <w:r>
        <w:rPr>
          <w:rFonts w:ascii="仿宋" w:eastAsia="仿宋" w:cs="仿宋" w:hAnsi="仿宋" w:hint="eastAsia"/>
          <w:sz w:val="32"/>
          <w:szCs w:val="32"/>
          <w:lang w:val="en-US"/>
        </w:rPr>
        <w:t>分别对教育系统、凤山镇党委、横涧乡党委、贾庄社区、中王舍社区等27个单位（社区）开展常规巡察，对区商务局、区农业农村局2个单位开展巡察“回头看”；</w:t>
      </w:r>
      <w:r>
        <w:rPr>
          <w:rFonts w:ascii="仿宋" w:eastAsia="仿宋" w:cs="仿宋" w:hAnsi="仿宋" w:hint="eastAsia"/>
          <w:sz w:val="32"/>
          <w:szCs w:val="32"/>
        </w:rPr>
        <w:t>配合市委对井陉矿区公安分局、井陉矿区人民检察院、井陉矿区人民法院开展提级巡察；对发改局、教育局、人社区局等5个单位开展</w:t>
      </w:r>
      <w:r>
        <w:rPr>
          <w:rFonts w:ascii="仿宋" w:eastAsia="仿宋" w:cs="仿宋" w:hAnsi="仿宋" w:hint="eastAsia"/>
          <w:bCs/>
          <w:sz w:val="32"/>
          <w:szCs w:val="32"/>
        </w:rPr>
        <w:t>整治群众反映强烈突出问题机动巡察，</w:t>
      </w:r>
      <w:r>
        <w:rPr>
          <w:rFonts w:ascii="仿宋" w:eastAsia="仿宋" w:cs="仿宋" w:hAnsi="仿宋" w:hint="eastAsia"/>
          <w:sz w:val="32"/>
          <w:szCs w:val="32"/>
          <w:lang w:val="en-US"/>
        </w:rPr>
        <w:t>覆盖率达到76.6%，</w:t>
      </w:r>
      <w:r>
        <w:rPr>
          <w:rFonts w:ascii="仿宋" w:eastAsia="仿宋" w:cs="仿宋" w:hAnsi="仿宋" w:hint="eastAsia"/>
          <w:bCs/>
          <w:sz w:val="32"/>
          <w:szCs w:val="32"/>
        </w:rPr>
        <w:t>常态化政治监督更加深入。</w:t>
      </w:r>
    </w:p>
    <w:p>
      <w:pPr>
        <w:spacing w:line="560" w:lineRule="exact"/>
        <w:ind w:firstLineChars="200" w:firstLine="640"/>
        <w:rPr>
          <w:rFonts w:ascii="黑体" w:eastAsia="黑体" w:hAnsi="黑体"/>
          <w:sz w:val="32"/>
          <w:szCs w:val="32"/>
        </w:rPr>
      </w:pPr>
      <w:r>
        <w:rPr>
          <w:rFonts w:ascii="黑体" w:eastAsia="黑体" w:hAnsi="黑体" w:hint="eastAsia"/>
          <w:sz w:val="32"/>
          <w:szCs w:val="32"/>
        </w:rPr>
        <w:t>四、评价结论和评价等级</w:t>
      </w:r>
    </w:p>
    <w:p>
      <w:pPr>
        <w:wordWrap/>
        <w:spacing w:line="560" w:lineRule="exact"/>
        <w:ind w:left="0" w:firstLineChars="200" w:firstLine="640"/>
        <w:rPr>
          <w:rFonts w:ascii="仿宋" w:eastAsia="仿宋" w:hAnsi="仿宋" w:hint="eastAsia"/>
          <w:sz w:val="32"/>
          <w:szCs w:val="32"/>
        </w:rPr>
      </w:pPr>
      <w:r>
        <w:rPr>
          <w:rFonts w:ascii="仿宋" w:eastAsia="仿宋" w:hAnsi="仿宋" w:hint="eastAsia"/>
          <w:sz w:val="32"/>
          <w:szCs w:val="32"/>
        </w:rPr>
        <w:t>根据</w:t>
      </w:r>
      <w:r>
        <w:rPr>
          <w:rFonts w:ascii="仿宋" w:eastAsia="仿宋" w:hAnsi="仿宋" w:hint="eastAsia"/>
          <w:sz w:val="32"/>
          <w:szCs w:val="32"/>
          <w:lang w:eastAsia="zh-CN"/>
        </w:rPr>
        <w:t>部门职责定位和各项工作履职情况进行综合评价</w:t>
      </w:r>
      <w:r>
        <w:rPr>
          <w:rFonts w:ascii="仿宋" w:eastAsia="仿宋" w:hAnsi="仿宋" w:hint="eastAsia"/>
          <w:sz w:val="32"/>
          <w:szCs w:val="32"/>
        </w:rPr>
        <w:t>，给出总得分，满分100分，得出综合绩效评价等级。</w:t>
      </w:r>
      <w:r>
        <w:rPr>
          <w:rFonts w:ascii="仿宋" w:eastAsia="仿宋" w:hAnsi="仿宋" w:hint="eastAsia"/>
          <w:sz w:val="32"/>
          <w:szCs w:val="32"/>
          <w:lang w:eastAsia="zh-CN"/>
        </w:rPr>
        <w:t>部门整体支出</w:t>
      </w:r>
      <w:r>
        <w:rPr>
          <w:rFonts w:ascii="仿宋" w:eastAsia="仿宋" w:hAnsi="仿宋" w:hint="eastAsia"/>
          <w:sz w:val="32"/>
          <w:szCs w:val="32"/>
        </w:rPr>
        <w:t>综合绩效评价分</w:t>
      </w:r>
      <w:r>
        <w:rPr>
          <w:rFonts w:ascii="仿宋" w:eastAsia="仿宋" w:hAnsi="仿宋"/>
          <w:sz w:val="32"/>
          <w:szCs w:val="32"/>
          <w:lang w:val="en-US" w:eastAsia="zh-CN"/>
        </w:rPr>
        <w:t>100</w:t>
      </w:r>
      <w:r>
        <w:rPr>
          <w:rFonts w:ascii="仿宋" w:eastAsia="仿宋" w:hAnsi="仿宋" w:hint="eastAsia"/>
          <w:sz w:val="32"/>
          <w:szCs w:val="32"/>
          <w:lang w:val="en-US" w:eastAsia="zh-CN"/>
        </w:rPr>
        <w:t>分，自评为</w:t>
      </w:r>
      <w:r>
        <w:rPr>
          <w:rFonts w:ascii="仿宋" w:eastAsia="仿宋" w:hAnsi="仿宋"/>
          <w:sz w:val="32"/>
          <w:szCs w:val="32"/>
          <w:lang w:val="en-US" w:eastAsia="zh-CN"/>
        </w:rPr>
        <w:t>：</w:t>
      </w:r>
      <w:r>
        <w:rPr>
          <w:rFonts w:ascii="仿宋" w:eastAsia="仿宋" w:hAnsi="仿宋" w:hint="eastAsia"/>
          <w:sz w:val="32"/>
          <w:szCs w:val="32"/>
          <w:lang w:val="en-US" w:eastAsia="zh-CN"/>
        </w:rPr>
        <w:t>优秀。</w:t>
      </w:r>
    </w:p>
    <w:p>
      <w:pPr>
        <w:spacing w:line="560" w:lineRule="exact"/>
        <w:ind w:firstLineChars="200" w:firstLine="640"/>
        <w:rPr>
          <w:rFonts w:ascii="黑体" w:eastAsia="黑体" w:hAnsi="黑体"/>
          <w:sz w:val="32"/>
          <w:szCs w:val="32"/>
        </w:rPr>
      </w:pPr>
      <w:r>
        <w:rPr>
          <w:rFonts w:ascii="黑体" w:eastAsia="黑体" w:hAnsi="黑体" w:hint="eastAsia"/>
          <w:sz w:val="32"/>
          <w:szCs w:val="32"/>
        </w:rPr>
        <w:t>五、存在的问题及改进措施</w:t>
      </w:r>
    </w:p>
    <w:p>
      <w:pPr>
        <w:spacing w:line="560" w:lineRule="exact"/>
        <w:ind w:firstLineChars="200" w:firstLine="640"/>
        <w:rPr>
          <w:rFonts w:ascii="楷体" w:eastAsia="楷体" w:hAnsi="楷体"/>
          <w:bCs/>
          <w:sz w:val="32"/>
          <w:szCs w:val="32"/>
        </w:rPr>
      </w:pPr>
      <w:r>
        <w:rPr>
          <w:rFonts w:ascii="楷体" w:eastAsia="楷体" w:hAnsi="楷体" w:hint="eastAsia"/>
          <w:bCs/>
          <w:sz w:val="32"/>
          <w:szCs w:val="32"/>
        </w:rPr>
        <w:t>（一）存在的主要问题</w:t>
      </w:r>
    </w:p>
    <w:p>
      <w:pPr>
        <w:spacing w:line="560" w:lineRule="exact"/>
        <w:ind w:firstLineChars="200" w:firstLine="640"/>
        <w:rPr>
          <w:rFonts w:ascii="仿宋" w:eastAsia="仿宋" w:hAnsi="仿宋" w:hint="eastAsia"/>
          <w:bCs/>
          <w:sz w:val="32"/>
          <w:szCs w:val="32"/>
        </w:rPr>
      </w:pPr>
      <w:r>
        <w:rPr>
          <w:rFonts w:ascii="仿宋" w:eastAsia="仿宋" w:cs="仿宋_GB2312" w:hAnsi="仿宋"/>
          <w:bCs/>
          <w:sz w:val="32"/>
          <w:szCs w:val="32"/>
        </w:rPr>
        <w:t>项目</w:t>
      </w:r>
      <w:r>
        <w:rPr>
          <w:rFonts w:ascii="仿宋" w:eastAsia="仿宋" w:cs="仿宋_GB2312" w:hAnsi="仿宋" w:hint="eastAsia"/>
          <w:bCs/>
          <w:sz w:val="32"/>
          <w:szCs w:val="32"/>
        </w:rPr>
        <w:t>绩效评价在预期指标设定上简单化，未设置经济效益、社会效益、生态效益指标。</w:t>
      </w:r>
    </w:p>
    <w:p>
      <w:pPr>
        <w:spacing w:line="560" w:lineRule="exact"/>
        <w:ind w:firstLineChars="200" w:firstLine="640"/>
        <w:rPr>
          <w:rFonts w:ascii="楷体" w:eastAsia="楷体" w:hAnsi="楷体"/>
          <w:bCs/>
          <w:sz w:val="32"/>
          <w:szCs w:val="32"/>
        </w:rPr>
      </w:pPr>
      <w:r>
        <w:rPr>
          <w:rFonts w:ascii="楷体" w:eastAsia="楷体" w:hAnsi="楷体" w:hint="eastAsia"/>
          <w:bCs/>
          <w:sz w:val="32"/>
          <w:szCs w:val="32"/>
        </w:rPr>
        <w:t>（二）针对问题提出具体的改进措施或建议</w:t>
      </w:r>
    </w:p>
    <w:p>
      <w:pPr>
        <w:spacing w:line="560" w:lineRule="exact"/>
        <w:ind w:firstLineChars="200" w:firstLine="640"/>
        <w:rPr>
          <w:rFonts w:ascii="仿宋" w:eastAsia="仿宋" w:cs="仿宋_GB2312" w:hAnsi="仿宋" w:hint="eastAsia"/>
          <w:bCs/>
          <w:sz w:val="32"/>
          <w:szCs w:val="32"/>
        </w:rPr>
      </w:pPr>
      <w:r>
        <w:rPr>
          <w:rFonts w:ascii="仿宋" w:eastAsia="仿宋" w:cs="仿宋_GB2312" w:hAnsi="仿宋" w:hint="eastAsia"/>
          <w:bCs/>
          <w:sz w:val="32"/>
          <w:szCs w:val="32"/>
        </w:rPr>
        <w:t>针对绩效指标设定中存在的问题，从实际出发，在202</w:t>
      </w:r>
      <w:r>
        <w:rPr>
          <w:rFonts w:ascii="仿宋" w:eastAsia="仿宋" w:cs="仿宋_GB2312" w:hAnsi="仿宋" w:hint="eastAsia"/>
          <w:bCs/>
          <w:sz w:val="32"/>
          <w:szCs w:val="32"/>
          <w:lang w:val="en-US" w:eastAsia="zh-CN"/>
        </w:rPr>
        <w:t>5</w:t>
      </w:r>
      <w:r>
        <w:rPr>
          <w:rFonts w:ascii="仿宋" w:eastAsia="仿宋" w:cs="仿宋_GB2312" w:hAnsi="仿宋" w:hint="eastAsia"/>
          <w:bCs/>
          <w:sz w:val="32"/>
          <w:szCs w:val="32"/>
        </w:rPr>
        <w:t>年项目绩效目标填报中增强指标的可评价性和可量化性，合理如实的反映资金使用的绩效成果，审核实现绩效目标所需资金的合理性以及填报的规范性、完整性，提高财政支出产生的社会效益和经济效益。</w:t>
      </w:r>
    </w:p>
    <w:p>
      <w:pPr>
        <w:spacing w:line="560" w:lineRule="exact"/>
        <w:ind w:firstLineChars="200" w:firstLine="640"/>
        <w:rPr>
          <w:rFonts w:ascii="仿宋" w:eastAsia="仿宋" w:cs="仿宋_GB2312" w:hAnsi="仿宋" w:hint="eastAsia"/>
          <w:bCs/>
          <w:sz w:val="32"/>
          <w:szCs w:val="32"/>
        </w:rPr>
      </w:pPr>
      <w:r>
        <w:rPr>
          <w:rFonts w:ascii="仿宋" w:eastAsia="仿宋" w:cs="仿宋_GB2312" w:hAnsi="仿宋" w:hint="eastAsia"/>
          <w:bCs/>
          <w:sz w:val="32"/>
          <w:szCs w:val="32"/>
        </w:rPr>
        <w:t>在以后的工作中，根据年度工作计划制定具体、可衡量、可实现的绩效目标，明确支出的必要性、可行性和有效性，并围绕绩效目标编制清晰、量化、便于考核的绩效指标。进一步重视绩效评价工作，切实发挥绩效评价结果应用的作用，通过绩效评价应用实践，优化对比分析，总结实践中的经验和教训，强化资金管理水平、提高资金使用效益，在更高层次上实现资源配置的公平性和合理性。</w:t>
      </w:r>
    </w:p>
    <w:p>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六、评价工作组人员名单及签字（姓名、工作单位、职务、职称）</w:t>
      </w:r>
    </w:p>
    <w:p>
      <w:pPr>
        <w:adjustRightInd w:val="0"/>
        <w:snapToGrid w:val="0"/>
        <w:spacing w:line="560" w:lineRule="exact"/>
        <w:ind w:firstLineChars="200" w:firstLine="640"/>
        <w:rPr>
          <w:rFonts w:ascii="黑体" w:eastAsia="黑体" w:hAnsi="黑体"/>
          <w:sz w:val="32"/>
          <w:szCs w:val="32"/>
        </w:rPr>
      </w:pPr>
    </w:p>
    <w:tbl>
      <w:tblPr>
        <w:jc w:val="left"/>
        <w:tblInd w:w="0" w:type="dxa"/>
        <w:tblW w:w="9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2265"/>
        <w:gridCol w:w="2265"/>
        <w:gridCol w:w="2265"/>
        <w:gridCol w:w="2266"/>
      </w:tblGrid>
      <w:tr>
        <w:tc>
          <w:tcPr>
            <w:tcW w:w="2265" w:type="dxa"/>
          </w:tcPr>
          <w:p>
            <w:pPr>
              <w:widowControl w:val="0"/>
              <w:wordWrap/>
              <w:spacing w:line="560" w:lineRule="exact"/>
              <w:ind w:right="0"/>
              <w:jc w:val="center"/>
              <w:textAlignment w:val="auto"/>
              <w:outlineLvl w:val="9"/>
              <w:rPr>
                <w:rFonts w:ascii="仿宋" w:eastAsia="仿宋" w:hAnsi="仿宋" w:hint="eastAsia"/>
                <w:sz w:val="32"/>
                <w:szCs w:val="32"/>
                <w:vertAlign w:val="baseline"/>
                <w:lang w:eastAsia="zh-CN"/>
              </w:rPr>
            </w:pPr>
            <w:r>
              <w:rPr>
                <w:rFonts w:ascii="仿宋" w:eastAsia="仿宋" w:hAnsi="仿宋" w:hint="eastAsia"/>
                <w:sz w:val="32"/>
                <w:szCs w:val="32"/>
                <w:vertAlign w:val="baseline"/>
                <w:lang w:eastAsia="zh-CN"/>
              </w:rPr>
              <w:t>姓名</w:t>
            </w:r>
          </w:p>
        </w:tc>
        <w:tc>
          <w:tcPr>
            <w:tcW w:w="2265" w:type="dxa"/>
          </w:tcPr>
          <w:p>
            <w:pPr>
              <w:widowControl w:val="0"/>
              <w:wordWrap/>
              <w:spacing w:line="560" w:lineRule="exact"/>
              <w:ind w:right="0"/>
              <w:jc w:val="center"/>
              <w:textAlignment w:val="auto"/>
              <w:outlineLvl w:val="9"/>
              <w:rPr>
                <w:rFonts w:ascii="仿宋" w:eastAsia="仿宋" w:hAnsi="仿宋" w:hint="eastAsia"/>
                <w:sz w:val="32"/>
                <w:szCs w:val="32"/>
                <w:vertAlign w:val="baseline"/>
                <w:lang w:eastAsia="zh-CN"/>
              </w:rPr>
            </w:pPr>
            <w:r>
              <w:rPr>
                <w:rFonts w:ascii="仿宋" w:eastAsia="仿宋" w:hAnsi="仿宋" w:hint="eastAsia"/>
                <w:sz w:val="32"/>
                <w:szCs w:val="32"/>
                <w:vertAlign w:val="baseline"/>
                <w:lang w:eastAsia="zh-CN"/>
              </w:rPr>
              <w:t>工作单位</w:t>
            </w:r>
          </w:p>
        </w:tc>
        <w:tc>
          <w:tcPr>
            <w:tcW w:w="2265" w:type="dxa"/>
          </w:tcPr>
          <w:p>
            <w:pPr>
              <w:widowControl w:val="0"/>
              <w:wordWrap/>
              <w:spacing w:line="560" w:lineRule="exact"/>
              <w:ind w:right="0"/>
              <w:jc w:val="center"/>
              <w:textAlignment w:val="auto"/>
              <w:outlineLvl w:val="9"/>
              <w:rPr>
                <w:rFonts w:ascii="仿宋" w:eastAsia="仿宋" w:hAnsi="仿宋" w:hint="eastAsia"/>
                <w:sz w:val="32"/>
                <w:szCs w:val="32"/>
                <w:vertAlign w:val="baseline"/>
                <w:lang w:eastAsia="zh-CN"/>
              </w:rPr>
            </w:pPr>
            <w:r>
              <w:rPr>
                <w:rFonts w:ascii="仿宋" w:eastAsia="仿宋" w:hAnsi="仿宋" w:hint="eastAsia"/>
                <w:sz w:val="32"/>
                <w:szCs w:val="32"/>
                <w:vertAlign w:val="baseline"/>
                <w:lang w:eastAsia="zh-CN"/>
              </w:rPr>
              <w:t>职务</w:t>
            </w:r>
          </w:p>
        </w:tc>
        <w:tc>
          <w:tcPr>
            <w:tcW w:w="2266" w:type="dxa"/>
          </w:tcPr>
          <w:p>
            <w:pPr>
              <w:widowControl w:val="0"/>
              <w:wordWrap/>
              <w:spacing w:line="560" w:lineRule="exact"/>
              <w:ind w:right="0"/>
              <w:jc w:val="center"/>
              <w:textAlignment w:val="auto"/>
              <w:outlineLvl w:val="9"/>
              <w:rPr>
                <w:rFonts w:ascii="仿宋" w:eastAsia="仿宋" w:hAnsi="仿宋" w:hint="eastAsia"/>
                <w:sz w:val="32"/>
                <w:szCs w:val="32"/>
                <w:vertAlign w:val="baseline"/>
                <w:lang w:eastAsia="zh-CN"/>
              </w:rPr>
            </w:pPr>
            <w:r>
              <w:rPr>
                <w:rFonts w:ascii="仿宋" w:eastAsia="仿宋" w:hAnsi="仿宋" w:hint="eastAsia"/>
                <w:sz w:val="32"/>
                <w:szCs w:val="32"/>
                <w:vertAlign w:val="baseline"/>
                <w:lang w:eastAsia="zh-CN"/>
              </w:rPr>
              <w:t>签字</w:t>
            </w:r>
          </w:p>
        </w:tc>
      </w:tr>
      <w:tr>
        <w:tc>
          <w:tcPr>
            <w:tcW w:w="2265" w:type="dxa"/>
            <w:tcBorders>
              <w:top w:val="single" w:sz="4" w:space="0" w:color="auto"/>
              <w:left w:val="single" w:sz="4" w:space="0" w:color="auto"/>
              <w:right w:val="single" w:sz="4" w:space="0" w:color="auto"/>
            </w:tcBorders>
          </w:tcPr>
          <w:p>
            <w:pPr>
              <w:widowControl w:val="0"/>
              <w:wordWrap/>
              <w:spacing w:line="560" w:lineRule="exact"/>
              <w:ind w:right="0"/>
              <w:jc w:val="center"/>
              <w:textAlignment w:val="auto"/>
              <w:outlineLvl w:val="9"/>
              <w:rPr>
                <w:rFonts w:ascii="仿宋" w:eastAsia="仿宋" w:hAnsi="仿宋" w:hint="eastAsia"/>
                <w:sz w:val="24"/>
                <w:szCs w:val="24"/>
                <w:vertAlign w:val="baseline"/>
                <w:lang w:eastAsia="zh-CN"/>
              </w:rPr>
            </w:pPr>
            <w:r>
              <w:rPr>
                <w:rFonts w:ascii="仿宋" w:eastAsia="仿宋" w:hAnsi="仿宋"/>
                <w:sz w:val="24"/>
                <w:szCs w:val="24"/>
                <w:vertAlign w:val="baseline"/>
                <w:lang w:eastAsia="zh-CN"/>
              </w:rPr>
              <w:t>冯春亮</w:t>
            </w:r>
          </w:p>
        </w:tc>
        <w:tc>
          <w:tcPr>
            <w:tcW w:w="2265" w:type="dxa"/>
            <w:tcBorders>
              <w:top w:val="single" w:sz="4" w:space="0" w:color="auto"/>
              <w:left w:val="single" w:sz="4" w:space="0" w:color="auto"/>
              <w:right w:val="single" w:sz="4" w:space="0" w:color="auto"/>
            </w:tcBorders>
          </w:tcPr>
          <w:p>
            <w:pPr>
              <w:widowControl w:val="0"/>
              <w:wordWrap/>
              <w:spacing w:line="560" w:lineRule="exact"/>
              <w:ind w:right="0"/>
              <w:jc w:val="center"/>
              <w:textAlignment w:val="auto"/>
              <w:outlineLvl w:val="9"/>
              <w:rPr>
                <w:rFonts w:ascii="仿宋" w:eastAsia="仿宋" w:hAnsi="仿宋" w:hint="eastAsia"/>
                <w:sz w:val="24"/>
                <w:szCs w:val="24"/>
                <w:vertAlign w:val="baseline"/>
                <w:lang w:eastAsia="zh-CN"/>
              </w:rPr>
            </w:pPr>
            <w:r>
              <w:rPr>
                <w:rFonts w:ascii="仿宋" w:eastAsia="仿宋" w:hAnsi="仿宋" w:hint="eastAsia"/>
                <w:sz w:val="24"/>
                <w:szCs w:val="24"/>
                <w:vertAlign w:val="baseline"/>
                <w:lang w:eastAsia="zh-CN"/>
              </w:rPr>
              <w:t>区委巡察办</w:t>
            </w:r>
          </w:p>
        </w:tc>
        <w:tc>
          <w:tcPr>
            <w:tcW w:w="2265" w:type="dxa"/>
            <w:tcBorders>
              <w:top w:val="single" w:sz="4" w:space="0" w:color="auto"/>
              <w:left w:val="single" w:sz="4" w:space="0" w:color="auto"/>
              <w:right w:val="single" w:sz="4" w:space="0" w:color="auto"/>
            </w:tcBorders>
          </w:tcPr>
          <w:p>
            <w:pPr>
              <w:wordWrap/>
              <w:spacing w:line="560" w:lineRule="exact"/>
              <w:jc w:val="center"/>
              <w:rPr>
                <w:rFonts w:ascii="仿宋" w:eastAsia="仿宋" w:hAnsi="仿宋"/>
                <w:sz w:val="24"/>
                <w:szCs w:val="24"/>
                <w:vertAlign w:val="baseline"/>
                <w:lang w:val="en-US" w:eastAsia="zh-CN"/>
              </w:rPr>
            </w:pPr>
            <w:r>
              <w:rPr>
                <w:rFonts w:ascii="仿宋" w:eastAsia="仿宋" w:hAnsi="仿宋" w:hint="eastAsia"/>
                <w:sz w:val="24"/>
                <w:szCs w:val="24"/>
                <w:vertAlign w:val="baseline"/>
                <w:lang w:eastAsia="zh-CN"/>
              </w:rPr>
              <w:t>区委巡察办主任</w:t>
            </w:r>
            <w:r>
              <w:rPr>
                <w:rFonts w:ascii="仿宋" w:eastAsia="仿宋" w:hAnsi="仿宋" w:hint="eastAsia"/>
                <w:sz w:val="24"/>
                <w:szCs w:val="24"/>
                <w:vertAlign w:val="baseline"/>
                <w:lang w:val="en-US" w:eastAsia="zh-CN"/>
              </w:rPr>
              <w:t xml:space="preserve"> </w:t>
            </w:r>
          </w:p>
        </w:tc>
        <w:tc>
          <w:tcPr>
            <w:tcW w:w="2266" w:type="dxa"/>
            <w:tcBorders>
              <w:top w:val="single" w:sz="4" w:space="0" w:color="auto"/>
              <w:left w:val="single" w:sz="4" w:space="0" w:color="auto"/>
              <w:right w:val="single" w:sz="4" w:space="0" w:color="auto"/>
            </w:tcBorders>
          </w:tcPr>
          <w:p>
            <w:pPr>
              <w:widowControl w:val="0"/>
              <w:wordWrap/>
              <w:spacing w:line="560" w:lineRule="exact"/>
              <w:ind w:right="0"/>
              <w:jc w:val="center"/>
              <w:textAlignment w:val="auto"/>
              <w:outlineLvl w:val="9"/>
              <w:rPr>
                <w:rFonts w:ascii="仿宋" w:eastAsia="仿宋" w:hAnsi="仿宋"/>
                <w:sz w:val="24"/>
                <w:szCs w:val="24"/>
                <w:vertAlign w:val="baseline"/>
              </w:rPr>
            </w:pPr>
          </w:p>
        </w:tc>
      </w:tr>
      <w:tr>
        <w:tc>
          <w:tcPr>
            <w:tcW w:w="2265" w:type="dxa"/>
            <w:tcBorders>
              <w:top w:val="single" w:sz="4" w:space="0" w:color="auto"/>
              <w:left w:val="single" w:sz="4" w:space="0" w:color="auto"/>
              <w:right w:val="single" w:sz="4" w:space="0" w:color="auto"/>
            </w:tcBorders>
          </w:tcPr>
          <w:p>
            <w:pPr>
              <w:wordWrap/>
              <w:spacing w:line="560" w:lineRule="exact"/>
              <w:jc w:val="center"/>
              <w:rPr>
                <w:rFonts w:ascii="仿宋" w:eastAsia="仿宋" w:hAnsi="仿宋"/>
                <w:sz w:val="24"/>
                <w:szCs w:val="24"/>
                <w:vertAlign w:val="baseline"/>
                <w:lang w:eastAsia="zh-CN"/>
              </w:rPr>
            </w:pPr>
            <w:r>
              <w:rPr>
                <w:rFonts w:ascii="仿宋" w:eastAsia="仿宋" w:hAnsi="仿宋"/>
                <w:sz w:val="24"/>
                <w:szCs w:val="24"/>
                <w:vertAlign w:val="baseline"/>
                <w:lang w:eastAsia="zh-CN"/>
              </w:rPr>
              <w:t>葛泽元</w:t>
            </w:r>
          </w:p>
        </w:tc>
        <w:tc>
          <w:tcPr>
            <w:tcW w:w="2265" w:type="dxa"/>
            <w:tcBorders>
              <w:top w:val="single" w:sz="4" w:space="0" w:color="auto"/>
              <w:left w:val="single" w:sz="4" w:space="0" w:color="auto"/>
              <w:right w:val="single" w:sz="4" w:space="0" w:color="auto"/>
            </w:tcBorders>
          </w:tcPr>
          <w:p>
            <w:pPr>
              <w:wordWrap/>
              <w:spacing w:line="560" w:lineRule="exact"/>
              <w:jc w:val="center"/>
              <w:rPr>
                <w:rFonts w:ascii="仿宋" w:eastAsia="仿宋" w:hAnsi="仿宋"/>
                <w:sz w:val="24"/>
                <w:szCs w:val="24"/>
                <w:vertAlign w:val="baseline"/>
                <w:lang w:eastAsia="zh-CN"/>
              </w:rPr>
            </w:pPr>
            <w:r>
              <w:rPr>
                <w:rFonts w:ascii="仿宋" w:eastAsia="仿宋" w:hAnsi="仿宋"/>
                <w:sz w:val="24"/>
                <w:szCs w:val="24"/>
                <w:vertAlign w:val="baseline"/>
                <w:lang w:eastAsia="zh-CN"/>
              </w:rPr>
              <w:t>区委巡察办</w:t>
            </w:r>
          </w:p>
        </w:tc>
        <w:tc>
          <w:tcPr>
            <w:tcW w:w="2265" w:type="dxa"/>
            <w:tcBorders>
              <w:top w:val="single" w:sz="4" w:space="0" w:color="auto"/>
              <w:left w:val="single" w:sz="4" w:space="0" w:color="auto"/>
              <w:right w:val="single" w:sz="4" w:space="0" w:color="auto"/>
            </w:tcBorders>
          </w:tcPr>
          <w:p>
            <w:pPr>
              <w:wordWrap/>
              <w:spacing w:line="560" w:lineRule="exact"/>
              <w:jc w:val="center"/>
              <w:rPr>
                <w:rFonts w:ascii="仿宋" w:eastAsia="仿宋" w:hAnsi="仿宋"/>
                <w:sz w:val="24"/>
                <w:szCs w:val="24"/>
                <w:vertAlign w:val="baseline"/>
                <w:lang w:eastAsia="zh-CN"/>
              </w:rPr>
            </w:pPr>
            <w:r>
              <w:rPr>
                <w:rFonts w:ascii="仿宋" w:eastAsia="仿宋" w:hAnsi="仿宋"/>
                <w:sz w:val="24"/>
                <w:szCs w:val="24"/>
                <w:vertAlign w:val="baseline"/>
                <w:lang w:eastAsia="zh-CN"/>
              </w:rPr>
              <w:t>区委巡察办副主任</w:t>
            </w:r>
          </w:p>
        </w:tc>
        <w:tc>
          <w:tcPr>
            <w:tcW w:w="2266" w:type="dxa"/>
            <w:tcBorders>
              <w:top w:val="single" w:sz="4" w:space="0" w:color="auto"/>
              <w:left w:val="single" w:sz="4" w:space="0" w:color="auto"/>
              <w:right w:val="single" w:sz="4" w:space="0" w:color="auto"/>
            </w:tcBorders>
          </w:tcPr>
          <w:p>
            <w:pPr>
              <w:wordWrap/>
              <w:spacing w:line="560" w:lineRule="exact"/>
              <w:jc w:val="center"/>
              <w:rPr>
                <w:rFonts w:ascii="仿宋" w:eastAsia="仿宋" w:hAnsi="仿宋"/>
                <w:sz w:val="24"/>
                <w:szCs w:val="24"/>
                <w:vertAlign w:val="baseline"/>
              </w:rPr>
            </w:pPr>
          </w:p>
        </w:tc>
      </w:tr>
      <w:tr>
        <w:tc>
          <w:tcPr>
            <w:tcW w:w="2265" w:type="dxa"/>
            <w:tcBorders>
              <w:top w:val="single" w:sz="4" w:space="0" w:color="auto"/>
              <w:left w:val="single" w:sz="4" w:space="0" w:color="auto"/>
              <w:right w:val="single" w:sz="4" w:space="0" w:color="auto"/>
            </w:tcBorders>
          </w:tcPr>
          <w:p>
            <w:pPr>
              <w:widowControl w:val="0"/>
              <w:wordWrap/>
              <w:spacing w:line="560" w:lineRule="exact"/>
              <w:ind w:right="0"/>
              <w:jc w:val="center"/>
              <w:textAlignment w:val="auto"/>
              <w:outlineLvl w:val="9"/>
              <w:rPr>
                <w:rFonts w:ascii="仿宋" w:eastAsia="仿宋" w:hAnsi="仿宋" w:hint="eastAsia"/>
                <w:sz w:val="24"/>
                <w:szCs w:val="24"/>
                <w:vertAlign w:val="baseline"/>
                <w:lang w:eastAsia="zh-CN"/>
              </w:rPr>
            </w:pPr>
            <w:r>
              <w:rPr>
                <w:rFonts w:ascii="仿宋" w:eastAsia="仿宋" w:hAnsi="仿宋"/>
                <w:sz w:val="24"/>
                <w:szCs w:val="24"/>
                <w:vertAlign w:val="baseline"/>
                <w:lang w:eastAsia="zh-CN"/>
              </w:rPr>
              <w:t>郭红琇</w:t>
            </w:r>
          </w:p>
        </w:tc>
        <w:tc>
          <w:tcPr>
            <w:tcW w:w="2265" w:type="dxa"/>
            <w:tcBorders>
              <w:top w:val="single" w:sz="4" w:space="0" w:color="auto"/>
              <w:left w:val="single" w:sz="4" w:space="0" w:color="auto"/>
              <w:right w:val="single" w:sz="4" w:space="0" w:color="auto"/>
            </w:tcBorders>
          </w:tcPr>
          <w:p>
            <w:pPr>
              <w:widowControl w:val="0"/>
              <w:wordWrap/>
              <w:spacing w:line="560" w:lineRule="exact"/>
              <w:ind w:right="0"/>
              <w:jc w:val="center"/>
              <w:textAlignment w:val="auto"/>
              <w:outlineLvl w:val="9"/>
              <w:rPr>
                <w:rFonts w:ascii="仿宋" w:eastAsia="仿宋" w:hAnsi="仿宋" w:hint="eastAsia"/>
                <w:sz w:val="24"/>
                <w:szCs w:val="24"/>
                <w:vertAlign w:val="baseline"/>
                <w:lang w:eastAsia="zh-CN"/>
              </w:rPr>
            </w:pPr>
            <w:r>
              <w:rPr>
                <w:rFonts w:ascii="仿宋" w:eastAsia="仿宋" w:hAnsi="仿宋" w:hint="eastAsia"/>
                <w:sz w:val="24"/>
                <w:szCs w:val="24"/>
                <w:vertAlign w:val="baseline"/>
                <w:lang w:eastAsia="zh-CN"/>
              </w:rPr>
              <w:t>区委巡察办</w:t>
            </w:r>
          </w:p>
        </w:tc>
        <w:tc>
          <w:tcPr>
            <w:tcW w:w="2265" w:type="dxa"/>
            <w:tcBorders>
              <w:top w:val="single" w:sz="4" w:space="0" w:color="auto"/>
              <w:left w:val="single" w:sz="4" w:space="0" w:color="auto"/>
              <w:right w:val="single" w:sz="4" w:space="0" w:color="auto"/>
            </w:tcBorders>
          </w:tcPr>
          <w:p>
            <w:pPr>
              <w:widowControl w:val="0"/>
              <w:wordWrap/>
              <w:spacing w:line="560" w:lineRule="exact"/>
              <w:ind w:right="0"/>
              <w:jc w:val="center"/>
              <w:textAlignment w:val="auto"/>
              <w:outlineLvl w:val="9"/>
              <w:rPr>
                <w:rFonts w:ascii="仿宋" w:eastAsia="仿宋" w:hAnsi="仿宋" w:hint="eastAsia"/>
                <w:sz w:val="24"/>
                <w:szCs w:val="24"/>
                <w:vertAlign w:val="baseline"/>
                <w:lang w:eastAsia="zh-CN"/>
              </w:rPr>
            </w:pPr>
            <w:r>
              <w:rPr>
                <w:rFonts w:ascii="仿宋" w:eastAsia="仿宋" w:hAnsi="仿宋"/>
                <w:sz w:val="24"/>
                <w:szCs w:val="24"/>
                <w:vertAlign w:val="baseline"/>
                <w:lang w:eastAsia="zh-CN"/>
              </w:rPr>
              <w:t>综合股负责人</w:t>
            </w:r>
          </w:p>
        </w:tc>
        <w:tc>
          <w:tcPr>
            <w:tcW w:w="2266" w:type="dxa"/>
            <w:tcBorders>
              <w:top w:val="single" w:sz="4" w:space="0" w:color="auto"/>
              <w:left w:val="single" w:sz="4" w:space="0" w:color="auto"/>
              <w:right w:val="single" w:sz="4" w:space="0" w:color="auto"/>
            </w:tcBorders>
          </w:tcPr>
          <w:p>
            <w:pPr>
              <w:widowControl w:val="0"/>
              <w:wordWrap/>
              <w:spacing w:line="560" w:lineRule="exact"/>
              <w:ind w:right="0"/>
              <w:jc w:val="center"/>
              <w:textAlignment w:val="auto"/>
              <w:outlineLvl w:val="9"/>
              <w:rPr>
                <w:rFonts w:ascii="仿宋" w:eastAsia="仿宋" w:hAnsi="仿宋"/>
                <w:sz w:val="24"/>
                <w:szCs w:val="24"/>
                <w:vertAlign w:val="baseline"/>
              </w:rPr>
            </w:pPr>
          </w:p>
        </w:tc>
      </w:tr>
      <w:tr>
        <w:tc>
          <w:tcPr>
            <w:tcW w:w="2265" w:type="dxa"/>
            <w:tcBorders>
              <w:top w:val="single" w:sz="4" w:space="0" w:color="auto"/>
              <w:left w:val="single" w:sz="4" w:space="0" w:color="auto"/>
              <w:right w:val="single" w:sz="4" w:space="0" w:color="auto"/>
            </w:tcBorders>
          </w:tcPr>
          <w:p>
            <w:pPr>
              <w:widowControl w:val="0"/>
              <w:wordWrap/>
              <w:spacing w:line="560" w:lineRule="exact"/>
              <w:ind w:right="0"/>
              <w:jc w:val="center"/>
              <w:textAlignment w:val="auto"/>
              <w:outlineLvl w:val="9"/>
              <w:rPr>
                <w:rFonts w:ascii="仿宋" w:eastAsia="仿宋" w:hAnsi="仿宋" w:hint="eastAsia"/>
                <w:sz w:val="24"/>
                <w:szCs w:val="24"/>
                <w:vertAlign w:val="baseline"/>
                <w:lang w:eastAsia="zh-CN"/>
              </w:rPr>
            </w:pPr>
            <w:r>
              <w:rPr>
                <w:rFonts w:ascii="仿宋" w:eastAsia="仿宋" w:hAnsi="仿宋" w:hint="eastAsia"/>
                <w:sz w:val="24"/>
                <w:szCs w:val="24"/>
                <w:vertAlign w:val="baseline"/>
                <w:lang w:eastAsia="zh-CN"/>
              </w:rPr>
              <w:t>孙颖</w:t>
            </w:r>
          </w:p>
        </w:tc>
        <w:tc>
          <w:tcPr>
            <w:tcW w:w="2265" w:type="dxa"/>
            <w:tcBorders>
              <w:top w:val="single" w:sz="4" w:space="0" w:color="auto"/>
              <w:left w:val="single" w:sz="4" w:space="0" w:color="auto"/>
              <w:right w:val="single" w:sz="4" w:space="0" w:color="auto"/>
            </w:tcBorders>
          </w:tcPr>
          <w:p>
            <w:pPr>
              <w:widowControl w:val="0"/>
              <w:wordWrap/>
              <w:spacing w:line="560" w:lineRule="exact"/>
              <w:ind w:right="0"/>
              <w:jc w:val="center"/>
              <w:textAlignment w:val="auto"/>
              <w:outlineLvl w:val="9"/>
              <w:rPr>
                <w:rFonts w:ascii="仿宋" w:eastAsia="仿宋" w:hAnsi="仿宋" w:hint="eastAsia"/>
                <w:sz w:val="24"/>
                <w:szCs w:val="24"/>
                <w:vertAlign w:val="baseline"/>
                <w:lang w:eastAsia="zh-CN"/>
              </w:rPr>
            </w:pPr>
            <w:r>
              <w:rPr>
                <w:rFonts w:ascii="仿宋" w:eastAsia="仿宋" w:hAnsi="仿宋" w:hint="eastAsia"/>
                <w:sz w:val="24"/>
                <w:szCs w:val="24"/>
                <w:vertAlign w:val="baseline"/>
                <w:lang w:eastAsia="zh-CN"/>
              </w:rPr>
              <w:t>区委巡察办</w:t>
            </w:r>
          </w:p>
        </w:tc>
        <w:tc>
          <w:tcPr>
            <w:tcW w:w="2265" w:type="dxa"/>
            <w:tcBorders>
              <w:top w:val="single" w:sz="4" w:space="0" w:color="auto"/>
              <w:left w:val="single" w:sz="4" w:space="0" w:color="auto"/>
              <w:right w:val="single" w:sz="4" w:space="0" w:color="auto"/>
            </w:tcBorders>
          </w:tcPr>
          <w:p>
            <w:pPr>
              <w:widowControl w:val="0"/>
              <w:wordWrap/>
              <w:spacing w:line="560" w:lineRule="exact"/>
              <w:ind w:right="0"/>
              <w:jc w:val="center"/>
              <w:textAlignment w:val="auto"/>
              <w:outlineLvl w:val="9"/>
              <w:rPr>
                <w:rFonts w:ascii="仿宋" w:eastAsia="仿宋" w:hAnsi="仿宋" w:hint="eastAsia"/>
                <w:sz w:val="24"/>
                <w:szCs w:val="24"/>
                <w:vertAlign w:val="baseline"/>
                <w:lang w:eastAsia="zh-CN"/>
              </w:rPr>
            </w:pPr>
            <w:r>
              <w:rPr>
                <w:rFonts w:ascii="仿宋" w:eastAsia="仿宋" w:hAnsi="仿宋"/>
                <w:sz w:val="24"/>
                <w:szCs w:val="24"/>
                <w:vertAlign w:val="baseline"/>
                <w:lang w:eastAsia="zh-CN"/>
              </w:rPr>
              <w:t>四级主任</w:t>
            </w:r>
            <w:r>
              <w:rPr>
                <w:rFonts w:ascii="仿宋" w:eastAsia="仿宋" w:hAnsi="仿宋" w:hint="eastAsia"/>
                <w:sz w:val="24"/>
                <w:szCs w:val="24"/>
                <w:vertAlign w:val="baseline"/>
                <w:lang w:eastAsia="zh-CN"/>
              </w:rPr>
              <w:t>科员</w:t>
            </w:r>
          </w:p>
        </w:tc>
        <w:tc>
          <w:tcPr>
            <w:tcW w:w="2266" w:type="dxa"/>
            <w:tcBorders>
              <w:top w:val="single" w:sz="4" w:space="0" w:color="auto"/>
              <w:left w:val="single" w:sz="4" w:space="0" w:color="auto"/>
              <w:right w:val="single" w:sz="4" w:space="0" w:color="auto"/>
            </w:tcBorders>
          </w:tcPr>
          <w:p>
            <w:pPr>
              <w:widowControl w:val="0"/>
              <w:wordWrap/>
              <w:spacing w:line="560" w:lineRule="exact"/>
              <w:ind w:right="0"/>
              <w:jc w:val="center"/>
              <w:textAlignment w:val="auto"/>
              <w:outlineLvl w:val="9"/>
              <w:rPr>
                <w:rFonts w:ascii="仿宋" w:eastAsia="仿宋" w:hAnsi="仿宋"/>
                <w:sz w:val="24"/>
                <w:szCs w:val="24"/>
                <w:vertAlign w:val="baseline"/>
              </w:rPr>
            </w:pPr>
          </w:p>
        </w:tc>
      </w:tr>
    </w:tbl>
    <w:p>
      <w:pPr>
        <w:spacing w:line="560" w:lineRule="exact"/>
        <w:rPr>
          <w:rFonts w:ascii="仿宋" w:eastAsia="仿宋" w:hAnsi="仿宋"/>
        </w:rPr>
      </w:pPr>
      <w:bookmarkStart w:id="0" w:name="_GoBack"/>
      <w:bookmarkEnd w:id="0"/>
    </w:p>
    <w:sectPr>
      <w:footerReference w:type="default" r:id="rId2"/>
      <w:pgSz w:w="11906" w:h="16838"/>
      <w:pgMar w:top="1440" w:right="1474" w:bottom="1440" w:left="1587" w:header="851" w:footer="992" w:gutter="0"/>
      <w:pgNumType w:fmt="numberInDash"/>
      <w:docGrid w:type="lines" w:linePitch="312" w:charSpace="0"/>
    </w:sectPr>
  </w:body>
</w:document>
</file>

<file path=word/fontTable.xml><?xml version="1.0" encoding="utf-8"?>
<w:fonts xmlns:w="http://schemas.openxmlformats.org/wordprocessingml/2006/main" xmlns:r="http://schemas.openxmlformats.org/officeDocument/2006/relationships">
  <w:font w:name="宋体">
    <w:panose1 w:val="02010600030101010101"/>
    <w:charset w:val="86"/>
    <w:family w:val="auto"/>
    <w:pitch w:val="variable"/>
    <w:sig w:usb0="00000203" w:usb1="288F0000" w:usb2="00000006" w:usb3="00000000" w:csb0="00040001" w:csb1="00000000"/>
  </w:font>
  <w:font w:name="黑体">
    <w:panose1 w:val="02010609060101010101"/>
    <w:charset w:val="86"/>
    <w:family w:val="auto"/>
    <w:pitch w:val="variable"/>
    <w:sig w:usb0="800002BF" w:usb1="38CF7CFA" w:usb2="00000016" w:usb3="00000000" w:csb0="00040001" w:csb1="00000000"/>
  </w:font>
  <w:font w:name="华文楷体">
    <w:altName w:val="汉仪中黑 197"/>
    <w:panose1 w:val="02010600040101010101"/>
    <w:charset w:val="86"/>
    <w:family w:val="auto"/>
    <w:pitch w:val="variable"/>
    <w:sig w:usb0="00000287" w:usb1="080F0000" w:usb2="00000000" w:usb3="00000000" w:csb0="0004009F" w:csb1="DFD70000"/>
  </w:font>
  <w:font w:name="仿宋">
    <w:panose1 w:val="02010609060101010101"/>
    <w:charset w:val="86"/>
    <w:family w:val="modern"/>
    <w:pitch w:val="variable"/>
    <w:sig w:usb0="800002BF" w:usb1="38CF7CFA" w:usb2="00000016" w:usb3="00000000" w:csb0="00040001" w:csb1="00000000"/>
  </w:font>
  <w:font w:name="楷体">
    <w:panose1 w:val="02010609060101010101"/>
    <w:charset w:val="86"/>
    <w:family w:val="modern"/>
    <w:pitch w:val="variable"/>
    <w:sig w:usb0="800002BF" w:usb1="38CF7CFA" w:usb2="00000016" w:usb3="00000000" w:csb0="00040001" w:csb1="00000000"/>
  </w:font>
  <w:font w:name="楷体_GB2312">
    <w:panose1 w:val="02010609030101010101"/>
    <w:charset w:val="86"/>
    <w:family w:val="auto"/>
    <w:pitch w:val="variable"/>
    <w:sig w:usb0="00000001" w:usb1="080E0000" w:usb2="00000000" w:usb3="00000000" w:csb0="00040000" w:csb1="00000000"/>
  </w:font>
  <w:font w:name="仿宋_GB2312">
    <w:panose1 w:val="02010609030101010101"/>
    <w:charset w:val="86"/>
    <w:family w:val="auto"/>
    <w:pitch w:val="variable"/>
    <w:sig w:usb0="00000001" w:usb1="080E0000" w:usb2="00000000" w:usb3="00000000" w:csb0="00040000" w:csb1="00000000"/>
  </w:font>
  <w:font w:name="Times New Roman">
    <w:panose1 w:val="02020603050405020304"/>
    <w:charset w:val="00"/>
    <w:family w:val="roman"/>
    <w:pitch w:val="variable"/>
    <w:sig w:usb0="20007A87" w:usb1="80000000" w:usb2="00000008" w:usb3="00000000" w:csb0="000001FF" w:csb1="00000000"/>
  </w:font>
  <w:font w:name="Arial">
    <w:panose1 w:val="020B0604020202020204"/>
    <w:charset w:val="01"/>
    <w:family w:val="swiss"/>
    <w:pitch w:val="variable"/>
    <w:sig w:usb0="E0002EFF" w:usb1="C000785B" w:usb2="00000009" w:usb3="00000000" w:csb0="400001FF" w:csb1="FFFF0000"/>
  </w:font>
  <w:font w:name="Calibri">
    <w:panose1 w:val="020F0502020204030204"/>
    <w:charset w:val="00"/>
    <w:family w:val="swiss"/>
    <w:pitch w:val="variable"/>
    <w:sig w:usb0="E4002EFF" w:usb1="C000247B" w:usb2="00000009" w:usb3="00000000" w:csb0="200001FF"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5"/>
      <w:tabs>
        <w:tab w:val="center" w:pos="4153"/>
        <w:tab w:val="right" w:pos="8306"/>
      </w:tabs>
    </w:pPr>
    <w:r>
      <mc:AlternateContent>
        <mc:Choice Requires="wps">
          <w:drawing>
            <wp:anchor distT="0" distB="0" distL="91438" distR="91438" simplePos="0" relativeHeight="12" behindDoc="0" locked="0" layoutInCell="1" hidden="0" allowOverlap="1">
              <wp:simplePos x="0" y="0"/>
              <wp:positionH relativeFrom="margin">
                <wp:align>center</wp:align>
              </wp:positionH>
              <wp:positionV relativeFrom="paragraph">
                <wp:posOffset>76</wp:posOffset>
              </wp:positionV>
              <wp:extent cx="444500" cy="230251"/>
              <wp:effectExtent l="0" t="0" r="0" b="0"/>
              <wp:wrapNone/>
              <wp:docPr id="1" name="Quad Arrow 3073"/>
              <wp:cNvGraphicFramePr>
                <a:graphicFrameLocks noChangeAspect="0"/>
              </wp:cNvGraphicFramePr>
              <a:graphic>
                <a:graphicData uri="http://schemas.microsoft.com/office/word/2010/wordprocessingShape">
                  <wps:wsp>
                    <wps:cNvSpPr/>
                    <wps:spPr>
                      <a:xfrm rot="0">
                        <a:off x="0" y="0"/>
                        <a:ext cx="444500" cy="230251"/>
                      </a:xfrm>
                      <a:prstGeom prst="rect"/>
                      <a:noFill/>
                      <a:ln w="9525" cmpd="sng" cap="flat">
                        <a:noFill/>
                        <a:prstDash val="solid"/>
                        <a:miter/>
                      </a:ln>
                    </wps:spPr>
                    <wps:txbx id="2">
                      <w:txbxContent>
                        <w:p>
                          <w:pPr>
                            <w:snapToGrid w:val="0"/>
                            <w:rPr>
                              <w:rFonts w:ascii="宋体" w:cs="宋体" w:hint="eastAsia"/>
                              <w:sz w:val="28"/>
                              <w:szCs w:val="28"/>
                            </w:rPr>
                          </w:pPr>
                          <w:r>
                            <w:rPr>
                              <w:rFonts w:ascii="宋体" w:cs="宋体" w:hint="eastAsia"/>
                              <w:sz w:val="28"/>
                              <w:szCs w:val="28"/>
                            </w:rPr>
                            <w:fldChar w:fldCharType="begin"/>
                          </w:r>
                          <w:r>
                            <w:rPr>
                              <w:rFonts w:ascii="宋体" w:cs="宋体" w:hint="eastAsia"/>
                              <w:sz w:val="28"/>
                              <w:szCs w:val="28"/>
                            </w:rPr>
                            <w:instrText xml:space="preserve"> PAGE  \* MERGEFORMAT </w:instrText>
                          </w:r>
                          <w:r>
                            <w:rPr>
                              <w:rFonts w:ascii="宋体" w:cs="宋体" w:hint="eastAsia"/>
                              <w:sz w:val="28"/>
                              <w:szCs w:val="28"/>
                            </w:rPr>
                            <w:fldChar w:fldCharType="separate"/>
                          </w:r>
                          <w:r>
                            <w:rPr>
                              <w:rFonts w:ascii="宋体" w:cs="宋体" w:hint="eastAsia"/>
                              <w:sz w:val="28"/>
                              <w:szCs w:val="28"/>
                            </w:rPr>
                            <w:t>- 1 -</w:t>
                          </w:r>
                          <w:r>
                            <w:rPr>
                              <w:rFonts w:ascii="宋体" w:cs="宋体" w:hint="eastAsia"/>
                              <w:sz w:val="28"/>
                              <w:szCs w:val="28"/>
                            </w:rPr>
                            <w:fldChar w:fldCharType="end"/>
                          </w:r>
                        </w:p>
                      </w:txbxContent>
                    </wps:txbx>
                    <wps:bodyPr vert="horz" wrap="none" lIns="0" tIns="0" rIns="0" bIns="0" anchor="t" anchorCtr="0" upright="1">
                      <a:spAutoFit/>
                    </wps:bodyPr>
                  </wps:wsp>
                </a:graphicData>
              </a:graphic>
            </wp:anchor>
          </w:drawing>
        </mc:Choice>
        <mc:Fallback>
          <w:pict>
            <v:shape type="#_x0000_t202" id="Quad Arrow 3073 3" o:spid="_x0000_s3" filled="f" stroked="f" style="position:absolute;margin-left:0.0pt;margin-top:0.0060057677pt;width:35.00002pt;height:18.13002pt;z-index:12;mso-position-horizontal:center;mso-position-horizontal-relative:margin;mso-position-vertical:absolute;mso-wrap-distance-left:7.19989pt;mso-wrap-distance-right:7.19989pt;mso-wrap-style:none;">
              <v:stroke color="#000000"/>
              <v:textbox id="848" inset="0mm,0mm,0mm,0mm" o:insetmode="custom" style="layout-flow:horizontal;v-text-anchor:top;mso-fit-shape-to-text:t;">
                <w:txbxContent>
                  <w:p>
                    <w:pPr>
                      <w:snapToGrid w:val="0"/>
                      <w:rPr>
                        <w:rFonts w:ascii="宋体" w:cs="宋体" w:hint="eastAsia"/>
                        <w:sz w:val="28"/>
                        <w:szCs w:val="28"/>
                      </w:rPr>
                    </w:pPr>
                    <w:r>
                      <w:rPr>
                        <w:rFonts w:ascii="宋体" w:cs="宋体" w:hint="eastAsia"/>
                        <w:sz w:val="28"/>
                        <w:szCs w:val="28"/>
                      </w:rPr>
                      <w:fldChar w:fldCharType="begin"/>
                    </w:r>
                    <w:r>
                      <w:rPr>
                        <w:rFonts w:ascii="宋体" w:cs="宋体" w:hint="eastAsia"/>
                        <w:sz w:val="28"/>
                        <w:szCs w:val="28"/>
                      </w:rPr>
                      <w:instrText xml:space="preserve"> PAGE  \* MERGEFORMAT </w:instrText>
                    </w:r>
                    <w:r>
                      <w:rPr>
                        <w:rFonts w:ascii="宋体" w:cs="宋体" w:hint="eastAsia"/>
                        <w:sz w:val="28"/>
                        <w:szCs w:val="28"/>
                      </w:rPr>
                      <w:fldChar w:fldCharType="separate"/>
                    </w:r>
                    <w:r>
                      <w:rPr>
                        <w:rFonts w:ascii="宋体" w:cs="宋体" w:hint="eastAsia"/>
                        <w:sz w:val="28"/>
                        <w:szCs w:val="28"/>
                      </w:rPr>
                      <w:t>- 1 -</w:t>
                    </w:r>
                    <w:r>
                      <w:rPr>
                        <w:rFonts w:ascii="宋体" w:cs="宋体" w:hint="eastAsia"/>
                        <w:sz w:val="28"/>
                        <w:szCs w:val="28"/>
                      </w:rPr>
                      <w:fldChar w:fldCharType="end"/>
                    </w:r>
                  </w:p>
                </w:txbxContent>
              </v:textbox>
            </v:shape>
          </w:pict>
        </mc:Fallback>
      </mc:AlternateContent>
    </w:r>
  </w:p>
</w:ftr>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0516AA81"/>
    <w:multiLevelType w:val="singleLevel"/>
    <w:tmpl w:val="0516AA81"/>
    <w:lvl w:ilvl="0">
      <w:start w:val="2"/>
      <w:numFmt w:val="chineseCounting"/>
      <w:lvlRestart w:val="0"/>
      <w:suff w:val="nothing"/>
      <w:lvlText w:val="（%1）"/>
      <w:lvlJc w:val="left"/>
      <w:pPr>
        <w:ind w:left="642" w:hanging="0"/>
      </w:pPr>
      <w:rPr>
        <w:rFonts w:hint="eastAsia"/>
      </w:rPr>
    </w:lvl>
  </w:abstractNum>
  <w:abstractNum w:abstractNumId="1">
    <w:nsid w:val="5E68489B"/>
    <w:multiLevelType w:val="singleLevel"/>
    <w:tmpl w:val="5E68489B"/>
    <w:lvl w:ilvl="0">
      <w:start w:val="1"/>
      <w:numFmt w:val="chineseCounting"/>
      <w:lvlRestart w:val="0"/>
      <w:suff w:val="nothing"/>
      <w:lvlText w:val="（%1）"/>
      <w:lvlJc w:val="left"/>
      <w:pPr>
        <w:ind w:left="0" w:hanging="0"/>
      </w:pPr>
      <w:rPr>
        <w:rFonts w:ascii="楷体" w:hAnsi="楷体" w:eastAsia="楷体"/>
      </w:rPr>
    </w:lvl>
  </w:abstractNum>
  <w:num w:numId="1">
    <w:abstractNumId w:val="0"/>
  </w:num>
  <w:num w:numId="2">
    <w:abstractNumId w:val="1"/>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documentProtection w:edit="readOnly"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doNotUseIndentAsNumberingTabStop/>
    <w:useAltKinsokuLineBreakRules/>
    <w:doNotSuppressIndentation/>
    <w:splitPgBreakAndParaMark/>
    <w:compatSetting w:name="compatibilityMode" w:uri="http://schemas.microsoft.com/office/word" w:val="11"/>
  </w:compat>
  <w:docVars>
    <w:docVar w:name="commondata" w:val="eyJoZGlkIjoiYzgxMzVhZTBlNDUyZWUxNDVhMjNkN2E1NjFlOTE5NDcifQ=="/>
  </w:docVars>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pPr>
      <w:widowControl w:val="0"/>
      <w:jc w:val="both"/>
    </w:pPr>
    <w:rPr>
      <w:rFonts w:ascii="Calibri" w:eastAsia="宋体" w:cs="黑体" w:hAnsi="Calibri"/>
      <w:kern w:val="2"/>
      <w:sz w:val="21"/>
      <w:szCs w:val="22"/>
      <w:lang w:val="en-US" w:eastAsia="zh-CN" w:bidi="ar-SA"/>
    </w:rPr>
  </w:style>
  <w:style w:type="paragraph" w:styleId="1">
    <w:name w:val="heading 1"/>
    <w:basedOn w:val="0"/>
    <w:next w:val="0"/>
    <w:pPr>
      <w:keepNext/>
      <w:keepLines/>
      <w:widowControl w:val="0"/>
      <w:spacing w:before="340" w:after="330" w:line="578" w:lineRule="auto"/>
      <w:outlineLvl w:val="0"/>
    </w:pPr>
    <w:rPr>
      <w:b/>
      <w:bCs/>
      <w:kern w:val="44"/>
      <w:sz w:val="44"/>
      <w:szCs w:val="44"/>
    </w:rPr>
  </w:style>
  <w:style w:type="paragraph" w:styleId="2">
    <w:name w:val="heading 2"/>
    <w:basedOn w:val="0"/>
    <w:next w:val="0"/>
    <w:pPr>
      <w:keepNext/>
      <w:keepLines/>
      <w:widowControl w:val="0"/>
      <w:spacing w:before="260" w:after="260" w:line="415" w:lineRule="auto"/>
      <w:outlineLvl w:val="1"/>
    </w:pPr>
    <w:rPr>
      <w:rFonts w:ascii="Times New Roman" w:eastAsia="黑体" w:hAnsi="Times New Roman"/>
      <w:b/>
      <w:bCs/>
      <w:sz w:val="32"/>
      <w:szCs w:val="32"/>
    </w:rPr>
  </w:style>
  <w:style w:type="paragraph" w:styleId="3">
    <w:name w:val="heading 3"/>
    <w:basedOn w:val="0"/>
    <w:next w:val="0"/>
    <w:pPr>
      <w:keepNext/>
      <w:keepLines/>
      <w:widowControl w:val="0"/>
      <w:spacing w:before="260" w:after="260" w:line="415" w:lineRule="auto"/>
      <w:outlineLvl w:val="2"/>
    </w:pPr>
    <w:rPr>
      <w:b/>
      <w:bCs/>
      <w:sz w:val="32"/>
      <w:szCs w:val="32"/>
    </w:rPr>
  </w:style>
  <w:style w:type="character" w:default="1" w:styleId="10">
    <w:name w:val="Default Paragraph Font"/>
  </w:style>
  <w:style w:type="paragraph" w:styleId="15">
    <w:name w:val="footer"/>
    <w:basedOn w:val="0"/>
    <w:pPr>
      <w:tabs>
        <w:tab w:val="center" w:pos="4153"/>
        <w:tab w:val="right" w:pos="8306"/>
      </w:tabs>
      <w:snapToGrid w:val="0"/>
      <w:jc w:val="left"/>
    </w:pPr>
    <w:rPr>
      <w:sz w:val="18"/>
    </w:rPr>
  </w:style>
  <w:style w:type="paragraph" w:styleId="16">
    <w:name w:val="header"/>
    <w:basedOn w:val="0"/>
    <w:pPr>
      <w:pBdr>
        <w:top w:val="none" w:sz="0" w:space="0" w:color="auto"/>
        <w:left w:val="none" w:sz="0" w:space="0" w:color="auto"/>
        <w:bottom w:val="none" w:sz="0" w:space="0" w:color="auto"/>
        <w:right w:val="none" w:sz="0" w:space="0" w:color="auto"/>
      </w:pBdr>
      <w:tabs>
        <w:tab w:val="center" w:pos="4153"/>
        <w:tab w:val="right" w:pos="8306"/>
      </w:tabs>
      <w:snapToGrid w:val="0"/>
    </w:pPr>
    <w:rPr>
      <w:rFonts w:ascii="Times New Roman" w:hAnsi="Times New Roman"/>
      <w:sz w:val="18"/>
    </w:rPr>
  </w:style>
  <w:style w:type="paragraph" w:styleId="17">
    <w:name w:val="Body Text First Indent 2"/>
    <w:basedOn w:val="0"/>
    <w:pPr>
      <w:widowControl w:val="0"/>
      <w:spacing w:after="120" w:line="240" w:lineRule="atLeast"/>
      <w:ind w:leftChars="200" w:left="200" w:firstLineChars="200" w:firstLine="200"/>
      <w:jc w:val="both"/>
    </w:pPr>
    <w:rPr>
      <w:rFonts w:ascii="Times New Roman" w:eastAsia="仿宋_GB2312" w:cs="Times New Roman" w:hAnsi="Times New Roman"/>
      <w:spacing w:val="-6"/>
      <w:kern w:val="2"/>
      <w:sz w:val="32"/>
      <w:szCs w:val="22"/>
      <w:lang w:val="en-US" w:eastAsia="zh-CN" w:bidi="ar-SA"/>
    </w:rPr>
  </w:style>
  <w:style w:type="paragraph" w:styleId="18">
    <w:name w:val="Normal (Web)"/>
    <w:basedOn w:val="0"/>
    <w:pPr>
      <w:widowControl w:val="0"/>
      <w:spacing w:before="0" w:beforeAutospacing="1" w:after="0" w:afterAutospacing="1"/>
      <w:ind w:left="0" w:right="0"/>
      <w:jc w:val="left"/>
    </w:pPr>
    <w:rPr>
      <w:rFonts w:ascii="Calibri" w:eastAsia="宋体" w:cs="黑体" w:hAnsi="Calibri"/>
      <w:kern w:val="0"/>
      <w:sz w:val="24"/>
      <w:szCs w:val="22"/>
      <w:lang w:val="en-US" w:eastAsia="zh-CN" w:bidi="ar-SA"/>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styles" Target="styles.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AACA0FC3-4FBC-41E3-B52C-E4C981CFDBA0}">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1451</TotalTime>
  <Application>Yozo_Office27021597764231179</Application>
  <Pages>6</Pages>
  <Words>0</Words>
  <Characters>2105</Characters>
  <Lines>0</Lines>
  <Paragraphs>55</Paragraphs>
  <CharactersWithSpaces>2807</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title>附件3：</dc:title>
  <dc:creator>欣欣大人</dc:creator>
  <cp:lastModifiedBy>Administrator</cp:lastModifiedBy>
  <cp:revision>3</cp:revision>
  <cp:lastPrinted>2025-07-15T02:19:00Z</cp:lastPrinted>
  <dcterms:created xsi:type="dcterms:W3CDTF">2020-02-04T03:46:00Z</dcterms:created>
  <dcterms:modified xsi:type="dcterms:W3CDTF">2025-07-15T02:47:35Z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2052-12.1.0.16388</vt:lpwstr>
  </property>
  <property fmtid="{D5CDD505-2E9C-101B-9397-08002B2CF9AE}" pid="3" name="ICV">
    <vt:lpwstr>96934721B1514D3FBAA28020338CE855_12</vt:lpwstr>
  </property>
</Properties>
</file>