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djustRightInd w:val="0"/>
        <w:snapToGrid w:val="0"/>
        <w:spacing w:line="560" w:lineRule="exact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cs="宋体" w:hAnsi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ascii="宋体" w:cs="宋体" w:hAnsi="宋体" w:hint="eastAsia"/>
          <w:b/>
          <w:bCs/>
          <w:sz w:val="44"/>
          <w:szCs w:val="44"/>
        </w:rPr>
      </w:pPr>
      <w:r>
        <w:rPr>
          <w:rFonts w:ascii="宋体" w:cs="宋体" w:hAnsi="宋体"/>
          <w:b/>
          <w:bCs/>
          <w:sz w:val="44"/>
          <w:szCs w:val="44"/>
        </w:rPr>
        <w:t>河北石家庄矿区工业园区管理委员会</w:t>
      </w:r>
    </w:p>
    <w:p>
      <w:pPr>
        <w:spacing w:line="560" w:lineRule="exact"/>
        <w:jc w:val="center"/>
        <w:rPr>
          <w:rFonts w:ascii="宋体" w:cs="宋体" w:hAnsi="宋体"/>
          <w:b/>
          <w:bCs/>
          <w:sz w:val="44"/>
          <w:szCs w:val="44"/>
        </w:rPr>
      </w:pPr>
      <w:r>
        <w:rPr>
          <w:rFonts w:ascii="宋体" w:cs="宋体" w:hAnsi="宋体" w:hint="eastAsia"/>
          <w:b/>
          <w:bCs/>
          <w:sz w:val="44"/>
          <w:szCs w:val="44"/>
        </w:rPr>
        <w:t>202</w:t>
      </w:r>
      <w:r>
        <w:rPr>
          <w:rFonts w:ascii="宋体" w:cs="宋体" w:hAnsi="宋体"/>
          <w:b/>
          <w:bCs/>
          <w:sz w:val="44"/>
          <w:szCs w:val="44"/>
        </w:rPr>
        <w:t>4</w:t>
      </w:r>
      <w:r>
        <w:rPr>
          <w:rFonts w:ascii="宋体" w:cs="宋体" w:hAnsi="宋体" w:hint="eastAsia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贯彻落实</w:t>
      </w:r>
      <w:r>
        <w:rPr>
          <w:rFonts w:ascii="仿宋" w:eastAsia="仿宋" w:hAnsi="仿宋"/>
          <w:sz w:val="32"/>
          <w:szCs w:val="32"/>
        </w:rPr>
        <w:t>区委区政府</w:t>
      </w:r>
      <w:r>
        <w:rPr>
          <w:rFonts w:ascii="仿宋" w:eastAsia="仿宋" w:hAnsi="仿宋" w:hint="eastAsia"/>
          <w:sz w:val="32"/>
          <w:szCs w:val="32"/>
        </w:rPr>
        <w:t>《关于全面落实预算绩效管理的实施意见》（</w:t>
      </w:r>
      <w:r>
        <w:rPr>
          <w:rFonts w:ascii="仿宋" w:eastAsia="仿宋" w:hAnsi="仿宋"/>
          <w:sz w:val="32"/>
          <w:szCs w:val="32"/>
        </w:rPr>
        <w:t>矿</w:t>
      </w:r>
      <w:r>
        <w:rPr>
          <w:rFonts w:ascii="仿宋" w:eastAsia="仿宋" w:hAnsi="仿宋" w:hint="eastAsia"/>
          <w:sz w:val="32"/>
          <w:szCs w:val="32"/>
        </w:rPr>
        <w:t>发﹝2019﹞</w:t>
      </w:r>
      <w:r>
        <w:rPr>
          <w:rFonts w:ascii="仿宋" w:eastAsia="仿宋" w:hAnsi="仿宋"/>
          <w:sz w:val="32"/>
          <w:szCs w:val="32"/>
        </w:rPr>
        <w:t>7</w:t>
      </w:r>
      <w:r>
        <w:rPr>
          <w:rFonts w:ascii="仿宋" w:eastAsia="仿宋" w:hAnsi="仿宋" w:hint="eastAsia"/>
          <w:sz w:val="32"/>
          <w:szCs w:val="32"/>
        </w:rPr>
        <w:t>号）文件精神，遵循“科学性、规范性、客观性和公正性”的原则，对</w:t>
      </w:r>
      <w:r>
        <w:rPr>
          <w:rFonts w:ascii="仿宋" w:eastAsia="仿宋" w:hAnsi="仿宋"/>
          <w:sz w:val="32"/>
          <w:szCs w:val="32"/>
        </w:rPr>
        <w:t>河北石家庄工业园区管理委员会</w:t>
      </w:r>
      <w:r>
        <w:rPr>
          <w:rFonts w:ascii="仿宋" w:eastAsia="仿宋" w:hAnsi="仿宋" w:hint="eastAsia"/>
          <w:sz w:val="32"/>
          <w:szCs w:val="32"/>
        </w:rPr>
        <w:t>202</w:t>
      </w:r>
      <w:r>
        <w:rPr>
          <w:rFonts w:ascii="仿宋" w:eastAsia="仿宋" w:hAnsi="仿宋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黑体" w:eastAsia="黑体" w:hAnsi="黑体" w:hint="eastAsia"/>
          <w:sz w:val="32"/>
          <w:szCs w:val="32"/>
        </w:rPr>
        <w:t xml:space="preserve">     一、部门</w:t>
      </w:r>
      <w:r>
        <w:rPr>
          <w:rFonts w:ascii="黑体" w:eastAsia="黑体" w:hAnsi="黑体" w:hint="eastAsia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/>
          <w:bCs/>
          <w:sz w:val="32"/>
          <w:szCs w:val="32"/>
        </w:rPr>
        <w:t>河北石家庄矿区工业园区管理委员会主要职能：制定中长期发展规划；招商引资；为园区内企业服务；园区的运营管理等。2024年末资产总额7349.97万元，负债总额592.86万元，净资产总额6757.11万元。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（二）部门收支预决算情况</w:t>
      </w:r>
    </w:p>
    <w:p>
      <w:pPr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/>
          <w:sz w:val="32"/>
          <w:szCs w:val="32"/>
        </w:rPr>
        <w:t>1、</w:t>
      </w:r>
      <w:r>
        <w:rPr>
          <w:rFonts w:ascii="仿宋" w:eastAsia="仿宋" w:cs="仿宋" w:hAnsi="仿宋" w:hint="eastAsia"/>
          <w:sz w:val="32"/>
          <w:szCs w:val="32"/>
        </w:rPr>
        <w:t>资金收入：2024年年初预算项目收入4743.47万元，其中：一般公共预算拨款收入1480.26万元、基金预算拨款收入3263.21万元。</w:t>
      </w:r>
    </w:p>
    <w:p>
      <w:pPr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/>
          <w:sz w:val="32"/>
          <w:szCs w:val="32"/>
        </w:rPr>
        <w:t>2、</w:t>
      </w:r>
      <w:r>
        <w:rPr>
          <w:rFonts w:ascii="仿宋" w:eastAsia="仿宋" w:cs="仿宋" w:hAnsi="仿宋" w:hint="eastAsia"/>
          <w:sz w:val="32"/>
          <w:szCs w:val="32"/>
        </w:rPr>
        <w:t>资金支出：2024年项目支出</w:t>
      </w:r>
      <w:r>
        <w:rPr>
          <w:rFonts w:ascii="仿宋" w:eastAsia="仿宋" w:cs="仿宋" w:hAnsi="仿宋"/>
          <w:sz w:val="32"/>
          <w:szCs w:val="32"/>
        </w:rPr>
        <w:t>1069.51</w:t>
      </w:r>
      <w:r>
        <w:rPr>
          <w:rFonts w:ascii="仿宋" w:eastAsia="仿宋" w:cs="仿宋" w:hAnsi="仿宋" w:hint="eastAsia"/>
          <w:sz w:val="32"/>
          <w:szCs w:val="32"/>
        </w:rPr>
        <w:t>万元，其中：一般公共预算支出10</w:t>
      </w:r>
      <w:r>
        <w:rPr>
          <w:rFonts w:ascii="仿宋" w:eastAsia="仿宋" w:cs="仿宋" w:hAnsi="仿宋"/>
          <w:sz w:val="32"/>
          <w:szCs w:val="32"/>
        </w:rPr>
        <w:t>69.51</w:t>
      </w:r>
      <w:r>
        <w:rPr>
          <w:rFonts w:ascii="仿宋" w:eastAsia="仿宋" w:cs="仿宋" w:hAnsi="仿宋" w:hint="eastAsia"/>
          <w:sz w:val="32"/>
          <w:szCs w:val="32"/>
        </w:rPr>
        <w:t>万元。基金预算支出0万元，占年初预算的0%，原因是:</w:t>
      </w:r>
      <w:r>
        <w:rPr>
          <w:rFonts w:ascii="仿宋" w:eastAsia="仿宋" w:cs="仿宋" w:hAnsi="仿宋"/>
          <w:sz w:val="32"/>
          <w:szCs w:val="32"/>
        </w:rPr>
        <w:t>2024</w:t>
      </w:r>
      <w:r>
        <w:rPr>
          <w:rFonts w:ascii="仿宋" w:eastAsia="仿宋" w:cs="仿宋" w:hAnsi="仿宋" w:hint="eastAsia"/>
          <w:sz w:val="32"/>
          <w:szCs w:val="32"/>
        </w:rPr>
        <w:t>年未支出基金预算。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cs="仿宋_GB2312" w:hAnsi="楷体" w:hint="eastAsia"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（三）部门整体支出绩效目标、指标</w:t>
      </w:r>
    </w:p>
    <w:p>
      <w:pPr>
        <w:ind w:firstLineChars="200" w:firstLine="640"/>
        <w:rPr>
          <w:rFonts w:ascii="仿宋" w:eastAsia="仿宋" w:cs="仿宋" w:hAnsi="仿宋" w:hint="eastAsia"/>
          <w:sz w:val="32"/>
          <w:szCs w:val="32"/>
          <w:lang w:eastAsia="zh-CN"/>
        </w:rPr>
      </w:pP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1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部门全部预算项目</w:t>
      </w:r>
      <w:r>
        <w:rPr>
          <w:rFonts w:ascii="仿宋" w:eastAsia="仿宋" w:cs="仿宋" w:hAnsi="仿宋" w:hint="eastAsia"/>
          <w:sz w:val="32"/>
          <w:szCs w:val="32"/>
        </w:rPr>
        <w:t>监控结果。</w:t>
      </w:r>
      <w:r>
        <w:rPr>
          <w:rFonts w:ascii="仿宋" w:eastAsia="仿宋" w:cs="仿宋" w:hAnsi="仿宋"/>
          <w:sz w:val="32"/>
          <w:szCs w:val="32"/>
        </w:rPr>
        <w:t>2024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对</w:t>
      </w:r>
      <w:r>
        <w:rPr>
          <w:rFonts w:ascii="仿宋" w:eastAsia="仿宋" w:cs="仿宋" w:hAnsi="仿宋"/>
          <w:sz w:val="32"/>
          <w:szCs w:val="32"/>
          <w:lang w:eastAsia="zh-CN"/>
        </w:rPr>
        <w:t>11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个项目实施绩效监控，绩效目标实现程度达到50%</w:t>
      </w:r>
      <w:r>
        <w:rPr>
          <w:rFonts w:ascii="仿宋" w:eastAsia="仿宋" w:cs="仿宋" w:hAnsi="仿宋" w:hint="eastAsia"/>
          <w:sz w:val="32"/>
          <w:szCs w:val="32"/>
        </w:rPr>
        <w:t>的项目有</w:t>
      </w:r>
      <w:r>
        <w:rPr>
          <w:rFonts w:ascii="仿宋" w:eastAsia="仿宋" w:cs="仿宋" w:hAnsi="仿宋"/>
          <w:sz w:val="32"/>
          <w:szCs w:val="32"/>
        </w:rPr>
        <w:t>7</w:t>
      </w:r>
      <w:r>
        <w:rPr>
          <w:rFonts w:ascii="仿宋" w:eastAsia="仿宋" w:cs="仿宋" w:hAnsi="仿宋" w:hint="eastAsia"/>
          <w:sz w:val="32"/>
          <w:szCs w:val="32"/>
        </w:rPr>
        <w:t>个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，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尚未开展工作的项目有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个。</w:t>
      </w:r>
    </w:p>
    <w:p>
      <w:pPr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/>
          <w:sz w:val="32"/>
          <w:szCs w:val="32"/>
          <w:lang w:eastAsia="zh-CN"/>
        </w:rPr>
        <w:t>工业原区公司增资款项目预算2600万元，由于财政资金紧张，实际拨付了1000万元；招商引资项目预算20万元，实际拨付了5万元。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eastAsia="楷体" w:cs="楷体_GB2312" w:hAnsi="楷体"/>
          <w:sz w:val="32"/>
          <w:szCs w:val="32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cs="楷体_GB2312" w:hAnsi="楷体" w:hint="eastAsia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 </w:t>
      </w:r>
      <w:r>
        <w:rPr>
          <w:rFonts w:ascii="仿宋" w:eastAsia="仿宋" w:hAnsi="仿宋"/>
          <w:sz w:val="32"/>
          <w:szCs w:val="32"/>
        </w:rPr>
        <w:t>由园区管委会主要领导牵头，抽调财务人员负责具体实施。收集立项批复、可研报告等基础文件。由招商部门提供企业入驻数据，财务部门整理资金流向。</w:t>
      </w:r>
    </w:p>
    <w:p>
      <w:pPr>
        <w:numPr>
          <w:ilvl w:val="0"/>
          <w:numId w:val="1"/>
        </w:numPr>
        <w:spacing w:line="560" w:lineRule="exact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自评的方法和过程</w:t>
      </w:r>
    </w:p>
    <w:p>
      <w:pPr>
        <w:pStyle w:val="19"/>
        <w:shd w:val="clear" w:color="auto" w:fill="FFFFFF"/>
        <w:spacing w:before="0" w:beforeAutospacing="0" w:after="0" w:afterAutospacing="0" w:line="480" w:lineRule="auto"/>
        <w:ind w:left="0" w:firstLineChars="200" w:firstLine="640"/>
        <w:jc w:val="both"/>
      </w:pPr>
      <w:r>
        <w:rPr>
          <w:rFonts w:ascii="仿宋" w:eastAsia="仿宋" w:hint="eastAsia"/>
          <w:b w:val="0"/>
          <w:bCs w:val="0"/>
          <w:caps w:val="0"/>
          <w:smallCaps w:val="0"/>
          <w:vanish w:val="0"/>
          <w:color w:val="333333"/>
          <w:kern w:val="0"/>
          <w:sz w:val="32"/>
          <w:szCs w:val="32"/>
          <w:shd w:val="clear" w:color="auto" w:fill="FFFFFF"/>
        </w:rPr>
        <w:t>评价采用定量分析和定性分析相结合的方法，从预算配置、履职效益、预算管理、职责履行、预算执行情况、内控制度建设以及厉行节约保障措施等方面进行了综合评价。</w:t>
      </w:r>
    </w:p>
    <w:p>
      <w:pPr>
        <w:spacing w:line="560" w:lineRule="exact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left="0"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总体绩效目标实现情况</w:t>
      </w:r>
    </w:p>
    <w:p>
      <w:pPr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楷体" w:eastAsia="楷体" w:cs="楷体_GB2312" w:hAnsi="楷体"/>
          <w:bCs/>
          <w:sz w:val="32"/>
          <w:szCs w:val="32"/>
        </w:rPr>
        <w:t xml:space="preserve">  </w:t>
      </w:r>
      <w:r>
        <w:rPr>
          <w:rFonts w:ascii="仿宋" w:eastAsia="仿宋" w:cs="仿宋" w:hAnsi="仿宋"/>
          <w:sz w:val="32"/>
          <w:szCs w:val="32"/>
        </w:rPr>
        <w:t>2024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对</w:t>
      </w:r>
      <w:r>
        <w:rPr>
          <w:rFonts w:ascii="仿宋" w:eastAsia="仿宋" w:cs="仿宋" w:hAnsi="仿宋"/>
          <w:sz w:val="32"/>
          <w:szCs w:val="32"/>
          <w:lang w:eastAsia="zh-CN"/>
        </w:rPr>
        <w:t>11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个项目实施绩效监控，绩效目标实现程度达到50%</w:t>
      </w:r>
      <w:r>
        <w:rPr>
          <w:rFonts w:ascii="仿宋" w:eastAsia="仿宋" w:cs="仿宋" w:hAnsi="仿宋" w:hint="eastAsia"/>
          <w:sz w:val="32"/>
          <w:szCs w:val="32"/>
        </w:rPr>
        <w:t>的项目有</w:t>
      </w:r>
      <w:r>
        <w:rPr>
          <w:rFonts w:ascii="仿宋" w:eastAsia="仿宋" w:cs="仿宋" w:hAnsi="仿宋"/>
          <w:sz w:val="32"/>
          <w:szCs w:val="32"/>
        </w:rPr>
        <w:t>7</w:t>
      </w:r>
      <w:r>
        <w:rPr>
          <w:rFonts w:ascii="仿宋" w:eastAsia="仿宋" w:cs="仿宋" w:hAnsi="仿宋" w:hint="eastAsia"/>
          <w:sz w:val="32"/>
          <w:szCs w:val="32"/>
        </w:rPr>
        <w:t>个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，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尚未开展工作的项目有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个。</w:t>
      </w:r>
    </w:p>
    <w:p>
      <w:pPr>
        <w:spacing w:line="560" w:lineRule="exact"/>
        <w:ind w:firstLine="649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（二）分项绩效目标实现情况及指标分析</w:t>
      </w:r>
    </w:p>
    <w:p>
      <w:pPr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/>
          <w:sz w:val="32"/>
          <w:szCs w:val="32"/>
          <w:lang w:eastAsia="zh-CN"/>
        </w:rPr>
        <w:t>工业原区公司增资款项目预算2600万元，由于财政资金紧张，实际拨付了1000万元；招商引资项目预算20万元，实际拨付了5万元。劳务派遣项目年初预算41.02万元，实际拨付34.51万元。</w:t>
      </w:r>
    </w:p>
    <w:p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四、评价结论和评价等级</w:t>
      </w:r>
    </w:p>
    <w:p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2024年园区管委会</w:t>
      </w:r>
      <w:r>
        <w:rPr>
          <w:rFonts w:ascii="仿宋_GB2312" w:eastAsia="仿宋_GB2312" w:cs="仿宋_GB2312" w:hint="eastAsia"/>
          <w:color w:val="auto"/>
          <w:kern w:val="0"/>
          <w:sz w:val="32"/>
          <w:szCs w:val="32"/>
          <w:lang w:val="en-US" w:eastAsia="zh-CN" w:bidi="ar-SA"/>
        </w:rPr>
        <w:t>全力推进招商引资工作</w:t>
      </w:r>
      <w:r>
        <w:rPr>
          <w:rFonts w:asci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，</w:t>
      </w:r>
      <w:r>
        <w:rPr>
          <w:rFonts w:ascii="仿宋_GB2312" w:eastAsia="仿宋_GB2312" w:cs="仿宋_GB2312" w:hint="eastAsia"/>
          <w:color w:val="auto"/>
          <w:kern w:val="0"/>
          <w:sz w:val="32"/>
          <w:szCs w:val="32"/>
          <w:lang w:val="en-US" w:eastAsia="zh-CN" w:bidi="ar-SA"/>
        </w:rPr>
        <w:t>积极</w:t>
      </w:r>
      <w:r>
        <w:rPr>
          <w:rFonts w:ascii="仿宋_GB2312" w:eastAsia="仿宋_GB2312" w:cs="仿宋_GB2312" w:hint="eastAsia"/>
          <w:kern w:val="0"/>
          <w:sz w:val="32"/>
          <w:szCs w:val="32"/>
          <w:shd w:val="clear" w:color="auto" w:fill="auto"/>
          <w:lang w:val="en-US" w:eastAsia="zh-CN" w:bidi="ar-SA"/>
        </w:rPr>
        <w:t>探索</w:t>
      </w:r>
      <w:r>
        <w:rPr>
          <w:rFonts w:ascii="仿宋_GB2312" w:eastAsia="仿宋_GB2312" w:cs="仿宋_GB2312"/>
          <w:kern w:val="0"/>
          <w:sz w:val="32"/>
          <w:szCs w:val="32"/>
          <w:shd w:val="clear" w:color="auto" w:fill="auto"/>
          <w:lang w:val="en-US" w:eastAsia="zh-CN" w:bidi="ar-SA"/>
        </w:rPr>
        <w:t>积极</w:t>
      </w:r>
      <w:r>
        <w:rPr>
          <w:rFonts w:ascii="仿宋_GB2312" w:eastAsia="仿宋_GB2312" w:cs="仿宋_GB2312" w:hint="eastAsia"/>
          <w:kern w:val="0"/>
          <w:sz w:val="32"/>
          <w:szCs w:val="32"/>
          <w:shd w:val="clear" w:color="auto" w:fill="auto"/>
          <w:lang w:val="en-US" w:eastAsia="zh-CN" w:bidi="ar-SA"/>
        </w:rPr>
        <w:t>招</w:t>
      </w:r>
      <w:r>
        <w:rPr>
          <w:rFonts w:ascii="仿宋_GB2312" w:eastAsia="仿宋_GB2312" w:cs="仿宋_GB2312" w:hint="eastAsia"/>
          <w:color w:val="auto"/>
          <w:kern w:val="0"/>
          <w:sz w:val="32"/>
          <w:szCs w:val="32"/>
          <w:lang w:val="en-US" w:eastAsia="zh-CN" w:bidi="ar-SA"/>
        </w:rPr>
        <w:t>商、国际化招商新路径，</w:t>
      </w:r>
      <w:r>
        <w:rPr>
          <w:rFonts w:asci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多次外出招商；更好的为园区内企业服务；积极有效的完成园区管委会的各项工作。根据各方面因素评价得分90分，较优秀。</w:t>
      </w:r>
      <w:bookmarkStart w:id="0" w:name="_GoBack"/>
      <w:bookmarkEnd w:id="0"/>
    </w:p>
    <w:p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（一）存在的主要问题</w:t>
      </w:r>
    </w:p>
    <w:p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/>
          <w:bCs/>
          <w:sz w:val="32"/>
          <w:szCs w:val="32"/>
        </w:rPr>
        <w:t>预算编制精准度不足，提升资金使用效益。</w:t>
      </w:r>
    </w:p>
    <w:p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（二）针对问题提出具体的改进措施或建议</w:t>
      </w:r>
    </w:p>
    <w:p>
      <w:pPr>
        <w:spacing w:line="560" w:lineRule="exact"/>
        <w:ind w:firstLineChars="200" w:firstLine="640"/>
        <w:rPr>
          <w:rFonts w:ascii="仿宋" w:eastAsia="仿宋"/>
          <w:b w:val="0"/>
          <w:bCs w:val="0"/>
          <w:caps w:val="0"/>
          <w:smallCaps w:val="0"/>
          <w:vanish w:val="0"/>
          <w:color w:val="333333"/>
          <w:kern w:val="2"/>
          <w:sz w:val="32"/>
          <w:szCs w:val="32"/>
        </w:rPr>
      </w:pPr>
      <w:r>
        <w:rPr>
          <w:rFonts w:ascii="仿宋" w:eastAsia="仿宋" w:hint="eastAsia"/>
          <w:b w:val="0"/>
          <w:bCs w:val="0"/>
          <w:caps w:val="0"/>
          <w:smallCaps w:val="0"/>
          <w:vanish w:val="0"/>
          <w:kern w:val="2"/>
          <w:sz w:val="32"/>
          <w:szCs w:val="32"/>
        </w:rPr>
        <w:t>加强日常监控工作。</w:t>
      </w:r>
      <w:r>
        <w:rPr>
          <w:rFonts w:ascii="仿宋" w:eastAsia="仿宋" w:hint="eastAsia"/>
          <w:b w:val="0"/>
          <w:bCs w:val="0"/>
          <w:caps w:val="0"/>
          <w:smallCaps w:val="0"/>
          <w:vanish w:val="0"/>
          <w:color w:val="333333"/>
          <w:kern w:val="2"/>
          <w:sz w:val="32"/>
          <w:szCs w:val="32"/>
        </w:rPr>
        <w:t>针对存在的问题，我单位将进一步</w:t>
      </w:r>
      <w:r>
        <w:rPr>
          <w:rStyle w:val="18"/>
          <w:rFonts w:ascii="仿宋" w:eastAsia="仿宋" w:cs="宋体" w:hint="eastAsia"/>
          <w:b w:val="0"/>
          <w:bCs/>
          <w:caps w:val="0"/>
          <w:smallCaps w:val="0"/>
          <w:vanish w:val="0"/>
          <w:color w:val="333333"/>
          <w:kern w:val="2"/>
          <w:sz w:val="32"/>
          <w:szCs w:val="32"/>
        </w:rPr>
        <w:t>加强预算绩效管理</w:t>
      </w:r>
      <w:r>
        <w:rPr>
          <w:rFonts w:ascii="仿宋" w:eastAsia="仿宋" w:hint="eastAsia"/>
          <w:b w:val="0"/>
          <w:bCs w:val="0"/>
          <w:caps w:val="0"/>
          <w:smallCaps w:val="0"/>
          <w:vanish w:val="0"/>
          <w:color w:val="333333"/>
          <w:kern w:val="2"/>
          <w:sz w:val="32"/>
          <w:szCs w:val="32"/>
        </w:rPr>
        <w:t>，减少预算资金使用的随意性，对预算的事前、事中、事后进行全过程控制</w:t>
      </w:r>
      <w:r>
        <w:rPr>
          <w:rFonts w:ascii="仿宋" w:eastAsia="仿宋"/>
          <w:b w:val="0"/>
          <w:bCs w:val="0"/>
          <w:caps w:val="0"/>
          <w:smallCaps w:val="0"/>
          <w:vanish w:val="0"/>
          <w:color w:val="333333"/>
          <w:kern w:val="2"/>
          <w:sz w:val="32"/>
          <w:szCs w:val="32"/>
        </w:rPr>
        <w:t>。</w:t>
      </w:r>
      <w:r>
        <w:rPr>
          <w:rFonts w:ascii="仿宋" w:eastAsia="仿宋" w:hint="eastAsia"/>
          <w:b w:val="0"/>
          <w:bCs w:val="0"/>
          <w:caps w:val="0"/>
          <w:smallCaps w:val="0"/>
          <w:vanish w:val="0"/>
          <w:color w:val="333333"/>
          <w:kern w:val="2"/>
          <w:sz w:val="32"/>
          <w:szCs w:val="32"/>
        </w:rPr>
        <w:t>加大对预算编制与执行的监督管理力度，提高预算资金使用效率。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六、评价工作组人员名单及签字（姓名、工作单位、职务、职称）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cs="仿宋" w:hAnsi="黑体" w:hint="eastAsia"/>
          <w:sz w:val="32"/>
          <w:szCs w:val="32"/>
          <w:shd w:val="solid" w:color="FFFFFF" w:fill="FFFFFF"/>
        </w:rPr>
      </w:pPr>
      <w:r>
        <w:rPr>
          <w:rFonts w:ascii="仿宋" w:eastAsia="仿宋" w:cs="仿宋" w:hAnsi="黑体" w:hint="eastAsia"/>
          <w:sz w:val="32"/>
          <w:szCs w:val="32"/>
          <w:shd w:val="solid" w:color="FFFFFF" w:fill="FFFFFF"/>
        </w:rPr>
        <w:t>评价</w:t>
      </w:r>
      <w:r>
        <w:rPr>
          <w:rFonts w:ascii="仿宋" w:eastAsia="仿宋" w:cs="仿宋" w:hAnsi="黑体"/>
          <w:sz w:val="32"/>
          <w:szCs w:val="32"/>
          <w:shd w:val="solid" w:color="FFFFFF" w:fill="FFFFFF"/>
        </w:rPr>
        <w:t>工作</w:t>
      </w:r>
      <w:r>
        <w:rPr>
          <w:rFonts w:ascii="仿宋" w:eastAsia="仿宋" w:cs="仿宋" w:hAnsi="黑体" w:hint="eastAsia"/>
          <w:sz w:val="32"/>
          <w:szCs w:val="32"/>
          <w:shd w:val="solid" w:color="FFFFFF" w:fill="FFFFFF"/>
        </w:rPr>
        <w:t>组成员;</w:t>
      </w:r>
      <w:r>
        <w:rPr>
          <w:rFonts w:ascii="仿宋" w:eastAsia="仿宋" w:cs="仿宋" w:hAnsi="黑体"/>
          <w:sz w:val="32"/>
          <w:szCs w:val="32"/>
          <w:shd w:val="solid" w:color="FFFFFF" w:fill="FFFFFF"/>
        </w:rPr>
        <w:t>刘利峰，工业园区管委会招商局局长；张玲丽，工业园区管委会职员。</w:t>
      </w:r>
    </w:p>
    <w:p>
      <w:pPr>
        <w:spacing w:line="560" w:lineRule="exact"/>
        <w:ind w:firstLineChars="200" w:firstLine="420"/>
        <w:rPr>
          <w:rFonts w:ascii="仿宋" w:eastAsia="仿宋" w:hAnsi="仿宋"/>
        </w:rPr>
      </w:pPr>
    </w:p>
    <w:sectPr>
      <w:footerReference w:type="default" r:id="rId2"/>
      <w:pgSz w:w="11906" w:h="16838"/>
      <w:pgMar w:top="1440" w:right="1474" w:bottom="1440" w:left="1587" w:header="851" w:footer="992" w:gutter="0"/>
      <w:pgNumType w:fmt="numberInDash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Calibri">
    <w:panose1 w:val="020F0502020204030204"/>
    <w:charset w:val="00"/>
    <w:family w:val="swiss"/>
    <w:pitch w:val="variable"/>
    <w:sig w:usb0="E4002EFF" w:usb1="C000247B" w:usb2="00000009" w:usb3="00000000" w:csb0="2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</w:pPr>
    <w:r>
      <mc:AlternateContent>
        <mc:Choice Requires="wps">
          <w:drawing>
            <wp:anchor distT="0" distB="0" distL="91438" distR="91438" simplePos="0" relativeHeight="12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492" cy="162820"/>
              <wp:effectExtent l="0" t="0" r="0" b="0"/>
              <wp:wrapNone/>
              <wp:docPr id="1" name="Quad Arrow 3073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209492" cy="162820"/>
                      </a:xfrm>
                      <a:prstGeom prst="rect"/>
                      <a:noFill/>
                      <a:ln w="9525" cmpd="sng" cap="flat">
                        <a:noFill/>
                        <a:prstDash val="solid"/>
                        <a:miter/>
                      </a:ln>
                    </wps:spPr>
                    <wps:txbx id="2"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type="#_x0000_t202" id="Quad Arrow 3073 3" o:spid="_x0000_s3" filled="f" stroked="f" style="position:absolute;margin-left:0.0pt;margin-top:0.0pt;width:16.495491pt;height:12.820483pt;z-index:12;mso-position-horizontal:center;mso-position-horizontal-relative:margin;mso-position-vertical:absolute;mso-wrap-distance-left:7.19989pt;mso-wrap-distance-right:7.19989pt;mso-wrap-style:none;">
              <v:stroke color="#000000"/>
              <v:textbox id="848" inset="0mm,0mm,0mm,0mm" o:insetmode="custom" style="layout-flow:horizontal;v-text-anchor:top;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0516AA81"/>
    <w:multiLevelType w:val="singleLevel"/>
    <w:tmpl w:val="0516AA81"/>
    <w:lvl w:ilvl="0">
      <w:start w:val="2"/>
      <w:numFmt w:val="chineseCounting"/>
      <w:lvlRestart w:val="0"/>
      <w:suff w:val="nothing"/>
      <w:lvlText w:val="（%1）"/>
      <w:lvlJc w:val="left"/>
      <w:pPr>
        <w:ind w:left="642" w:hanging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>
      <w:start w:val="1"/>
      <w:numFmt w:val="chineseCounting"/>
      <w:lvlRestart w:val="0"/>
      <w:suff w:val="nothing"/>
      <w:lvlText w:val="（%1）"/>
      <w:lvlJc w:val="left"/>
      <w:pPr>
        <w:ind w:left="0" w:hanging="0"/>
      </w:pPr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90"/>
  <w:bordersDoNotSurroundHeader/>
  <w:bordersDoNotSurroundFooter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doNotSuppressIndentation/>
    <w:splitPgBreakAndParaMark/>
    <w:compatSetting w:name="compatibilityMode" w:uri="http://schemas.microsoft.com/office/word" w:val="11"/>
  </w:compat>
  <w:docVars>
    <w:docVar w:name="commondata" w:val="eyJoZGlkIjoiYzgxMzVhZTBlNDUyZWUxNDVhMjNkN2E1NjFlOTE5NDc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黑体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6">
    <w:name w:val="header"/>
    <w:basedOn w:val="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17">
    <w:name w:val="index 7"/>
    <w:basedOn w:val="0"/>
    <w:autoRedefine/>
    <w:next w:val="0"/>
    <w:pPr>
      <w:ind w:left="2520"/>
    </w:pPr>
  </w:style>
  <w:style w:type="character" w:customStyle="1" w:styleId="18">
    <w:name w:val="15"/>
    <w:basedOn w:val="0"/>
    <w:rPr>
      <w:rFonts w:ascii="Times New Roman" w:eastAsia="宋体" w:cs="Arial" w:hAnsi="Times New Roman"/>
      <w:b/>
      <w:bCs/>
      <w:kern w:val="2"/>
      <w:sz w:val="21"/>
      <w:szCs w:val="22"/>
      <w:lang w:val="en-US" w:eastAsia="zh-CN" w:bidi="ar-SA"/>
    </w:rPr>
  </w:style>
  <w:style w:type="paragraph" w:styleId="19">
    <w:name w:val="Normal (Web)"/>
    <w:basedOn w:val="0"/>
    <w:next w:val="15"/>
    <w:pPr>
      <w:keepNext w:val="0"/>
      <w:keepLines w:val="0"/>
      <w:pageBreakBefore w:val="0"/>
      <w:widowControl/>
      <w:suppressLineNumbers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100" w:beforeAutospacing="1" w:after="100" w:afterAutospacing="1" w:line="240" w:lineRule="auto"/>
      <w:ind w:left="0" w:right="0" w:firstLine="0"/>
      <w:contextualSpacing w:val="0"/>
      <w:jc w:val="left"/>
      <w:textAlignment w:val="auto"/>
      <w:outlineLvl w:val="9"/>
    </w:pPr>
    <w:rPr>
      <w:rFonts w:ascii="宋体" w:eastAsia="宋体" w:cs="黑体" w:hAnsi="Calibri"/>
      <w:b w:val="0"/>
      <w:bCs w:val="0"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0"/>
      <w:position w:val="0"/>
      <w:sz w:val="24"/>
      <w:szCs w:val="24"/>
      <w:u w:val="none" w:color="auto"/>
      <w:shd w:val="clear" w:color="auto" w:fill="auto"/>
      <w:vertAlign w:val="baseline"/>
      <w:em w:val="none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B924818-BBF7-455E-99FA-30951229D9BC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434</TotalTime>
  <Application>Yozo_Office27021597764231179</Application>
  <Pages>3</Pages>
  <Words>0</Words>
  <Characters>993</Characters>
  <Lines>0</Lines>
  <Paragraphs>36</Paragraphs>
  <CharactersWithSpaces>1324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附件3：</dc:title>
  <dc:creator>欣欣大人</dc:creator>
  <cp:lastModifiedBy>Administrator</cp:lastModifiedBy>
  <cp:revision>3</cp:revision>
  <cp:lastPrinted>2024-03-06T07:40:18Z</cp:lastPrinted>
  <dcterms:created xsi:type="dcterms:W3CDTF">2020-02-04T03:46:00Z</dcterms:created>
  <dcterms:modified xsi:type="dcterms:W3CDTF">2025-08-08T07:29:00Z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2052-12.1.0.16388</vt:lpwstr>
  </property>
  <property fmtid="{D5CDD505-2E9C-101B-9397-08002B2CF9AE}" pid="3" name="ICV">
    <vt:lpwstr>96934721B1514D3FBAA28020338CE855_12</vt:lpwstr>
  </property>
</Properties>
</file>