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adjustRightInd w:val="0"/>
        <w:snapToGrid w:val="0"/>
        <w:spacing w:line="560" w:lineRule="exact"/>
        <w:rPr>
          <w:rFonts w:ascii="黑体" w:eastAsia="黑体" w:cs="黑体" w:hAnsi="黑体" w:hint="eastAsia"/>
          <w:sz w:val="32"/>
          <w:szCs w:val="32"/>
        </w:rPr>
      </w:pPr>
      <w:r>
        <w:rPr>
          <w:rFonts w:ascii="黑体" w:eastAsia="黑体" w:cs="黑体" w:hAnsi="黑体" w:hint="eastAsia"/>
          <w:sz w:val="32"/>
          <w:szCs w:val="32"/>
        </w:rPr>
        <w:t>附件4</w:t>
      </w:r>
    </w:p>
    <w:p>
      <w:pPr>
        <w:spacing w:line="560" w:lineRule="exact"/>
        <w:jc w:val="center"/>
        <w:rPr>
          <w:rFonts w:ascii="宋体" w:cs="宋体" w:hAnsi="宋体"/>
          <w:b/>
          <w:bCs/>
          <w:sz w:val="44"/>
          <w:szCs w:val="44"/>
        </w:rPr>
      </w:pPr>
    </w:p>
    <w:p>
      <w:pPr>
        <w:spacing w:line="560" w:lineRule="exact"/>
        <w:jc w:val="center"/>
        <w:rPr>
          <w:rFonts w:ascii="宋体" w:cs="宋体" w:hAnsi="宋体" w:hint="eastAsia"/>
          <w:b/>
          <w:bCs/>
          <w:sz w:val="44"/>
          <w:szCs w:val="44"/>
        </w:rPr>
      </w:pPr>
      <w:r>
        <w:rPr>
          <w:rFonts w:ascii="宋体" w:cs="宋体" w:hAnsi="宋体" w:hint="eastAsia"/>
          <w:b/>
          <w:bCs/>
          <w:sz w:val="44"/>
          <w:szCs w:val="44"/>
          <w:lang w:eastAsia="zh-CN"/>
        </w:rPr>
        <w:t>井陉矿区商务局</w:t>
      </w:r>
    </w:p>
    <w:p>
      <w:pPr>
        <w:spacing w:line="560" w:lineRule="exact"/>
        <w:jc w:val="center"/>
        <w:rPr>
          <w:rFonts w:ascii="宋体" w:cs="宋体" w:hAnsi="宋体"/>
          <w:b/>
          <w:bCs/>
          <w:sz w:val="44"/>
          <w:szCs w:val="44"/>
        </w:rPr>
      </w:pPr>
      <w:r>
        <w:rPr>
          <w:rFonts w:ascii="宋体" w:cs="宋体" w:hAnsi="宋体" w:hint="eastAsia"/>
          <w:b/>
          <w:bCs/>
          <w:sz w:val="44"/>
          <w:szCs w:val="44"/>
        </w:rPr>
        <w:t>202</w:t>
      </w:r>
      <w:r>
        <w:rPr>
          <w:rFonts w:ascii="宋体" w:cs="宋体" w:hAnsi="宋体"/>
          <w:b/>
          <w:bCs/>
          <w:sz w:val="44"/>
          <w:szCs w:val="44"/>
        </w:rPr>
        <w:t>4</w:t>
      </w:r>
      <w:r>
        <w:rPr>
          <w:rFonts w:ascii="宋体" w:cs="宋体" w:hAnsi="宋体" w:hint="eastAsia"/>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Chars="200" w:firstLine="640"/>
        <w:rPr>
          <w:rFonts w:ascii="仿宋_GB2312" w:eastAsia="仿宋_GB2312" w:cs="仿宋_GB2312" w:hAnsi="仿宋_GB2312" w:hint="eastAsia"/>
          <w:sz w:val="32"/>
          <w:szCs w:val="32"/>
        </w:rPr>
      </w:pPr>
      <w:r>
        <w:rPr>
          <w:rFonts w:ascii="仿宋_GB2312" w:eastAsia="仿宋_GB2312" w:cs="仿宋_GB2312" w:hAnsi="仿宋_GB2312" w:hint="eastAsia"/>
          <w:sz w:val="32"/>
          <w:szCs w:val="32"/>
        </w:rPr>
        <w:t>贯彻落实区委区政府《关于全面落实预算绩效管理的实施意见》（矿发﹝2019﹞7号）文件精神，遵循“科学性、规范性、客观性和公正性”的原则，对</w:t>
      </w:r>
      <w:r>
        <w:rPr>
          <w:rFonts w:ascii="仿宋_GB2312" w:eastAsia="仿宋_GB2312" w:cs="仿宋_GB2312" w:hAnsi="仿宋_GB2312" w:hint="eastAsia"/>
          <w:sz w:val="32"/>
          <w:szCs w:val="32"/>
          <w:lang w:eastAsia="zh-CN"/>
        </w:rPr>
        <w:t>商务局</w:t>
      </w:r>
      <w:r>
        <w:rPr>
          <w:rFonts w:ascii="仿宋_GB2312" w:eastAsia="仿宋_GB2312" w:cs="仿宋_GB2312" w:hAnsi="仿宋_GB2312" w:hint="eastAsia"/>
          <w:sz w:val="32"/>
          <w:szCs w:val="32"/>
        </w:rPr>
        <w:t>2024年整体支出情况实施了财政支出绩效自评价，形成本评价报告。</w:t>
      </w:r>
    </w:p>
    <w:p>
      <w:pPr>
        <w:adjustRightInd w:val="0"/>
        <w:snapToGrid w:val="0"/>
        <w:spacing w:line="560" w:lineRule="exact"/>
        <w:ind w:left="0" w:firstLineChars="200" w:firstLine="640"/>
        <w:rPr>
          <w:rFonts w:ascii="黑体" w:eastAsia="黑体" w:hAnsi="黑体" w:hint="eastAsia"/>
          <w:sz w:val="32"/>
          <w:szCs w:val="36"/>
        </w:rPr>
      </w:pPr>
      <w:r>
        <w:rPr>
          <w:rFonts w:ascii="黑体" w:eastAsia="黑体" w:hAnsi="黑体" w:hint="eastAsia"/>
          <w:sz w:val="32"/>
          <w:szCs w:val="32"/>
          <w:lang w:eastAsia="zh-CN"/>
        </w:rPr>
        <w:t>一、</w:t>
      </w:r>
      <w:r>
        <w:rPr>
          <w:rFonts w:ascii="黑体" w:eastAsia="黑体" w:hAnsi="黑体" w:hint="eastAsia"/>
          <w:sz w:val="32"/>
          <w:szCs w:val="32"/>
        </w:rPr>
        <w:t>部门</w:t>
      </w:r>
      <w:r>
        <w:rPr>
          <w:rFonts w:ascii="黑体" w:eastAsia="黑体" w:hAnsi="黑体" w:hint="eastAsia"/>
          <w:sz w:val="32"/>
          <w:szCs w:val="36"/>
        </w:rPr>
        <w:t>基本情况</w:t>
      </w:r>
    </w:p>
    <w:p>
      <w:pPr>
        <w:adjustRightInd w:val="0"/>
        <w:snapToGrid w:val="0"/>
        <w:spacing w:line="560" w:lineRule="exact"/>
        <w:ind w:left="0" w:firstLineChars="100" w:firstLine="320"/>
        <w:rPr>
          <w:rFonts w:ascii="黑体" w:eastAsia="黑体" w:hAnsi="黑体" w:hint="eastAsia"/>
          <w:sz w:val="32"/>
          <w:szCs w:val="36"/>
        </w:rPr>
      </w:pPr>
      <w:r>
        <w:rPr>
          <w:rFonts w:ascii="楷体" w:eastAsia="楷体" w:cs="楷体_GB2312" w:hAnsi="楷体" w:hint="eastAsia"/>
          <w:bCs/>
          <w:sz w:val="32"/>
          <w:szCs w:val="32"/>
        </w:rPr>
        <w:t>（一）部门概况</w:t>
      </w:r>
    </w:p>
    <w:p>
      <w:pPr>
        <w:adjustRightInd w:val="0"/>
        <w:snapToGrid w:val="0"/>
        <w:spacing w:line="560" w:lineRule="exact"/>
        <w:ind w:left="0" w:firstLineChars="200" w:firstLine="640"/>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1.部门职能</w:t>
      </w:r>
    </w:p>
    <w:p>
      <w:pPr>
        <w:adjustRightInd w:val="0"/>
        <w:snapToGrid w:val="0"/>
        <w:spacing w:line="560" w:lineRule="exact"/>
        <w:ind w:firstLineChars="200" w:firstLine="640"/>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拟订全区商务发展、招商引资、利用外资、区域协作规划、政策措施和年度计划并组织实施。全区国内贸易发展规划，促进城乡市场发展；负责大宗产品批发市场、商业网点规划及商业体系建设工作；组织实施重要消费品市场调控。负责建立健全生活必需品市场供应应急管理机制，监测分析市场运行、商品供求状况，调查分析商品价格信息，进行预测预警和信息引导；按分工负责重要消费品储备管理和市场调控工作。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完成上级交办的各项任务。</w:t>
      </w:r>
    </w:p>
    <w:p>
      <w:pPr>
        <w:adjustRightInd w:val="0"/>
        <w:snapToGrid w:val="0"/>
        <w:spacing w:line="560" w:lineRule="exact"/>
        <w:rPr>
          <w:rFonts w:ascii="仿宋_GB2312" w:eastAsia="仿宋_GB2312" w:cs="仿宋_GB2312" w:hAnsi="仿宋_GB2312" w:hint="eastAsia"/>
          <w:b/>
          <w:bCs/>
          <w:sz w:val="32"/>
          <w:szCs w:val="36"/>
        </w:rPr>
      </w:pPr>
    </w:p>
    <w:p>
      <w:pPr>
        <w:adjustRightInd w:val="0"/>
        <w:snapToGrid w:val="0"/>
        <w:spacing w:line="560" w:lineRule="exact"/>
        <w:ind w:firstLineChars="200" w:firstLine="640"/>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2.组织机构及人员</w:t>
      </w:r>
    </w:p>
    <w:p>
      <w:pPr>
        <w:adjustRightInd w:val="0"/>
        <w:snapToGrid w:val="0"/>
        <w:spacing w:line="560" w:lineRule="exact"/>
        <w:ind w:firstLineChars="200" w:firstLine="640"/>
        <w:rPr>
          <w:rFonts w:ascii="仿宋_GB2312" w:eastAsia="仿宋_GB2312" w:cs="仿宋_GB2312" w:hAnsi="仿宋_GB2312" w:hint="eastAsia"/>
          <w:sz w:val="32"/>
          <w:szCs w:val="32"/>
        </w:rPr>
      </w:pPr>
      <w:r>
        <w:rPr>
          <w:rFonts w:ascii="仿宋_GB2312" w:eastAsia="仿宋_GB2312" w:cs="仿宋_GB2312" w:hAnsi="仿宋_GB2312" w:hint="eastAsia"/>
          <w:sz w:val="32"/>
          <w:szCs w:val="32"/>
          <w:lang w:eastAsia="zh-CN"/>
        </w:rPr>
        <w:t>区商务局</w:t>
      </w:r>
      <w:r>
        <w:rPr>
          <w:rFonts w:ascii="仿宋_GB2312" w:eastAsia="仿宋_GB2312" w:cs="仿宋_GB2312" w:hAnsi="仿宋_GB2312" w:hint="eastAsia"/>
          <w:sz w:val="32"/>
          <w:szCs w:val="32"/>
        </w:rPr>
        <w:t>是政府工作部门，机构规格为正科级， 202</w:t>
      </w:r>
      <w:r>
        <w:rPr>
          <w:rFonts w:ascii="仿宋_GB2312" w:eastAsia="仿宋_GB2312" w:cs="仿宋_GB2312" w:hAnsi="仿宋_GB2312" w:hint="eastAsia"/>
          <w:sz w:val="32"/>
          <w:szCs w:val="32"/>
          <w:lang w:val="en-US" w:eastAsia="zh-CN"/>
        </w:rPr>
        <w:t>4</w:t>
      </w:r>
      <w:r>
        <w:rPr>
          <w:rFonts w:ascii="仿宋_GB2312" w:eastAsia="仿宋_GB2312" w:cs="仿宋_GB2312" w:hAnsi="仿宋_GB2312" w:hint="eastAsia"/>
          <w:sz w:val="32"/>
          <w:szCs w:val="32"/>
        </w:rPr>
        <w:t>年年末</w:t>
      </w:r>
      <w:r>
        <w:rPr>
          <w:rFonts w:ascii="仿宋_GB2312" w:eastAsia="仿宋_GB2312" w:cs="仿宋_GB2312" w:hAnsi="仿宋_GB2312" w:hint="eastAsia"/>
          <w:sz w:val="32"/>
          <w:szCs w:val="32"/>
          <w:lang w:eastAsia="zh-CN"/>
        </w:rPr>
        <w:t>本</w:t>
      </w:r>
      <w:r>
        <w:rPr>
          <w:rFonts w:ascii="仿宋_GB2312" w:eastAsia="仿宋_GB2312" w:cs="仿宋_GB2312" w:hAnsi="仿宋_GB2312" w:hint="eastAsia"/>
          <w:sz w:val="32"/>
          <w:szCs w:val="32"/>
        </w:rPr>
        <w:t>单位</w:t>
      </w:r>
      <w:r>
        <w:rPr>
          <w:rFonts w:ascii="仿宋_GB2312" w:eastAsia="仿宋_GB2312" w:cs="仿宋_GB2312" w:hAnsi="仿宋_GB2312" w:hint="eastAsia"/>
          <w:sz w:val="32"/>
          <w:szCs w:val="32"/>
          <w:lang w:eastAsia="zh-CN"/>
        </w:rPr>
        <w:t>在编在岗</w:t>
      </w:r>
      <w:r>
        <w:rPr>
          <w:rFonts w:ascii="仿宋_GB2312" w:eastAsia="仿宋_GB2312" w:cs="仿宋_GB2312" w:hAnsi="仿宋_GB2312" w:hint="eastAsia"/>
          <w:sz w:val="32"/>
          <w:szCs w:val="32"/>
        </w:rPr>
        <w:t>人员</w:t>
      </w:r>
      <w:r>
        <w:rPr>
          <w:rFonts w:ascii="仿宋_GB2312" w:eastAsia="仿宋_GB2312" w:cs="仿宋_GB2312" w:hAnsi="仿宋_GB2312" w:hint="eastAsia"/>
          <w:sz w:val="32"/>
          <w:szCs w:val="32"/>
          <w:lang w:val="en-US" w:eastAsia="zh-CN"/>
        </w:rPr>
        <w:t>11人</w:t>
      </w:r>
      <w:r>
        <w:rPr>
          <w:rFonts w:ascii="仿宋_GB2312" w:eastAsia="仿宋_GB2312" w:cs="仿宋_GB2312" w:hAnsi="仿宋_GB2312" w:hint="eastAsia"/>
          <w:sz w:val="32"/>
          <w:szCs w:val="32"/>
        </w:rPr>
        <w:t>，</w:t>
      </w:r>
      <w:r>
        <w:rPr>
          <w:rFonts w:ascii="仿宋_GB2312" w:eastAsia="仿宋_GB2312" w:cs="仿宋_GB2312" w:hAnsi="仿宋_GB2312" w:hint="eastAsia"/>
          <w:sz w:val="32"/>
          <w:szCs w:val="32"/>
          <w:lang w:eastAsia="zh-CN"/>
        </w:rPr>
        <w:t>其中</w:t>
      </w:r>
      <w:r>
        <w:rPr>
          <w:rFonts w:ascii="仿宋_GB2312" w:eastAsia="仿宋_GB2312" w:cs="仿宋_GB2312" w:hAnsi="仿宋_GB2312" w:hint="eastAsia"/>
          <w:sz w:val="32"/>
          <w:szCs w:val="32"/>
          <w:lang w:val="en-US" w:eastAsia="zh-CN"/>
        </w:rPr>
        <w:t>7</w:t>
      </w:r>
      <w:r>
        <w:rPr>
          <w:rFonts w:ascii="仿宋_GB2312" w:eastAsia="仿宋_GB2312" w:cs="仿宋_GB2312" w:hAnsi="仿宋_GB2312" w:hint="eastAsia"/>
          <w:sz w:val="32"/>
          <w:szCs w:val="32"/>
        </w:rPr>
        <w:t>名行政人员，</w:t>
      </w:r>
      <w:r>
        <w:rPr>
          <w:rFonts w:ascii="仿宋_GB2312" w:eastAsia="仿宋_GB2312" w:cs="仿宋_GB2312" w:hAnsi="仿宋_GB2312" w:hint="eastAsia"/>
          <w:sz w:val="32"/>
          <w:szCs w:val="32"/>
          <w:lang w:val="en-US" w:eastAsia="zh-CN"/>
        </w:rPr>
        <w:t>4</w:t>
      </w:r>
      <w:r>
        <w:rPr>
          <w:rFonts w:ascii="仿宋_GB2312" w:eastAsia="仿宋_GB2312" w:cs="仿宋_GB2312" w:hAnsi="仿宋_GB2312" w:hint="eastAsia"/>
          <w:sz w:val="32"/>
          <w:szCs w:val="32"/>
        </w:rPr>
        <w:t>名非参公事业人员。</w:t>
      </w:r>
    </w:p>
    <w:p>
      <w:pPr>
        <w:adjustRightInd w:val="0"/>
        <w:snapToGrid w:val="0"/>
        <w:spacing w:line="560" w:lineRule="exact"/>
        <w:ind w:firstLineChars="200" w:firstLine="640"/>
        <w:rPr>
          <w:rFonts w:ascii="仿宋_GB2312" w:eastAsia="仿宋_GB2312" w:cs="仿宋_GB2312" w:hAnsi="仿宋_GB2312" w:hint="eastAsia"/>
          <w:sz w:val="32"/>
          <w:szCs w:val="32"/>
          <w:lang w:val="en-US" w:eastAsia="zh-CN"/>
        </w:rPr>
      </w:pPr>
      <w:r>
        <w:rPr>
          <w:rFonts w:ascii="仿宋_GB2312" w:eastAsia="仿宋_GB2312" w:cs="仿宋_GB2312" w:hAnsi="仿宋_GB2312" w:hint="eastAsia"/>
          <w:sz w:val="32"/>
          <w:szCs w:val="32"/>
          <w:lang w:val="en-US" w:eastAsia="zh-CN"/>
        </w:rPr>
        <w:t>3.部门资产情况</w:t>
      </w:r>
    </w:p>
    <w:p>
      <w:pPr>
        <w:adjustRightInd w:val="0"/>
        <w:snapToGrid w:val="0"/>
        <w:spacing w:line="560" w:lineRule="exact"/>
        <w:ind w:firstLineChars="200" w:firstLine="640"/>
        <w:rPr>
          <w:rFonts w:ascii="仿宋_GB2312" w:eastAsia="仿宋_GB2312" w:cs="仿宋_GB2312" w:hAnsi="仿宋_GB2312" w:hint="eastAsia"/>
          <w:sz w:val="32"/>
          <w:szCs w:val="32"/>
        </w:rPr>
      </w:pPr>
      <w:r>
        <w:rPr>
          <w:rFonts w:ascii="仿宋_GB2312" w:eastAsia="仿宋_GB2312" w:cs="仿宋_GB2312" w:hAnsi="仿宋_GB2312" w:hint="eastAsia"/>
          <w:sz w:val="32"/>
          <w:szCs w:val="32"/>
        </w:rPr>
        <w:t>截至202</w:t>
      </w:r>
      <w:r>
        <w:rPr>
          <w:rFonts w:ascii="仿宋_GB2312" w:eastAsia="仿宋_GB2312" w:cs="仿宋_GB2312" w:hAnsi="仿宋_GB2312" w:hint="eastAsia"/>
          <w:sz w:val="32"/>
          <w:szCs w:val="32"/>
          <w:lang w:val="en-US" w:eastAsia="zh-CN"/>
        </w:rPr>
        <w:t>4</w:t>
      </w:r>
      <w:r>
        <w:rPr>
          <w:rFonts w:ascii="仿宋_GB2312" w:eastAsia="仿宋_GB2312" w:cs="仿宋_GB2312" w:hAnsi="仿宋_GB2312" w:hint="eastAsia"/>
          <w:sz w:val="32"/>
          <w:szCs w:val="32"/>
        </w:rPr>
        <w:t>年12月31日，我单位</w:t>
      </w:r>
      <w:r>
        <w:rPr>
          <w:rFonts w:ascii="仿宋_GB2312" w:eastAsia="仿宋_GB2312" w:cs="仿宋_GB2312" w:hAnsi="仿宋_GB2312" w:hint="eastAsia"/>
          <w:sz w:val="32"/>
          <w:szCs w:val="32"/>
          <w:lang w:eastAsia="zh-CN"/>
        </w:rPr>
        <w:t>固定</w:t>
      </w:r>
      <w:r>
        <w:rPr>
          <w:rFonts w:ascii="仿宋_GB2312" w:eastAsia="仿宋_GB2312" w:cs="仿宋_GB2312" w:hAnsi="仿宋_GB2312" w:hint="eastAsia"/>
          <w:sz w:val="32"/>
          <w:szCs w:val="32"/>
        </w:rPr>
        <w:t>资产</w:t>
      </w:r>
      <w:r>
        <w:rPr>
          <w:rFonts w:ascii="仿宋_GB2312" w:eastAsia="仿宋_GB2312" w:cs="仿宋_GB2312" w:hAnsi="仿宋_GB2312" w:hint="eastAsia"/>
          <w:sz w:val="32"/>
          <w:szCs w:val="32"/>
          <w:lang w:eastAsia="zh-CN"/>
        </w:rPr>
        <w:t>原值</w:t>
      </w:r>
      <w:r>
        <w:rPr>
          <w:rFonts w:ascii="仿宋_GB2312" w:eastAsia="仿宋_GB2312" w:cs="仿宋_GB2312" w:hAnsi="仿宋_GB2312" w:hint="eastAsia"/>
          <w:sz w:val="32"/>
          <w:szCs w:val="32"/>
          <w:lang w:val="en-US" w:eastAsia="zh-CN"/>
        </w:rPr>
        <w:t>28.17</w:t>
      </w:r>
      <w:r>
        <w:rPr>
          <w:rFonts w:ascii="仿宋_GB2312" w:eastAsia="仿宋_GB2312" w:cs="仿宋_GB2312" w:hAnsi="仿宋_GB2312" w:hint="eastAsia"/>
          <w:sz w:val="32"/>
          <w:szCs w:val="32"/>
        </w:rPr>
        <w:t>万元，</w:t>
      </w:r>
      <w:r>
        <w:rPr>
          <w:rFonts w:ascii="仿宋_GB2312" w:eastAsia="仿宋_GB2312" w:cs="仿宋_GB2312" w:hAnsi="仿宋_GB2312" w:hint="eastAsia"/>
          <w:sz w:val="32"/>
          <w:szCs w:val="32"/>
          <w:lang w:eastAsia="zh-CN"/>
        </w:rPr>
        <w:t>累计折旧</w:t>
      </w:r>
      <w:r>
        <w:rPr>
          <w:rFonts w:ascii="仿宋_GB2312" w:eastAsia="仿宋_GB2312" w:cs="仿宋_GB2312" w:hAnsi="仿宋_GB2312" w:hint="eastAsia"/>
          <w:sz w:val="32"/>
          <w:szCs w:val="32"/>
          <w:lang w:val="en-US" w:eastAsia="zh-CN"/>
        </w:rPr>
        <w:t>18.14万元</w:t>
      </w:r>
      <w:r>
        <w:rPr>
          <w:rFonts w:ascii="仿宋_GB2312" w:eastAsia="仿宋_GB2312" w:cs="仿宋_GB2312" w:hAnsi="仿宋_GB2312" w:hint="eastAsia"/>
          <w:sz w:val="32"/>
          <w:szCs w:val="32"/>
          <w:lang w:eastAsia="zh-CN"/>
        </w:rPr>
        <w:t>，年末固定资产净值</w:t>
      </w:r>
      <w:r>
        <w:rPr>
          <w:rFonts w:ascii="仿宋_GB2312" w:eastAsia="仿宋_GB2312" w:cs="仿宋_GB2312" w:hAnsi="仿宋_GB2312" w:hint="eastAsia"/>
          <w:sz w:val="32"/>
          <w:szCs w:val="32"/>
          <w:lang w:val="en-US" w:eastAsia="zh-CN"/>
        </w:rPr>
        <w:t>10.02万元</w:t>
      </w:r>
      <w:r>
        <w:rPr>
          <w:rFonts w:ascii="仿宋_GB2312" w:eastAsia="仿宋_GB2312" w:cs="仿宋_GB2312" w:hAnsi="仿宋_GB2312" w:hint="eastAsia"/>
          <w:sz w:val="32"/>
          <w:szCs w:val="32"/>
          <w:lang w:eastAsia="zh-CN"/>
        </w:rPr>
        <w:t>，无流动资产和负债。</w:t>
      </w:r>
    </w:p>
    <w:p>
      <w:pPr>
        <w:numPr>
          <w:ilvl w:val="0"/>
          <w:numId w:val="1"/>
        </w:numPr>
        <w:adjustRightInd w:val="0"/>
        <w:snapToGrid w:val="0"/>
        <w:spacing w:line="560" w:lineRule="exact"/>
        <w:ind w:left="0" w:firstLineChars="200" w:firstLine="640"/>
        <w:rPr>
          <w:rFonts w:ascii="楷体" w:eastAsia="楷体" w:cs="楷体_GB2312" w:hAnsi="楷体" w:hint="eastAsia"/>
          <w:bCs/>
          <w:sz w:val="32"/>
          <w:szCs w:val="32"/>
        </w:rPr>
      </w:pPr>
      <w:r>
        <w:rPr>
          <w:rFonts w:ascii="楷体" w:eastAsia="楷体" w:cs="楷体_GB2312" w:hAnsi="楷体" w:hint="eastAsia"/>
          <w:bCs/>
          <w:sz w:val="32"/>
          <w:szCs w:val="32"/>
        </w:rPr>
        <w:t>部门收支预决算情况</w:t>
      </w:r>
    </w:p>
    <w:p>
      <w:pPr>
        <w:adjustRightInd w:val="0"/>
        <w:snapToGrid w:val="0"/>
        <w:spacing w:line="560" w:lineRule="exact"/>
        <w:ind w:left="0" w:firstLineChars="200" w:firstLine="640"/>
        <w:rPr>
          <w:rFonts w:ascii="仿宋_GB2312" w:eastAsia="仿宋_GB2312" w:cs="仿宋_GB2312" w:hAnsi="仿宋_GB2312" w:hint="eastAsia"/>
          <w:sz w:val="32"/>
          <w:szCs w:val="32"/>
          <w:lang w:eastAsia="zh-CN"/>
          <w:highlight w:val="auto"/>
        </w:rPr>
      </w:pPr>
      <w:r>
        <w:rPr>
          <w:rFonts w:ascii="仿宋_GB2312" w:eastAsia="仿宋_GB2312" w:cs="仿宋_GB2312" w:hAnsi="仿宋_GB2312" w:hint="eastAsia"/>
          <w:sz w:val="32"/>
          <w:szCs w:val="32"/>
          <w:highlight w:val="auto"/>
        </w:rPr>
        <w:t>202</w:t>
      </w:r>
      <w:r>
        <w:rPr>
          <w:rFonts w:ascii="仿宋_GB2312" w:eastAsia="仿宋_GB2312" w:cs="仿宋_GB2312" w:hAnsi="仿宋_GB2312" w:hint="eastAsia"/>
          <w:sz w:val="32"/>
          <w:szCs w:val="32"/>
          <w:lang w:val="en-US" w:eastAsia="zh-CN"/>
          <w:highlight w:val="auto"/>
        </w:rPr>
        <w:t>4</w:t>
      </w:r>
      <w:r>
        <w:rPr>
          <w:rFonts w:ascii="仿宋_GB2312" w:eastAsia="仿宋_GB2312" w:cs="仿宋_GB2312" w:hAnsi="仿宋_GB2312" w:hint="eastAsia"/>
          <w:sz w:val="32"/>
          <w:szCs w:val="32"/>
          <w:highlight w:val="auto"/>
        </w:rPr>
        <w:t>年预算收入</w:t>
      </w:r>
      <w:r>
        <w:rPr>
          <w:rFonts w:ascii="仿宋_GB2312" w:eastAsia="仿宋_GB2312" w:cs="仿宋_GB2312" w:hAnsi="仿宋_GB2312" w:hint="eastAsia"/>
          <w:sz w:val="32"/>
          <w:szCs w:val="32"/>
          <w:lang w:val="en-US" w:eastAsia="zh-CN"/>
          <w:highlight w:val="auto"/>
        </w:rPr>
        <w:t>292.5</w:t>
      </w:r>
      <w:r>
        <w:rPr>
          <w:rFonts w:ascii="仿宋_GB2312" w:eastAsia="仿宋_GB2312" w:cs="仿宋_GB2312" w:hAnsi="仿宋_GB2312" w:hint="eastAsia"/>
          <w:sz w:val="32"/>
          <w:szCs w:val="32"/>
          <w:highlight w:val="auto"/>
        </w:rPr>
        <w:t>万元，其中：一般公共预算收入</w:t>
      </w:r>
      <w:r>
        <w:rPr>
          <w:rFonts w:ascii="仿宋_GB2312" w:eastAsia="仿宋_GB2312" w:cs="仿宋_GB2312" w:hAnsi="仿宋_GB2312" w:hint="eastAsia"/>
          <w:sz w:val="32"/>
          <w:szCs w:val="32"/>
          <w:lang w:val="en-US" w:eastAsia="zh-CN"/>
          <w:highlight w:val="auto"/>
        </w:rPr>
        <w:t>292.5</w:t>
      </w:r>
      <w:r>
        <w:rPr>
          <w:rFonts w:ascii="仿宋_GB2312" w:eastAsia="仿宋_GB2312" w:cs="仿宋_GB2312" w:hAnsi="仿宋_GB2312" w:hint="eastAsia"/>
          <w:sz w:val="32"/>
          <w:szCs w:val="32"/>
          <w:highlight w:val="auto"/>
        </w:rPr>
        <w:t>万元， 基金预算收入0万元， 财政专户核拨收入0万元， 其他来源收入0万元</w:t>
      </w:r>
      <w:r>
        <w:rPr>
          <w:rFonts w:ascii="仿宋_GB2312" w:eastAsia="仿宋_GB2312" w:cs="仿宋_GB2312" w:hAnsi="仿宋_GB2312" w:hint="eastAsia"/>
          <w:sz w:val="32"/>
          <w:szCs w:val="32"/>
          <w:lang w:eastAsia="zh-CN"/>
          <w:highlight w:val="auto"/>
        </w:rPr>
        <w:t>，</w:t>
      </w:r>
      <w:r>
        <w:rPr>
          <w:rFonts w:ascii="仿宋_GB2312" w:eastAsia="仿宋_GB2312" w:cs="仿宋_GB2312" w:hAnsi="仿宋_GB2312" w:hint="eastAsia"/>
          <w:color w:val="auto"/>
          <w:sz w:val="32"/>
          <w:szCs w:val="32"/>
          <w:lang w:eastAsia="zh-CN"/>
          <w:highlight w:val="auto"/>
        </w:rPr>
        <w:t>上年度结转结余</w:t>
      </w:r>
      <w:r>
        <w:rPr>
          <w:rFonts w:ascii="仿宋_GB2312" w:eastAsia="仿宋_GB2312" w:cs="仿宋_GB2312" w:hAnsi="仿宋_GB2312" w:hint="eastAsia"/>
          <w:color w:val="auto"/>
          <w:sz w:val="32"/>
          <w:szCs w:val="32"/>
          <w:lang w:val="en-US" w:eastAsia="zh-CN"/>
          <w:highlight w:val="auto"/>
        </w:rPr>
        <w:t>0万元</w:t>
      </w:r>
      <w:r>
        <w:rPr>
          <w:rFonts w:ascii="仿宋_GB2312" w:eastAsia="仿宋_GB2312" w:cs="仿宋_GB2312" w:hAnsi="仿宋_GB2312" w:hint="eastAsia"/>
          <w:sz w:val="32"/>
          <w:szCs w:val="32"/>
          <w:highlight w:val="auto"/>
        </w:rPr>
        <w:t>。202</w:t>
      </w:r>
      <w:r>
        <w:rPr>
          <w:rFonts w:ascii="仿宋_GB2312" w:eastAsia="仿宋_GB2312" w:cs="仿宋_GB2312" w:hAnsi="仿宋_GB2312" w:hint="eastAsia"/>
          <w:sz w:val="32"/>
          <w:szCs w:val="32"/>
          <w:lang w:val="en-US" w:eastAsia="zh-CN"/>
          <w:highlight w:val="auto"/>
        </w:rPr>
        <w:t>4</w:t>
      </w:r>
      <w:r>
        <w:rPr>
          <w:rFonts w:ascii="仿宋_GB2312" w:eastAsia="仿宋_GB2312" w:cs="仿宋_GB2312" w:hAnsi="仿宋_GB2312" w:hint="eastAsia"/>
          <w:sz w:val="32"/>
          <w:szCs w:val="32"/>
          <w:highlight w:val="auto"/>
        </w:rPr>
        <w:t>年收入年初预算数</w:t>
      </w:r>
      <w:r>
        <w:rPr>
          <w:rFonts w:ascii="仿宋_GB2312" w:eastAsia="仿宋_GB2312" w:cs="仿宋_GB2312" w:hAnsi="仿宋_GB2312" w:hint="eastAsia"/>
          <w:sz w:val="32"/>
          <w:szCs w:val="32"/>
          <w:lang w:val="en-US" w:eastAsia="zh-CN"/>
          <w:highlight w:val="auto"/>
        </w:rPr>
        <w:t>363.9</w:t>
      </w:r>
      <w:r>
        <w:rPr>
          <w:rFonts w:ascii="仿宋_GB2312" w:eastAsia="仿宋_GB2312" w:cs="仿宋_GB2312" w:hAnsi="仿宋_GB2312" w:hint="eastAsia"/>
          <w:sz w:val="32"/>
          <w:szCs w:val="32"/>
          <w:highlight w:val="auto"/>
        </w:rPr>
        <w:t>万元，全年</w:t>
      </w:r>
      <w:r>
        <w:rPr>
          <w:rFonts w:ascii="仿宋_GB2312" w:eastAsia="仿宋_GB2312" w:cs="仿宋_GB2312" w:hAnsi="仿宋_GB2312" w:hint="eastAsia"/>
          <w:sz w:val="32"/>
          <w:szCs w:val="32"/>
          <w:lang w:eastAsia="zh-CN"/>
          <w:highlight w:val="auto"/>
        </w:rPr>
        <w:t>调整</w:t>
      </w:r>
      <w:r>
        <w:rPr>
          <w:rFonts w:ascii="仿宋_GB2312" w:eastAsia="仿宋_GB2312" w:cs="仿宋_GB2312" w:hAnsi="仿宋_GB2312" w:hint="eastAsia"/>
          <w:sz w:val="32"/>
          <w:szCs w:val="32"/>
          <w:highlight w:val="auto"/>
        </w:rPr>
        <w:t>预算数</w:t>
      </w:r>
      <w:r>
        <w:rPr>
          <w:rFonts w:ascii="仿宋_GB2312" w:eastAsia="仿宋_GB2312" w:cs="仿宋_GB2312" w:hAnsi="仿宋_GB2312" w:hint="eastAsia"/>
          <w:sz w:val="32"/>
          <w:szCs w:val="32"/>
          <w:lang w:val="en-US" w:eastAsia="zh-CN"/>
          <w:highlight w:val="auto"/>
        </w:rPr>
        <w:t>292.5</w:t>
      </w:r>
      <w:r>
        <w:rPr>
          <w:rFonts w:ascii="仿宋_GB2312" w:eastAsia="仿宋_GB2312" w:cs="仿宋_GB2312" w:hAnsi="仿宋_GB2312" w:hint="eastAsia"/>
          <w:sz w:val="32"/>
          <w:szCs w:val="32"/>
          <w:highlight w:val="auto"/>
        </w:rPr>
        <w:t>万元</w:t>
      </w:r>
      <w:r>
        <w:rPr>
          <w:rFonts w:ascii="仿宋_GB2312" w:eastAsia="仿宋_GB2312" w:cs="仿宋_GB2312" w:hAnsi="仿宋_GB2312" w:hint="eastAsia"/>
          <w:sz w:val="32"/>
          <w:szCs w:val="32"/>
          <w:lang w:eastAsia="zh-CN"/>
          <w:highlight w:val="auto"/>
        </w:rPr>
        <w:t>。</w:t>
      </w:r>
    </w:p>
    <w:p>
      <w:pPr>
        <w:adjustRightInd w:val="0"/>
        <w:snapToGrid w:val="0"/>
        <w:spacing w:line="560" w:lineRule="exact"/>
        <w:ind w:firstLineChars="200" w:firstLine="640"/>
        <w:rPr>
          <w:rFonts w:ascii="仿宋_GB2312" w:eastAsia="仿宋_GB2312" w:cs="仿宋_GB2312" w:hAnsi="仿宋_GB2312" w:hint="eastAsia"/>
          <w:sz w:val="32"/>
          <w:szCs w:val="32"/>
          <w:highlight w:val="auto"/>
        </w:rPr>
      </w:pPr>
      <w:r>
        <w:rPr>
          <w:rFonts w:ascii="仿宋_GB2312" w:eastAsia="仿宋_GB2312" w:cs="仿宋_GB2312" w:hAnsi="仿宋_GB2312" w:hint="eastAsia"/>
          <w:sz w:val="32"/>
          <w:szCs w:val="32"/>
          <w:highlight w:val="auto"/>
        </w:rPr>
        <w:t>202</w:t>
      </w:r>
      <w:r>
        <w:rPr>
          <w:rFonts w:ascii="仿宋_GB2312" w:eastAsia="仿宋_GB2312" w:cs="仿宋_GB2312" w:hAnsi="仿宋_GB2312" w:hint="eastAsia"/>
          <w:sz w:val="32"/>
          <w:szCs w:val="32"/>
          <w:lang w:val="en-US" w:eastAsia="zh-CN"/>
          <w:highlight w:val="auto"/>
        </w:rPr>
        <w:t>4</w:t>
      </w:r>
      <w:r>
        <w:rPr>
          <w:rFonts w:ascii="仿宋_GB2312" w:eastAsia="仿宋_GB2312" w:cs="仿宋_GB2312" w:hAnsi="仿宋_GB2312" w:hint="eastAsia"/>
          <w:sz w:val="32"/>
          <w:szCs w:val="32"/>
          <w:highlight w:val="auto"/>
        </w:rPr>
        <w:t>年支出年初预算数</w:t>
      </w:r>
      <w:r>
        <w:rPr>
          <w:rFonts w:ascii="仿宋_GB2312" w:eastAsia="仿宋_GB2312" w:cs="仿宋_GB2312" w:hAnsi="仿宋_GB2312" w:hint="eastAsia"/>
          <w:sz w:val="32"/>
          <w:szCs w:val="32"/>
          <w:lang w:val="en-US" w:eastAsia="zh-CN"/>
          <w:highlight w:val="auto"/>
        </w:rPr>
        <w:t>363.9</w:t>
      </w:r>
      <w:r>
        <w:rPr>
          <w:rFonts w:ascii="仿宋_GB2312" w:eastAsia="仿宋_GB2312" w:cs="仿宋_GB2312" w:hAnsi="仿宋_GB2312" w:hint="eastAsia"/>
          <w:sz w:val="32"/>
          <w:szCs w:val="32"/>
          <w:highlight w:val="auto"/>
        </w:rPr>
        <w:t>万元，全年</w:t>
      </w:r>
      <w:r>
        <w:rPr>
          <w:rFonts w:ascii="仿宋_GB2312" w:eastAsia="仿宋_GB2312" w:cs="仿宋_GB2312" w:hAnsi="仿宋_GB2312" w:hint="eastAsia"/>
          <w:sz w:val="32"/>
          <w:szCs w:val="32"/>
          <w:lang w:eastAsia="zh-CN"/>
          <w:highlight w:val="auto"/>
        </w:rPr>
        <w:t>调整</w:t>
      </w:r>
      <w:r>
        <w:rPr>
          <w:rFonts w:ascii="仿宋_GB2312" w:eastAsia="仿宋_GB2312" w:cs="仿宋_GB2312" w:hAnsi="仿宋_GB2312" w:hint="eastAsia"/>
          <w:sz w:val="32"/>
          <w:szCs w:val="32"/>
          <w:highlight w:val="auto"/>
        </w:rPr>
        <w:t>预算数</w:t>
      </w:r>
      <w:r>
        <w:rPr>
          <w:rFonts w:ascii="仿宋_GB2312" w:eastAsia="仿宋_GB2312" w:cs="仿宋_GB2312" w:hAnsi="仿宋_GB2312" w:hint="eastAsia"/>
          <w:sz w:val="32"/>
          <w:szCs w:val="32"/>
          <w:lang w:val="en-US" w:eastAsia="zh-CN"/>
          <w:highlight w:val="auto"/>
        </w:rPr>
        <w:t>292.5</w:t>
      </w:r>
      <w:r>
        <w:rPr>
          <w:rFonts w:ascii="仿宋_GB2312" w:eastAsia="仿宋_GB2312" w:cs="仿宋_GB2312" w:hAnsi="仿宋_GB2312" w:hint="eastAsia"/>
          <w:sz w:val="32"/>
          <w:szCs w:val="32"/>
          <w:highlight w:val="auto"/>
        </w:rPr>
        <w:t>万元</w:t>
      </w:r>
      <w:r>
        <w:rPr>
          <w:rFonts w:ascii="仿宋_GB2312" w:eastAsia="仿宋_GB2312" w:cs="仿宋_GB2312" w:hAnsi="仿宋_GB2312" w:hint="eastAsia"/>
          <w:sz w:val="32"/>
          <w:szCs w:val="32"/>
          <w:lang w:eastAsia="zh-CN"/>
          <w:highlight w:val="auto"/>
        </w:rPr>
        <w:t>。</w:t>
      </w:r>
      <w:r>
        <w:rPr>
          <w:rFonts w:ascii="仿宋_GB2312" w:eastAsia="仿宋_GB2312" w:cs="仿宋_GB2312" w:hAnsi="仿宋_GB2312" w:hint="eastAsia"/>
          <w:sz w:val="32"/>
          <w:szCs w:val="32"/>
          <w:highlight w:val="auto"/>
        </w:rPr>
        <w:t>与上年对比，增减变动主要是202</w:t>
      </w:r>
      <w:r>
        <w:rPr>
          <w:rFonts w:ascii="仿宋_GB2312" w:eastAsia="仿宋_GB2312" w:cs="仿宋_GB2312" w:hAnsi="仿宋_GB2312" w:hint="eastAsia"/>
          <w:sz w:val="32"/>
          <w:szCs w:val="32"/>
          <w:lang w:val="en-US" w:eastAsia="zh-CN"/>
          <w:highlight w:val="auto"/>
        </w:rPr>
        <w:t>4</w:t>
      </w:r>
      <w:r>
        <w:rPr>
          <w:rFonts w:ascii="仿宋_GB2312" w:eastAsia="仿宋_GB2312" w:cs="仿宋_GB2312" w:hAnsi="仿宋_GB2312" w:hint="eastAsia"/>
          <w:sz w:val="32"/>
          <w:szCs w:val="32"/>
          <w:highlight w:val="auto"/>
        </w:rPr>
        <w:t>年度人员、项目发生变化。</w:t>
      </w:r>
    </w:p>
    <w:p>
      <w:pPr>
        <w:adjustRightInd w:val="0"/>
        <w:snapToGrid w:val="0"/>
        <w:spacing w:line="560" w:lineRule="exact"/>
        <w:ind w:firstLineChars="200" w:firstLine="640"/>
        <w:rPr>
          <w:rFonts w:ascii="仿宋_GB2312" w:eastAsia="仿宋_GB2312" w:cs="仿宋_GB2312" w:hAnsi="仿宋_GB2312" w:hint="eastAsia"/>
          <w:sz w:val="32"/>
          <w:szCs w:val="32"/>
          <w:lang w:val="en-US" w:eastAsia="zh-CN"/>
          <w:highlight w:val="auto"/>
        </w:rPr>
      </w:pPr>
      <w:r>
        <w:rPr>
          <w:rFonts w:ascii="仿宋_GB2312" w:eastAsia="仿宋_GB2312" w:cs="仿宋_GB2312" w:hAnsi="仿宋_GB2312" w:hint="eastAsia"/>
          <w:sz w:val="32"/>
          <w:szCs w:val="32"/>
          <w:highlight w:val="auto"/>
        </w:rPr>
        <w:t>202</w:t>
      </w:r>
      <w:r>
        <w:rPr>
          <w:rFonts w:ascii="仿宋_GB2312" w:eastAsia="仿宋_GB2312" w:cs="仿宋_GB2312" w:hAnsi="仿宋_GB2312" w:hint="eastAsia"/>
          <w:sz w:val="32"/>
          <w:szCs w:val="32"/>
          <w:lang w:val="en-US" w:eastAsia="zh-CN"/>
          <w:highlight w:val="auto"/>
        </w:rPr>
        <w:t>4</w:t>
      </w:r>
      <w:r>
        <w:rPr>
          <w:rFonts w:ascii="仿宋_GB2312" w:eastAsia="仿宋_GB2312" w:cs="仿宋_GB2312" w:hAnsi="仿宋_GB2312" w:hint="eastAsia"/>
          <w:sz w:val="32"/>
          <w:szCs w:val="32"/>
          <w:highlight w:val="auto"/>
        </w:rPr>
        <w:t>年收入预算执行</w:t>
      </w:r>
      <w:r>
        <w:rPr>
          <w:rFonts w:ascii="仿宋_GB2312" w:eastAsia="仿宋_GB2312" w:cs="仿宋_GB2312" w:hAnsi="仿宋_GB2312" w:hint="eastAsia"/>
          <w:sz w:val="32"/>
          <w:szCs w:val="32"/>
          <w:lang w:val="en-US" w:eastAsia="zh-CN"/>
          <w:highlight w:val="auto"/>
        </w:rPr>
        <w:t>292.5</w:t>
      </w:r>
      <w:r>
        <w:rPr>
          <w:rFonts w:ascii="仿宋_GB2312" w:eastAsia="仿宋_GB2312" w:cs="仿宋_GB2312" w:hAnsi="仿宋_GB2312" w:hint="eastAsia"/>
          <w:sz w:val="32"/>
          <w:szCs w:val="32"/>
          <w:highlight w:val="auto"/>
        </w:rPr>
        <w:t>万元，完成调整预算的100%；支出预算执行</w:t>
      </w:r>
      <w:r>
        <w:rPr>
          <w:rFonts w:ascii="仿宋_GB2312" w:eastAsia="仿宋_GB2312" w:cs="仿宋_GB2312" w:hAnsi="仿宋_GB2312" w:hint="eastAsia"/>
          <w:sz w:val="32"/>
          <w:szCs w:val="32"/>
          <w:lang w:val="en-US" w:eastAsia="zh-CN"/>
          <w:highlight w:val="auto"/>
        </w:rPr>
        <w:t>292.5</w:t>
      </w:r>
      <w:r>
        <w:rPr>
          <w:rFonts w:ascii="仿宋_GB2312" w:eastAsia="仿宋_GB2312" w:cs="仿宋_GB2312" w:hAnsi="仿宋_GB2312" w:hint="eastAsia"/>
          <w:sz w:val="32"/>
          <w:szCs w:val="32"/>
          <w:highlight w:val="auto"/>
        </w:rPr>
        <w:t>万元，完成调整预算的100%。</w:t>
      </w:r>
    </w:p>
    <w:p>
      <w:pPr>
        <w:adjustRightInd w:val="0"/>
        <w:snapToGrid w:val="0"/>
        <w:spacing w:line="560" w:lineRule="exact"/>
        <w:ind w:firstLineChars="200" w:firstLine="640"/>
        <w:rPr>
          <w:rFonts w:ascii="楷体" w:eastAsia="楷体" w:cs="楷体_GB2312" w:hAnsi="楷体"/>
          <w:bCs/>
          <w:sz w:val="32"/>
          <w:szCs w:val="32"/>
        </w:rPr>
      </w:pPr>
      <w:r>
        <w:rPr>
          <w:rFonts w:ascii="楷体" w:eastAsia="楷体" w:cs="楷体_GB2312" w:hAnsi="楷体" w:hint="eastAsia"/>
          <w:bCs/>
          <w:sz w:val="32"/>
          <w:szCs w:val="32"/>
        </w:rPr>
        <w:t>（三）部门整体支出绩效目标、指标</w:t>
      </w:r>
    </w:p>
    <w:p>
      <w:pPr>
        <w:adjustRightInd w:val="0"/>
        <w:snapToGrid w:val="0"/>
        <w:spacing w:line="560" w:lineRule="exact"/>
        <w:ind w:firstLineChars="200" w:firstLine="640"/>
        <w:rPr>
          <w:rFonts w:ascii="仿宋_GB2312" w:eastAsia="仿宋_GB2312" w:cs="仿宋_GB2312" w:hAnsi="仿宋_GB2312" w:hint="eastAsia"/>
          <w:sz w:val="32"/>
          <w:szCs w:val="32"/>
        </w:rPr>
      </w:pPr>
      <w:r>
        <w:rPr>
          <w:rFonts w:ascii="仿宋_GB2312" w:eastAsia="仿宋_GB2312" w:cs="仿宋_GB2312" w:hAnsi="仿宋_GB2312" w:hint="eastAsia"/>
          <w:sz w:val="32"/>
          <w:szCs w:val="32"/>
        </w:rPr>
        <w:t>今年我局将高质量开展招商引资工作，贯彻执行国家、省、市有关国内贸易、商贸流通的发展战略、方针、政策，积极宣传、推介矿区，参加省市举办的重大招商活动，力争让更多的好项目、大项目落户我区，促进全区新旧动能转换，大力推进创发展战略的实施，营造良好发展环境。加大对我区外贸主体的帮扶力度，强化贸易便利水平提升，优化外贸结构，提高外贸品牌附加值。加强对全区商贸活动的指导、监督和协调，规划全区商品市场、培育流通市场主体，指导全区社会消费品零售总额和限上企业的培育工作。按规定对成品油流通、加油站进行监督管理。勇于变革，不断创新，积极推动招商引资、投资促进、商贸工作制度完善，推动资金、技术、人才等资源要素向实体经济领域聚集，为我区经济发展新局面打下坚实基础。</w:t>
      </w:r>
    </w:p>
    <w:p>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二、自评工作开展情况</w:t>
      </w:r>
    </w:p>
    <w:p>
      <w:pPr>
        <w:spacing w:line="560" w:lineRule="exact"/>
        <w:rPr>
          <w:rFonts w:ascii="楷体" w:eastAsia="楷体" w:cs="楷体_GB2312" w:hAnsi="楷体"/>
          <w:sz w:val="32"/>
          <w:szCs w:val="32"/>
        </w:rPr>
      </w:pPr>
      <w:r>
        <w:rPr>
          <w:rFonts w:ascii="仿宋" w:eastAsia="仿宋" w:cs="楷体_GB2312" w:hAnsi="仿宋" w:hint="eastAsia"/>
          <w:b/>
          <w:bCs/>
          <w:sz w:val="32"/>
          <w:szCs w:val="32"/>
        </w:rPr>
        <w:t xml:space="preserve">    </w:t>
      </w:r>
      <w:r>
        <w:rPr>
          <w:rFonts w:ascii="楷体" w:eastAsia="楷体" w:cs="楷体_GB2312" w:hAnsi="楷体" w:hint="eastAsia"/>
          <w:bCs/>
          <w:sz w:val="32"/>
          <w:szCs w:val="32"/>
        </w:rPr>
        <w:t>（一）自评的组织工作</w:t>
      </w:r>
    </w:p>
    <w:p>
      <w:pPr>
        <w:spacing w:line="560" w:lineRule="exact"/>
        <w:rPr>
          <w:rFonts w:ascii="仿宋_GB2312" w:eastAsia="仿宋_GB2312" w:cs="仿宋_GB2312" w:hAnsi="仿宋_GB2312" w:hint="eastAsia"/>
          <w:sz w:val="32"/>
          <w:szCs w:val="32"/>
        </w:rPr>
      </w:pPr>
      <w:r>
        <w:rPr>
          <w:rFonts w:ascii="仿宋" w:eastAsia="仿宋" w:hAnsi="仿宋" w:hint="eastAsia"/>
          <w:sz w:val="32"/>
          <w:szCs w:val="32"/>
        </w:rPr>
        <w:t xml:space="preserve">    </w:t>
      </w:r>
      <w:r>
        <w:rPr>
          <w:rFonts w:ascii="仿宋_GB2312" w:eastAsia="仿宋_GB2312" w:cs="仿宋_GB2312" w:hAnsi="仿宋_GB2312" w:hint="eastAsia"/>
          <w:sz w:val="32"/>
          <w:szCs w:val="32"/>
          <w:lang w:eastAsia="zh-CN"/>
        </w:rPr>
        <w:t>根据</w:t>
      </w:r>
      <w:r>
        <w:rPr>
          <w:rFonts w:ascii="仿宋_GB2312" w:eastAsia="仿宋_GB2312" w:cs="仿宋_GB2312" w:hAnsi="仿宋_GB2312" w:hint="eastAsia"/>
          <w:sz w:val="32"/>
          <w:szCs w:val="32"/>
        </w:rPr>
        <w:t>区</w:t>
      </w:r>
      <w:r>
        <w:rPr>
          <w:rFonts w:ascii="仿宋_GB2312" w:eastAsia="仿宋_GB2312" w:cs="仿宋_GB2312" w:hAnsi="仿宋_GB2312" w:hint="eastAsia"/>
          <w:sz w:val="32"/>
          <w:szCs w:val="32"/>
          <w:lang w:eastAsia="zh-CN"/>
        </w:rPr>
        <w:t>财政局</w:t>
      </w:r>
      <w:r>
        <w:rPr>
          <w:rFonts w:ascii="仿宋_GB2312" w:eastAsia="仿宋_GB2312" w:cs="仿宋_GB2312" w:hAnsi="仿宋_GB2312" w:hint="eastAsia"/>
          <w:sz w:val="32"/>
          <w:szCs w:val="32"/>
        </w:rPr>
        <w:t>《</w:t>
      </w:r>
      <w:r>
        <w:rPr>
          <w:rFonts w:ascii="仿宋_GB2312" w:eastAsia="仿宋_GB2312" w:cs="仿宋_GB2312" w:hAnsi="仿宋_GB2312" w:hint="eastAsia"/>
          <w:sz w:val="32"/>
          <w:szCs w:val="32"/>
          <w:lang w:eastAsia="zh-CN"/>
        </w:rPr>
        <w:t>井陉矿区区级部门项目绩效自评管理办法</w:t>
      </w:r>
      <w:r>
        <w:rPr>
          <w:rFonts w:ascii="仿宋_GB2312" w:eastAsia="仿宋_GB2312" w:cs="仿宋_GB2312" w:hAnsi="仿宋_GB2312" w:hint="eastAsia"/>
          <w:sz w:val="32"/>
          <w:szCs w:val="32"/>
        </w:rPr>
        <w:t>》（矿</w:t>
      </w:r>
      <w:r>
        <w:rPr>
          <w:rFonts w:ascii="仿宋_GB2312" w:eastAsia="仿宋_GB2312" w:cs="仿宋_GB2312" w:hAnsi="仿宋_GB2312" w:hint="eastAsia"/>
          <w:sz w:val="32"/>
          <w:szCs w:val="32"/>
          <w:lang w:eastAsia="zh-CN"/>
        </w:rPr>
        <w:t>财</w:t>
      </w:r>
      <w:r>
        <w:rPr>
          <w:rFonts w:ascii="仿宋_GB2312" w:eastAsia="仿宋_GB2312" w:cs="仿宋_GB2312" w:hAnsi="仿宋_GB2312" w:hint="eastAsia"/>
          <w:sz w:val="32"/>
          <w:szCs w:val="32"/>
        </w:rPr>
        <w:t>﹝20</w:t>
      </w:r>
      <w:r>
        <w:rPr>
          <w:rFonts w:ascii="仿宋_GB2312" w:eastAsia="仿宋_GB2312" w:cs="仿宋_GB2312" w:hAnsi="仿宋_GB2312" w:hint="eastAsia"/>
          <w:sz w:val="32"/>
          <w:szCs w:val="32"/>
          <w:lang w:val="en-US" w:eastAsia="zh-CN"/>
        </w:rPr>
        <w:t>21</w:t>
      </w:r>
      <w:r>
        <w:rPr>
          <w:rFonts w:ascii="仿宋_GB2312" w:eastAsia="仿宋_GB2312" w:cs="仿宋_GB2312" w:hAnsi="仿宋_GB2312" w:hint="eastAsia"/>
          <w:sz w:val="32"/>
          <w:szCs w:val="32"/>
        </w:rPr>
        <w:t>﹞</w:t>
      </w:r>
      <w:r>
        <w:rPr>
          <w:rFonts w:ascii="仿宋_GB2312" w:eastAsia="仿宋_GB2312" w:cs="仿宋_GB2312" w:hAnsi="仿宋_GB2312" w:hint="eastAsia"/>
          <w:sz w:val="32"/>
          <w:szCs w:val="32"/>
          <w:lang w:val="en-US" w:eastAsia="zh-CN"/>
        </w:rPr>
        <w:t>12</w:t>
      </w:r>
      <w:r>
        <w:rPr>
          <w:rFonts w:ascii="仿宋_GB2312" w:eastAsia="仿宋_GB2312" w:cs="仿宋_GB2312" w:hAnsi="仿宋_GB2312" w:hint="eastAsia"/>
          <w:sz w:val="32"/>
          <w:szCs w:val="32"/>
        </w:rPr>
        <w:t>号）文件</w:t>
      </w:r>
      <w:r>
        <w:rPr>
          <w:rFonts w:ascii="仿宋_GB2312" w:eastAsia="仿宋_GB2312" w:cs="仿宋_GB2312" w:hAnsi="仿宋_GB2312" w:hint="eastAsia"/>
          <w:sz w:val="32"/>
          <w:szCs w:val="32"/>
          <w:lang w:eastAsia="zh-CN"/>
        </w:rPr>
        <w:t>要求，我局高度重视此项绩效自评工作，成立了绩效评价小组，成员包括单位办公室、商贸股、投促股、财务人员，评价组按照通知要求，明确评价内容、评价程序及时间安排，并通知单位相关人员提前准备相关资料，积极配合做好自评工作。评价以202</w:t>
      </w:r>
      <w:r>
        <w:rPr>
          <w:rFonts w:ascii="仿宋_GB2312" w:eastAsia="仿宋_GB2312" w:cs="仿宋_GB2312" w:hAnsi="仿宋_GB2312" w:hint="eastAsia"/>
          <w:sz w:val="32"/>
          <w:szCs w:val="32"/>
          <w:lang w:val="en-US" w:eastAsia="zh-CN"/>
        </w:rPr>
        <w:t>4</w:t>
      </w:r>
      <w:r>
        <w:rPr>
          <w:rFonts w:ascii="仿宋_GB2312" w:eastAsia="仿宋_GB2312" w:cs="仿宋_GB2312" w:hAnsi="仿宋_GB2312" w:hint="eastAsia"/>
          <w:sz w:val="32"/>
          <w:szCs w:val="32"/>
          <w:lang w:eastAsia="zh-CN"/>
        </w:rPr>
        <w:t>年项目绩效目标和绩效指标为依据，通过对相关账目进行核实，对比各绩效指标完成情况，进一步分析和总结，对</w:t>
      </w:r>
      <w:r>
        <w:rPr>
          <w:rFonts w:ascii="仿宋_GB2312" w:eastAsia="仿宋_GB2312" w:cs="仿宋_GB2312" w:hAnsi="仿宋_GB2312" w:hint="eastAsia"/>
          <w:sz w:val="32"/>
          <w:szCs w:val="32"/>
          <w:lang w:val="en-US" w:eastAsia="zh-CN"/>
        </w:rPr>
        <w:t>13</w:t>
      </w:r>
      <w:r>
        <w:rPr>
          <w:rFonts w:ascii="仿宋_GB2312" w:eastAsia="仿宋_GB2312" w:cs="仿宋_GB2312" w:hAnsi="仿宋_GB2312" w:hint="eastAsia"/>
          <w:sz w:val="32"/>
          <w:szCs w:val="32"/>
          <w:lang w:eastAsia="zh-CN"/>
        </w:rPr>
        <w:t>个项目进行了自评价，并完成《石家庄市井陉矿区部门预算项目绩效自评表》。</w:t>
      </w:r>
    </w:p>
    <w:p>
      <w:pPr>
        <w:numPr>
          <w:ilvl w:val="0"/>
          <w:numId w:val="2"/>
        </w:numPr>
        <w:spacing w:line="560" w:lineRule="exact"/>
        <w:rPr>
          <w:rFonts w:ascii="楷体" w:eastAsia="楷体" w:cs="楷体_GB2312" w:hAnsi="楷体"/>
          <w:bCs/>
          <w:sz w:val="32"/>
          <w:szCs w:val="32"/>
        </w:rPr>
      </w:pPr>
      <w:r>
        <w:rPr>
          <w:rFonts w:ascii="楷体" w:eastAsia="楷体" w:cs="楷体_GB2312" w:hAnsi="楷体" w:hint="eastAsia"/>
          <w:bCs/>
          <w:sz w:val="32"/>
          <w:szCs w:val="32"/>
        </w:rPr>
        <w:t>自评的方法和过程</w:t>
      </w:r>
    </w:p>
    <w:p>
      <w:pPr>
        <w:spacing w:line="560" w:lineRule="exact"/>
        <w:ind w:firstLineChars="200" w:firstLine="640"/>
        <w:rPr>
          <w:rFonts w:ascii="仿宋_GB2312" w:eastAsia="仿宋_GB2312" w:cs="仿宋_GB2312" w:hAnsi="仿宋_GB2312" w:hint="eastAsia"/>
          <w:sz w:val="32"/>
          <w:szCs w:val="32"/>
          <w:lang w:eastAsia="zh-CN"/>
        </w:rPr>
      </w:pPr>
      <w:r>
        <w:rPr>
          <w:rFonts w:ascii="仿宋_GB2312" w:eastAsia="仿宋_GB2312" w:cs="仿宋_GB2312" w:hAnsi="仿宋_GB2312" w:hint="eastAsia"/>
          <w:sz w:val="32"/>
          <w:szCs w:val="32"/>
          <w:lang w:eastAsia="zh-CN"/>
        </w:rPr>
        <w:t>预算项目绩效管理小组根据本单位预算项目的内容、操作流程、管理机制、资金使用、产出效果等情况，根据项目的实际情况和绩效管理要求制定绩效评价工作方案，与项目相关业务科室人员进行了座谈，并抽查了财务记账凭证及部分佐证材料。对复核后的数据和资料进行汇总，依据评分标准对评价指标进行评分，对我部门202</w:t>
      </w:r>
      <w:r>
        <w:rPr>
          <w:rFonts w:ascii="仿宋_GB2312" w:eastAsia="仿宋_GB2312" w:cs="仿宋_GB2312" w:hAnsi="仿宋_GB2312" w:hint="eastAsia"/>
          <w:sz w:val="32"/>
          <w:szCs w:val="32"/>
          <w:lang w:val="en-US" w:eastAsia="zh-CN"/>
        </w:rPr>
        <w:t>4</w:t>
      </w:r>
      <w:r>
        <w:rPr>
          <w:rFonts w:ascii="仿宋_GB2312" w:eastAsia="仿宋_GB2312" w:cs="仿宋_GB2312" w:hAnsi="仿宋_GB2312" w:hint="eastAsia"/>
          <w:sz w:val="32"/>
          <w:szCs w:val="32"/>
          <w:lang w:eastAsia="zh-CN"/>
        </w:rPr>
        <w:t>年经费使用情况进行了全方位自查和自评，并通过绩效分析形成绩效评价报告。</w:t>
      </w:r>
    </w:p>
    <w:p>
      <w:pPr>
        <w:spacing w:line="560" w:lineRule="exact"/>
        <w:ind w:firstLineChars="200" w:firstLine="640"/>
        <w:rPr>
          <w:rFonts w:ascii="黑体" w:eastAsia="黑体" w:hAnsi="黑体"/>
          <w:b/>
          <w:bCs/>
          <w:sz w:val="32"/>
          <w:szCs w:val="32"/>
        </w:rPr>
      </w:pPr>
      <w:r>
        <w:rPr>
          <w:rFonts w:ascii="黑体" w:eastAsia="黑体" w:hAnsi="黑体" w:hint="eastAsia"/>
          <w:sz w:val="32"/>
          <w:szCs w:val="32"/>
        </w:rPr>
        <w:t xml:space="preserve"> 三、部门整体支出绩效目标实现情况及指标分析</w:t>
      </w:r>
    </w:p>
    <w:p>
      <w:pPr>
        <w:numPr>
          <w:ilvl w:val="0"/>
          <w:numId w:val="3"/>
        </w:numPr>
        <w:spacing w:line="560" w:lineRule="exact"/>
        <w:ind w:left="0" w:firstLineChars="200" w:firstLine="640"/>
        <w:rPr>
          <w:rFonts w:ascii="楷体" w:eastAsia="楷体" w:cs="楷体_GB2312" w:hAnsi="楷体"/>
          <w:bCs/>
          <w:sz w:val="32"/>
          <w:szCs w:val="32"/>
        </w:rPr>
      </w:pPr>
      <w:r>
        <w:rPr>
          <w:rFonts w:ascii="楷体" w:eastAsia="楷体" w:cs="楷体_GB2312" w:hAnsi="楷体" w:hint="eastAsia"/>
          <w:bCs/>
          <w:sz w:val="32"/>
          <w:szCs w:val="32"/>
        </w:rPr>
        <w:t>总体绩效目标实现情况</w:t>
      </w:r>
    </w:p>
    <w:p>
      <w:pPr>
        <w:ind w:firstLineChars="200" w:firstLine="640"/>
        <w:rPr>
          <w:rFonts w:ascii="仿宋_GB2312" w:eastAsia="仿宋_GB2312" w:cs="仿宋_GB2312" w:hAnsi="仿宋_GB2312" w:hint="eastAsia"/>
          <w:sz w:val="32"/>
          <w:szCs w:val="32"/>
        </w:rPr>
      </w:pPr>
      <w:r>
        <w:rPr>
          <w:rFonts w:ascii="仿宋_GB2312" w:eastAsia="仿宋_GB2312" w:cs="仿宋_GB2312" w:hAnsi="仿宋_GB2312" w:hint="eastAsia"/>
          <w:sz w:val="32"/>
          <w:szCs w:val="32"/>
        </w:rPr>
        <w:t>推动</w:t>
      </w:r>
      <w:r>
        <w:rPr>
          <w:rFonts w:ascii="仿宋_GB2312" w:eastAsia="仿宋_GB2312" w:cs="仿宋_GB2312" w:hAnsi="仿宋_GB2312" w:hint="eastAsia"/>
          <w:sz w:val="32"/>
          <w:szCs w:val="32"/>
          <w:lang w:eastAsia="zh-CN"/>
        </w:rPr>
        <w:t>我</w:t>
      </w:r>
      <w:r>
        <w:rPr>
          <w:rFonts w:ascii="仿宋_GB2312" w:eastAsia="仿宋_GB2312" w:cs="仿宋_GB2312" w:hAnsi="仿宋_GB2312" w:hint="eastAsia"/>
          <w:sz w:val="32"/>
          <w:szCs w:val="32"/>
        </w:rPr>
        <w:t>区进出口贸易增长，促进招商引资，吸引外资或内资项目落地，支持本地企业拓展市场，提高企业市场竞争力，为企业提供政策咨询和培训服务，提升企业对政策的知晓率和利用率。协调解决企业经营中的困难和问题，提高企业满意度。组织外贸企业积极参加国内外展会、经贸洽谈会等活动，拓展市场渠道。加强对上级部门的问计，为企业争取相关补贴和政策。做好其他职责内工作。</w:t>
      </w:r>
    </w:p>
    <w:p>
      <w:pPr>
        <w:spacing w:line="560" w:lineRule="exact"/>
        <w:rPr>
          <w:rFonts w:ascii="楷体" w:eastAsia="楷体" w:hAnsi="楷体"/>
          <w:bCs/>
          <w:sz w:val="32"/>
          <w:szCs w:val="32"/>
        </w:rPr>
      </w:pPr>
      <w:r>
        <w:rPr>
          <w:rFonts w:ascii="仿宋" w:eastAsia="仿宋" w:cs="楷体_GB2312" w:hAnsi="仿宋" w:hint="eastAsia"/>
          <w:b/>
          <w:bCs/>
          <w:sz w:val="32"/>
          <w:szCs w:val="32"/>
        </w:rPr>
        <w:t xml:space="preserve">    </w:t>
      </w:r>
      <w:r>
        <w:rPr>
          <w:rFonts w:ascii="楷体" w:eastAsia="楷体" w:cs="楷体_GB2312" w:hAnsi="楷体" w:hint="eastAsia"/>
          <w:bCs/>
          <w:sz w:val="32"/>
          <w:szCs w:val="32"/>
        </w:rPr>
        <w:t>（二）分项绩效目标实现情况及指标分析</w:t>
      </w:r>
    </w:p>
    <w:p>
      <w:pPr>
        <w:ind w:firstLineChars="200" w:firstLine="640"/>
        <w:rPr>
          <w:rFonts w:ascii="仿宋_GB2312" w:eastAsia="仿宋_GB2312" w:cs="仿宋_GB2312" w:hAnsi="仿宋_GB2312" w:hint="eastAsia"/>
          <w:sz w:val="32"/>
          <w:szCs w:val="32"/>
        </w:rPr>
      </w:pPr>
      <w:r>
        <w:rPr>
          <w:rFonts w:ascii="仿宋_GB2312" w:eastAsia="仿宋_GB2312" w:cs="仿宋_GB2312" w:hAnsi="仿宋_GB2312" w:hint="eastAsia"/>
          <w:sz w:val="32"/>
          <w:szCs w:val="32"/>
        </w:rPr>
        <w:t>1.招商引资方面：一是系统谋划矿区高质量发展“作战图”。年初召开井陉矿区2023年经济建设工作总结表彰暨2024年“项目建设冲刺年”动员大会，印发《井陉矿区2024年度招商引资提质增效工作实施方案》，实行“1个领导小组+5大精准招商专班+2个保障小组”的招商引资工作机制，进一步凝聚招商合力。二是以上率下抓好招商引资“牛鼻子”。坚持将招商引资作为“一把手”工程，党政主要领导先后带队赴北京、南阳、廊坊、无锡、济南等地外出招商。同北京科技大学对接交流，洽谈区校共建联合创新机构等合作事宜；推动三峡新能源100兆瓦风力发电项目建设，成功引进央企三级子公司（三峡新能源石家庄市井陉矿区有限公司）；考察学习固安市民活动中心、北京月坛体育馆建设运营情况，问计国家体育总局青少年体育司，与北京一九八九木子文化传媒有限公司签订青少年赛事中心项目合作协议；考察江苏盛皇微风发电设备装备制造、上海优众行无锡无人机机芯装备制造等10余个项目。探索开展基金招商，成立资金总规模5.03亿元的股权投资基金，探索以“基金+产业”“基金+项目”等模式。选聘产业领军人才、企业家等作为招商大使，积极与第三方专业化招商平台对接，提高招商引资社会化、专业化水平。四是迭代优化重点项目服务“强保障”。实行项目研判会商机制，及时解决项目推进存在的问题，对重大项目实行区级领导分包推进制度，一个项目一名分包领导、一套工作班子、一跟到底，有力推动了铁能机电冷弯智能成套设备、普澳利通空气净化器及废气治理设备和装置制造、西汉新能源特种合金新材料等一大批大项目、好项目签约落地。与市旅投合作，改造提升段家楼景区，“五一”期间盛装开业。高标准打造正丰左岸艺术村，盘活清凉山、台阳山等闲置文旅资源，通过项目招引实现文旅富民。</w:t>
      </w:r>
    </w:p>
    <w:p>
      <w:pPr>
        <w:ind w:firstLineChars="200" w:firstLine="640"/>
        <w:rPr>
          <w:rFonts w:ascii="仿宋_GB2312" w:eastAsia="仿宋_GB2312" w:cs="仿宋_GB2312" w:hAnsi="仿宋_GB2312" w:hint="eastAsia"/>
          <w:sz w:val="32"/>
          <w:szCs w:val="32"/>
        </w:rPr>
      </w:pPr>
      <w:r>
        <w:rPr>
          <w:rFonts w:ascii="仿宋_GB2312" w:eastAsia="仿宋_GB2312" w:cs="仿宋_GB2312" w:hAnsi="仿宋_GB2312" w:hint="eastAsia"/>
          <w:sz w:val="32"/>
          <w:szCs w:val="32"/>
        </w:rPr>
        <w:t>2.促消费方面：一是打造多元消费场景，激发消费活力。成功跑办上级促消费专项支持资金25万，组织重点限上企业开展“中秋国庆 乐购双节”系列促消费活动，消费拉动作用显著，5家重点限上企业9-10月零售额同比增长近30%，为社零额增长提供了有力支撑。组织限上企业参加市级消费券发放、夜经济红包发放等活动，推出年货大集、浓情端午、五一珠宝惠、家装节等促消费活动，鼓励企业打折让利销售。全面更新康盛街夜市，整体上新移动箱车，提升街区风貌，引进商户40余家，满足多元消费需求，打造矿区夜经济新地标。邀请腾旭商贸负责人来我区进行项目对接，实地走访科讯传媒寻找双方合作契机和突破点，积极培育科讯传媒扩展电商业务。二是抢抓以旧换新机遇，掀起消费热潮。按照省、市“以旧换新”活动要求，组织好各类市场主体申报工作，目前我区家电、家具、家装、电动自行车16家市场主体通过市级审核开展活动，并在各乡镇街道开展以旧换新宣讲活动5场，持续扩大居民知晓度。截至12月19日，我区以旧换新承办单位累计销售964.09万元，获取补贴金额达170.68万元，电动自行车人均补贴金额排名全市第1。三是推动业态融合联动，释放消费潜力。依托文旅资源优势，举办特色商业街民俗文化展演、情景剧演出，不断释放消费潜力。借助我区厨王争霸赛、特色菜评选活动，形成一店一特色，打造特色餐饮品牌。高标准建设矿市街道一刻钟便民生活圈，商超、便利店、生鲜店、早餐店等生活业态更加丰富，不断提升群众生活便利度。依托段家楼、清凉山、正丰左岸等景区开展正月十二大巡游、“山水之间”摇滚季演出、矿区夏季篮球联赛等重大活动，引导企业广泛开展促消费活动。云顶商务酒店项目、锦绣横涧商业综合体项目均正在进行主体施工，多元商业生态圈结构不断优化，持续深入推进商文旅融合高质量发展。</w:t>
      </w:r>
    </w:p>
    <w:p>
      <w:pPr>
        <w:ind w:firstLineChars="200" w:firstLine="640"/>
        <w:rPr>
          <w:rFonts w:ascii="仿宋_GB2312" w:eastAsia="仿宋_GB2312" w:cs="仿宋_GB2312" w:hAnsi="仿宋_GB2312" w:hint="eastAsia"/>
          <w:sz w:val="32"/>
          <w:szCs w:val="32"/>
        </w:rPr>
      </w:pPr>
      <w:r>
        <w:rPr>
          <w:rFonts w:ascii="仿宋_GB2312" w:eastAsia="仿宋_GB2312" w:cs="仿宋_GB2312" w:hAnsi="仿宋_GB2312" w:hint="eastAsia"/>
          <w:sz w:val="32"/>
          <w:szCs w:val="32"/>
        </w:rPr>
        <w:t>3.外贸进出口方面：一方面，加强入企走访，做好政策宣传。加强信保宣传，鼓励应保尽保。组织企业积极参加市级各类外贸培训会，提升企业应对风险能力。帮助工业泵厂协调海关进行AEO认证，跟进工业泵厂反应因俄乌战争造成的俄罗斯收汇问题，持续向上问计、争取支持，为企业拓宽海外市场保驾护航。为工业泵厂拨付中小企业开拓国际市场奖补资金5.38万，全区外贸企业信息员补贴资金2.4万元，为重点外贸企业申报2024年市级外经贸专项资金及外贸企业开拓国际市场专项资金48.61万元，待上级部门审核。另一方面，鼓励外出抢单，积极开拓市场。充分发挥石钢公司外贸龙头引领作用，先后前往中东、日本、越南等地洽谈业务，参加德国杜塞尔多夫国际钢铁展1次，签订欧洲市场5千吨订单。工业泵厂参加俄罗斯莫斯科矿业展、塔什干矿业展等境外展会5次，达成近200万元订单。华康瓷业参加第四届中国国际消费品博览会（唯一一家代表河北参展的骨质瓷企业）、第136届广交会，与多个欧洲客户达成购买意向，产品专柜入驻北国超市。</w:t>
      </w:r>
    </w:p>
    <w:p>
      <w:pPr>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pPr>
        <w:spacing w:line="560" w:lineRule="exact"/>
        <w:ind w:firstLineChars="200" w:firstLine="640"/>
        <w:rPr>
          <w:rFonts w:ascii="仿宋_GB2312" w:eastAsia="仿宋_GB2312" w:cs="仿宋_GB2312" w:hAnsi="仿宋_GB2312" w:hint="eastAsia"/>
          <w:sz w:val="32"/>
          <w:szCs w:val="32"/>
          <w:highlight w:val="auto"/>
        </w:rPr>
      </w:pPr>
      <w:r>
        <w:rPr>
          <w:rFonts w:ascii="仿宋_GB2312" w:eastAsia="仿宋_GB2312" w:cs="仿宋_GB2312" w:hAnsi="仿宋_GB2312" w:hint="eastAsia"/>
          <w:sz w:val="32"/>
          <w:szCs w:val="32"/>
          <w:highlight w:val="auto"/>
        </w:rPr>
        <w:t>根据部门职责定位和各项工作履职情况进行综合评价，</w:t>
      </w:r>
      <w:r>
        <w:rPr>
          <w:rFonts w:ascii="仿宋_GB2312" w:eastAsia="仿宋_GB2312" w:cs="仿宋_GB2312" w:hAnsi="仿宋_GB2312" w:hint="eastAsia"/>
          <w:sz w:val="32"/>
          <w:szCs w:val="32"/>
          <w:lang w:eastAsia="zh-CN"/>
          <w:highlight w:val="auto"/>
        </w:rPr>
        <w:t>我局</w:t>
      </w:r>
      <w:r>
        <w:rPr>
          <w:rFonts w:ascii="仿宋_GB2312" w:eastAsia="仿宋_GB2312" w:cs="仿宋_GB2312" w:hAnsi="仿宋_GB2312" w:hint="eastAsia"/>
          <w:sz w:val="32"/>
          <w:szCs w:val="32"/>
          <w:highlight w:val="auto"/>
        </w:rPr>
        <w:t>总得分</w:t>
      </w:r>
      <w:r>
        <w:rPr>
          <w:rFonts w:ascii="仿宋_GB2312" w:eastAsia="仿宋_GB2312" w:cs="仿宋_GB2312" w:hAnsi="仿宋_GB2312" w:hint="eastAsia"/>
          <w:sz w:val="32"/>
          <w:szCs w:val="32"/>
          <w:lang w:eastAsia="zh-CN"/>
          <w:highlight w:val="auto"/>
        </w:rPr>
        <w:t>为</w:t>
      </w:r>
      <w:r>
        <w:rPr>
          <w:rFonts w:ascii="仿宋_GB2312" w:eastAsia="仿宋_GB2312" w:cs="仿宋_GB2312" w:hAnsi="仿宋_GB2312" w:hint="eastAsia"/>
          <w:sz w:val="32"/>
          <w:szCs w:val="32"/>
          <w:lang w:val="en-US" w:eastAsia="zh-CN"/>
          <w:highlight w:val="auto"/>
        </w:rPr>
        <w:t>89</w:t>
      </w:r>
      <w:r>
        <w:rPr>
          <w:rFonts w:ascii="仿宋_GB2312" w:eastAsia="仿宋_GB2312" w:cs="仿宋_GB2312" w:hAnsi="仿宋_GB2312" w:hint="eastAsia"/>
          <w:sz w:val="32"/>
          <w:szCs w:val="32"/>
          <w:highlight w:val="auto"/>
        </w:rPr>
        <w:t>分，综合绩效评价等级</w:t>
      </w:r>
      <w:r>
        <w:rPr>
          <w:rFonts w:ascii="仿宋_GB2312" w:eastAsia="仿宋_GB2312" w:cs="仿宋_GB2312" w:hAnsi="仿宋_GB2312" w:hint="eastAsia"/>
          <w:sz w:val="32"/>
          <w:szCs w:val="32"/>
          <w:lang w:eastAsia="zh-CN"/>
          <w:highlight w:val="auto"/>
        </w:rPr>
        <w:t>为优秀</w:t>
      </w:r>
      <w:r>
        <w:rPr>
          <w:rFonts w:ascii="仿宋_GB2312" w:eastAsia="仿宋_GB2312" w:cs="仿宋_GB2312" w:hAnsi="仿宋_GB2312" w:hint="eastAsia"/>
          <w:sz w:val="32"/>
          <w:szCs w:val="32"/>
          <w:highlight w:val="auto"/>
        </w:rPr>
        <w:t>。</w:t>
      </w:r>
    </w:p>
    <w:p>
      <w:pPr>
        <w:numPr>
          <w:ilvl w:val="0"/>
          <w:numId w:val="4"/>
        </w:numPr>
        <w:spacing w:line="560" w:lineRule="exact"/>
        <w:ind w:left="0" w:firstLineChars="200" w:firstLine="640"/>
        <w:rPr>
          <w:rFonts w:ascii="黑体" w:eastAsia="黑体" w:hAnsi="黑体" w:hint="eastAsia"/>
          <w:sz w:val="32"/>
          <w:szCs w:val="32"/>
        </w:rPr>
      </w:pPr>
      <w:r>
        <w:rPr>
          <w:rFonts w:ascii="黑体" w:eastAsia="黑体" w:hAnsi="黑体" w:hint="eastAsia"/>
          <w:sz w:val="32"/>
          <w:szCs w:val="32"/>
        </w:rPr>
        <w:t>存在的问题及改进措施</w:t>
      </w:r>
    </w:p>
    <w:p>
      <w:pPr>
        <w:numPr>
          <w:ilvl w:val="0"/>
          <w:numId w:val="5"/>
        </w:numPr>
        <w:spacing w:line="560" w:lineRule="exact"/>
        <w:ind w:left="0" w:firstLineChars="200" w:firstLine="640"/>
        <w:rPr>
          <w:rFonts w:ascii="楷体" w:eastAsia="楷体" w:hAnsi="楷体" w:hint="eastAsia"/>
          <w:bCs/>
          <w:sz w:val="32"/>
          <w:szCs w:val="32"/>
        </w:rPr>
      </w:pPr>
      <w:r>
        <w:rPr>
          <w:rFonts w:ascii="楷体" w:eastAsia="楷体" w:hAnsi="楷体" w:hint="eastAsia"/>
          <w:bCs/>
          <w:sz w:val="32"/>
          <w:szCs w:val="32"/>
        </w:rPr>
        <w:t>存在的主要问题</w:t>
      </w:r>
    </w:p>
    <w:p>
      <w:pPr>
        <w:spacing w:line="560" w:lineRule="exact"/>
        <w:ind w:left="0" w:firstLineChars="200" w:firstLine="640"/>
        <w:rPr>
          <w:rFonts w:ascii="仿宋_GB2312" w:eastAsia="仿宋_GB2312" w:cs="仿宋_GB2312" w:hAnsi="仿宋_GB2312" w:hint="eastAsia"/>
          <w:b w:val="0"/>
          <w:bCs/>
          <w:sz w:val="32"/>
          <w:szCs w:val="32"/>
          <w:lang w:val="en-US" w:eastAsia="zh-CN"/>
        </w:rPr>
      </w:pPr>
      <w:r>
        <w:rPr>
          <w:rFonts w:ascii="仿宋_GB2312" w:eastAsia="仿宋_GB2312" w:cs="仿宋_GB2312" w:hAnsi="仿宋_GB2312" w:hint="eastAsia"/>
          <w:b w:val="0"/>
          <w:bCs/>
          <w:sz w:val="32"/>
          <w:szCs w:val="32"/>
          <w:lang w:val="en-US" w:eastAsia="zh-CN"/>
        </w:rPr>
        <w:t>1.项目中部分绩效指标不够明确，难以准确地对项目绩效进行评价。</w:t>
      </w:r>
    </w:p>
    <w:p>
      <w:pPr>
        <w:spacing w:line="560" w:lineRule="exact"/>
        <w:ind w:left="0" w:firstLineChars="200" w:firstLine="640"/>
        <w:rPr>
          <w:rFonts w:ascii="仿宋_GB2312" w:eastAsia="仿宋_GB2312" w:cs="仿宋_GB2312" w:hAnsi="仿宋_GB2312" w:hint="eastAsia"/>
          <w:b w:val="0"/>
          <w:bCs/>
          <w:sz w:val="32"/>
          <w:szCs w:val="32"/>
          <w:lang w:val="en-US"/>
        </w:rPr>
      </w:pPr>
      <w:r>
        <w:rPr>
          <w:rFonts w:ascii="仿宋_GB2312" w:eastAsia="仿宋_GB2312" w:cs="仿宋_GB2312" w:hAnsi="仿宋_GB2312" w:hint="eastAsia"/>
          <w:b w:val="0"/>
          <w:bCs/>
          <w:sz w:val="32"/>
          <w:szCs w:val="32"/>
          <w:lang w:val="en-US" w:eastAsia="zh-CN"/>
        </w:rPr>
        <w:t>2.因资金拨付情况及工作开展情况，导致个别项目在一定程度上存在支出进度慢的现象。</w:t>
      </w:r>
    </w:p>
    <w:p>
      <w:pPr>
        <w:spacing w:line="560" w:lineRule="exact"/>
        <w:ind w:firstLineChars="200" w:firstLine="640"/>
        <w:rPr>
          <w:rFonts w:ascii="楷体" w:eastAsia="楷体" w:hAnsi="楷体" w:hint="eastAsia"/>
          <w:bCs/>
          <w:sz w:val="32"/>
          <w:szCs w:val="32"/>
        </w:rPr>
      </w:pPr>
      <w:r>
        <w:rPr>
          <w:rFonts w:ascii="楷体" w:eastAsia="楷体" w:hAnsi="楷体" w:hint="eastAsia"/>
          <w:bCs/>
          <w:sz w:val="32"/>
          <w:szCs w:val="32"/>
        </w:rPr>
        <w:t>（二）针对问题提出具体的改进措施或建议</w:t>
      </w:r>
    </w:p>
    <w:p>
      <w:pPr>
        <w:spacing w:line="560" w:lineRule="exact"/>
        <w:ind w:firstLineChars="200" w:firstLine="640"/>
        <w:rPr>
          <w:rFonts w:ascii="仿宋_GB2312" w:eastAsia="仿宋_GB2312" w:cs="仿宋_GB2312" w:hAnsi="仿宋_GB2312" w:hint="eastAsia"/>
          <w:bCs/>
          <w:sz w:val="32"/>
          <w:szCs w:val="32"/>
          <w:lang w:val="en-US" w:eastAsia="zh-CN"/>
        </w:rPr>
      </w:pPr>
      <w:r>
        <w:rPr>
          <w:rFonts w:ascii="仿宋_GB2312" w:eastAsia="仿宋_GB2312" w:cs="仿宋_GB2312" w:hAnsi="仿宋_GB2312" w:hint="eastAsia"/>
          <w:bCs/>
          <w:sz w:val="32"/>
          <w:szCs w:val="32"/>
          <w:lang w:val="en-US" w:eastAsia="zh-CN"/>
        </w:rPr>
        <w:t>1.细化预算编制工作，认真做好预算编制。进一步加强内部预算管理意识，严格按照预算编制的相关制度和要求进行预算编制；全面编制预算项目，优先保障“三保”刚性费用支出项目，进一步提高预算编制的科学性、严谨性和可控性。</w:t>
      </w:r>
    </w:p>
    <w:p>
      <w:pPr>
        <w:spacing w:line="560" w:lineRule="exact"/>
        <w:ind w:firstLineChars="200" w:firstLine="640"/>
        <w:rPr>
          <w:rFonts w:ascii="仿宋" w:eastAsia="仿宋" w:hAnsi="仿宋" w:hint="eastAsia"/>
          <w:lang w:val="en-US" w:eastAsia="zh-CN"/>
          <w:highlight w:val="auto"/>
        </w:rPr>
      </w:pPr>
      <w:r>
        <w:rPr>
          <w:rFonts w:ascii="仿宋_GB2312" w:eastAsia="仿宋_GB2312" w:cs="仿宋_GB2312" w:hAnsi="仿宋_GB2312" w:hint="eastAsia"/>
          <w:bCs/>
          <w:sz w:val="32"/>
          <w:szCs w:val="32"/>
          <w:lang w:val="en-US" w:eastAsia="zh-CN"/>
        </w:rPr>
        <w:t>2.加强项目开展进度的跟踪，开展项目季度绩效评价，确保项目绩效目标的完成。</w:t>
      </w:r>
      <w:bookmarkStart w:id="0" w:name="_GoBack"/>
      <w:bookmarkEnd w:id="0"/>
    </w:p>
    <w:sectPr>
      <w:footerReference w:type="default" r:id="rId2"/>
      <w:pgSz w:w="11906" w:h="16838"/>
      <w:pgMar w:top="1440" w:right="1474" w:bottom="1440" w:left="1587" w:header="851" w:footer="992" w:gutter="0"/>
      <w:pgNumType w:fmt="numberInDash"/>
      <w:docGrid w:type="lines" w:linePitch="312"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宋体">
    <w:panose1 w:val="02010600030101010101"/>
    <w:charset w:val="86"/>
    <w:family w:val="auto"/>
    <w:pitch w:val="variable"/>
    <w:sig w:usb0="00000003" w:usb1="288F0000" w:usb2="00000006" w:usb3="00000000" w:csb0="00040001" w:csb1="00000000"/>
  </w:font>
  <w:font w:name="华文楷体">
    <w:altName w:val="楷体_GB2312"/>
    <w:panose1 w:val="02010600040101010101"/>
    <w:charset w:val="86"/>
    <w:family w:val="auto"/>
    <w:pitch w:val="variable"/>
    <w:sig w:usb0="00000000" w:usb1="00000000" w:usb2="00000000" w:usb3="00000000" w:csb0="0004009F" w:csb1="DFD70000"/>
  </w:font>
  <w:font w:name="仿宋_GB2312">
    <w:panose1 w:val="02010609030101010101"/>
    <w:charset w:val="86"/>
    <w:family w:val="auto"/>
    <w:pitch w:val="variable"/>
    <w:sig w:usb0="00000001" w:usb1="080E0000" w:usb2="00000000" w:usb3="00000000" w:csb0="00040000" w:csb1="00000000"/>
  </w:font>
  <w:font w:name="楷体">
    <w:panose1 w:val="02010609060101010101"/>
    <w:charset w:val="86"/>
    <w:family w:val="modern"/>
    <w:pitch w:val="variable"/>
    <w:sig w:usb0="800002BF" w:usb1="38CF7CFA" w:usb2="00000016" w:usb3="00000000" w:csb0="00040001" w:csb1="00000000"/>
  </w:font>
  <w:font w:name="楷体_GB2312">
    <w:panose1 w:val="02010609030101010101"/>
    <w:charset w:val="86"/>
    <w:family w:val="auto"/>
    <w:pitch w:val="variable"/>
    <w:sig w:usb0="00000001" w:usb1="080E0000" w:usb2="00000000" w:usb3="00000000" w:csb0="00040000" w:csb1="00000000"/>
  </w:font>
  <w:font w:name="仿宋">
    <w:panose1 w:val="02010609060101010101"/>
    <w:charset w:val="86"/>
    <w:family w:val="modern"/>
    <w:pitch w:val="variable"/>
    <w:sig w:usb0="800002BF" w:usb1="38CF7CFA" w:usb2="00000016" w:usb3="00000000" w:csb0="00040001" w:csb1="00000000"/>
  </w:font>
  <w:font w:name="Times New Roman">
    <w:panose1 w:val="02020603050405020304"/>
    <w:charset w:val="00"/>
    <w:family w:val="roman"/>
    <w:pitch w:val="variable"/>
    <w:sig w:usb0="20007A87" w:usb1="80000000" w:usb2="00000008" w:usb3="00000000" w:csb0="000001FF" w:csb1="00000000"/>
  </w:font>
  <w:font w:name="Arial">
    <w:panose1 w:val="020B0604020202020204"/>
    <w:charset w:val="00"/>
    <w:family w:val="auto"/>
    <w:pitch w:val="variable"/>
    <w:sig w:usb0="00007A87" w:usb1="80000000" w:usb2="00000008" w:usb3="00000000" w:csb0="400001FF" w:csb1="FFFF0000"/>
  </w:font>
  <w:font w:name="Calibri">
    <w:panose1 w:val="020F0502020204030204"/>
    <w:charset w:val="00"/>
    <w:family w:val="swiss"/>
    <w:pitch w:val="variable"/>
    <w:sig w:usb0="E00002FF" w:usb1="4000ACFF" w:usb2="00000001" w:usb3="00000000" w:csb0="2000019F"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5"/>
      <w:tabs>
        <w:tab w:val="center" w:pos="4153"/>
        <w:tab w:val="right" w:pos="8306"/>
      </w:tabs>
    </w:pPr>
    <w:r>
      <mc:AlternateContent>
        <mc:Choice Requires="wps">
          <w:drawing>
            <wp:anchor distT="0" distB="0" distL="114298" distR="114298" simplePos="0" relativeHeight="12" behindDoc="0" locked="0" layoutInCell="1" hidden="0" allowOverlap="1">
              <wp:simplePos x="0" y="0"/>
              <wp:positionH relativeFrom="margin">
                <wp:align>center</wp:align>
              </wp:positionH>
              <wp:positionV relativeFrom="paragraph">
                <wp:posOffset>0</wp:posOffset>
              </wp:positionV>
              <wp:extent cx="209492" cy="162820"/>
              <wp:effectExtent l="0" t="0" r="0" b="0"/>
              <wp:wrapNone/>
              <wp:docPr id="1" name="Quad Arrow 3073"/>
              <wp:cNvGraphicFramePr>
                <a:graphicFrameLocks noChangeAspect="0"/>
              </wp:cNvGraphicFramePr>
              <a:graphic>
                <a:graphicData uri="http://schemas.microsoft.com/office/word/2010/wordprocessingShape">
                  <wps:wsp>
                    <wps:cNvSpPr/>
                    <wps:spPr>
                      <a:xfrm rot="0">
                        <a:off x="0" y="0"/>
                        <a:ext cx="209492" cy="162820"/>
                      </a:xfrm>
                      <a:prstGeom prst="rect"/>
                      <a:noFill/>
                      <a:ln w="9525" cmpd="sng" cap="flat">
                        <a:noFill/>
                        <a:prstDash val="solid"/>
                        <a:miter/>
                      </a:ln>
                    </wps:spPr>
                    <wps:txbx id="2">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type="#_x0000_t1" id="Quad Arrow 3073 3" o:spid="_x0000_s3" filled="f" stroked="f" style="position:absolute;margin-left:0.0pt;margin-top:0.0pt;width:16.4955pt;height:12.8205pt;z-index:12;mso-position-horizontal:center;mso-position-horizontal-relative:margin;mso-position-vertical:absolute;mso-wrap-distance-left:8.999863pt;mso-wrap-distance-right:8.999863pt;mso-wrap-style:none;">
              <v:stroke color="#000000"/>
              <v:textbox id="848" inset="0mm,0mm,0mm,0mm" o:insetmode="custom" style="layout-flow:horizontal;v-text-anchor:top;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776F7DE2"/>
    <w:multiLevelType w:val="singleLevel"/>
    <w:tmpl w:val="776F7DE2"/>
    <w:lvl w:ilvl="0">
      <w:start w:val="2"/>
      <w:numFmt w:val="chineseCounting"/>
      <w:lvlRestart w:val="0"/>
      <w:suff w:val="nothing"/>
      <w:lvlText w:val="（%1）"/>
      <w:lvlJc w:val="left"/>
      <w:pPr>
        <w:ind w:left="0" w:hanging="0"/>
      </w:pPr>
      <w:rPr>
        <w:rFonts w:hint="eastAsia"/>
      </w:rPr>
    </w:lvl>
  </w:abstractNum>
  <w:abstractNum w:abstractNumId="1">
    <w:nsid w:val="0516AA81"/>
    <w:multiLevelType w:val="singleLevel"/>
    <w:tmpl w:val="0516AA81"/>
    <w:lvl w:ilvl="0">
      <w:start w:val="2"/>
      <w:numFmt w:val="chineseCounting"/>
      <w:lvlRestart w:val="0"/>
      <w:suff w:val="nothing"/>
      <w:lvlText w:val="（%1）"/>
      <w:lvlJc w:val="left"/>
      <w:pPr>
        <w:ind w:left="642" w:hanging="0"/>
      </w:pPr>
      <w:rPr>
        <w:rFonts w:hint="eastAsia"/>
      </w:rPr>
    </w:lvl>
  </w:abstractNum>
  <w:abstractNum w:abstractNumId="2">
    <w:nsid w:val="5E68489B"/>
    <w:multiLevelType w:val="singleLevel"/>
    <w:tmpl w:val="5E68489B"/>
    <w:lvl w:ilvl="0">
      <w:start w:val="1"/>
      <w:numFmt w:val="chineseCounting"/>
      <w:lvlRestart w:val="0"/>
      <w:suff w:val="nothing"/>
      <w:lvlText w:val="（%1）"/>
      <w:lvlJc w:val="left"/>
      <w:pPr>
        <w:ind w:left="0" w:hanging="0"/>
      </w:pPr>
      <w:rPr>
        <w:rFonts w:ascii="楷体" w:hAnsi="楷体" w:eastAsia="楷体"/>
      </w:rPr>
    </w:lvl>
  </w:abstractNum>
  <w:abstractNum w:abstractNumId="3">
    <w:nsid w:val="4D1AC5C7"/>
    <w:multiLevelType w:val="singleLevel"/>
    <w:tmpl w:val="4D1AC5C7"/>
    <w:lvl w:ilvl="0">
      <w:start w:val="5"/>
      <w:numFmt w:val="chineseCounting"/>
      <w:lvlRestart w:val="0"/>
      <w:suff w:val="nothing"/>
      <w:lvlText w:val="%1、"/>
      <w:lvlJc w:val="left"/>
      <w:pPr>
        <w:ind w:left="0" w:hanging="0"/>
      </w:pPr>
      <w:rPr>
        <w:rFonts w:hint="eastAsia"/>
      </w:rPr>
    </w:lvl>
  </w:abstractNum>
  <w:abstractNum w:abstractNumId="4">
    <w:nsid w:val="47533CB1"/>
    <w:multiLevelType w:val="singleLevel"/>
    <w:tmpl w:val="47533CB1"/>
    <w:lvl w:ilvl="0">
      <w:start w:val="1"/>
      <w:numFmt w:val="chineseCounting"/>
      <w:lvlRestart w:val="0"/>
      <w:suff w:val="nothing"/>
      <w:lvlText w:val="（%1）"/>
      <w:lvlJc w:val="left"/>
      <w:pPr>
        <w:ind w:left="0" w:hanging="0"/>
      </w:pPr>
      <w:rPr>
        <w:rFonts w:hint="eastAsia"/>
      </w:rPr>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doNotUseIndentAsNumberingTabStop/>
    <w:useAltKinsokuLineBreakRules/>
    <w:doNotSuppressIndentation/>
    <w:splitPgBreakAndParaMark/>
    <w:compatSetting w:name="compatibilityMode" w:uri="http://schemas.microsoft.com/office/word" w:val="11"/>
  </w:compat>
  <w:docVars>
    <w:docVar w:name="commondata" w:val="eyJoZGlkIjoiYzgxMzVhZTBlNDUyZWUxNDVhMjNkN2E1NjFlOTE5NDcifQ=="/>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pPr>
      <w:widowControl w:val="0"/>
      <w:jc w:val="both"/>
    </w:pPr>
    <w:rPr>
      <w:rFonts w:ascii="Calibri" w:eastAsia="宋体" w:cs="黑体" w:hAnsi="Calibri"/>
      <w:kern w:val="2"/>
      <w:sz w:val="21"/>
      <w:szCs w:val="22"/>
      <w:lang w:val="en-US" w:eastAsia="zh-CN" w:bidi="ar-SA"/>
    </w:rPr>
  </w:style>
  <w:style w:type="paragraph" w:styleId="1">
    <w:name w:val="heading 1"/>
    <w:basedOn w:val="0"/>
    <w:next w:val="0"/>
    <w:pPr>
      <w:keepNext/>
      <w:keepLines/>
      <w:widowControl w:val="0"/>
      <w:spacing w:before="340" w:after="330" w:line="578" w:lineRule="auto"/>
      <w:outlineLvl w:val="0"/>
    </w:pPr>
    <w:rPr>
      <w:b/>
      <w:bCs/>
      <w:kern w:val="44"/>
      <w:sz w:val="44"/>
      <w:szCs w:val="44"/>
    </w:rPr>
  </w:style>
  <w:style w:type="paragraph" w:styleId="2">
    <w:name w:val="heading 2"/>
    <w:basedOn w:val="0"/>
    <w:next w:val="0"/>
    <w:pPr>
      <w:keepNext/>
      <w:keepLines/>
      <w:widowControl w:val="0"/>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widowControl w:val="0"/>
      <w:spacing w:before="260" w:after="260" w:line="415" w:lineRule="auto"/>
      <w:outlineLvl w:val="2"/>
    </w:pPr>
    <w:rPr>
      <w:b/>
      <w:bCs/>
      <w:sz w:val="32"/>
      <w:szCs w:val="32"/>
    </w:rPr>
  </w:style>
  <w:style w:type="character" w:default="1" w:styleId="10">
    <w:name w:val="Default Paragraph Font"/>
  </w:style>
  <w:style w:type="paragraph" w:styleId="15">
    <w:name w:val="footer"/>
    <w:basedOn w:val="0"/>
    <w:pPr>
      <w:tabs>
        <w:tab w:val="center" w:pos="4153"/>
        <w:tab w:val="right" w:pos="8306"/>
      </w:tabs>
      <w:snapToGrid w:val="0"/>
      <w:jc w:val="left"/>
    </w:pPr>
    <w:rPr>
      <w:sz w:val="18"/>
    </w:rPr>
  </w:style>
  <w:style w:type="paragraph" w:styleId="16">
    <w:name w:val="header"/>
    <w:basedOn w:val="0"/>
    <w:pPr>
      <w:pBdr>
        <w:top w:val="none" w:sz="0" w:space="0" w:color="auto"/>
        <w:left w:val="none" w:sz="0" w:space="0" w:color="auto"/>
        <w:bottom w:val="none" w:sz="0" w:space="0" w:color="auto"/>
        <w:right w:val="none" w:sz="0" w:space="0" w:color="auto"/>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styles" Target="styles.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4557D6AF-2B34-468C-8CA0-82942660209A}">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12</TotalTime>
  <Application>Yozo_Office27021597764231179</Application>
  <Pages>8</Pages>
  <Words>0</Words>
  <Characters>3122</Characters>
  <Lines>0</Lines>
  <Paragraphs>42</Paragraphs>
  <CharactersWithSpaces>4163</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title>附件3：</dc:title>
  <dc:creator>欣欣大人</dc:creator>
  <cp:lastModifiedBy>Administrator</cp:lastModifiedBy>
  <cp:revision>3</cp:revision>
  <cp:lastPrinted>2024-03-06T07:40:00Z</cp:lastPrinted>
  <dcterms:created xsi:type="dcterms:W3CDTF">2020-02-04T03:46:00Z</dcterms:created>
  <dcterms:modified xsi:type="dcterms:W3CDTF">2025-10-13T00:56:10Z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2052-11.1.0.8415</vt:lpwstr>
  </property>
  <property fmtid="{D5CDD505-2E9C-101B-9397-08002B2CF9AE}" pid="3" name="ICV">
    <vt:lpwstr>96934721B1514D3FBAA28020338CE855_12</vt:lpwstr>
  </property>
</Properties>
</file>