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ackground w:color="FFFFFF"/>
  <w:body>
    <w:p>
      <w:pPr>
        <w:adjustRightInd w:val="0"/>
        <w:snapToGrid w:val="0"/>
        <w:spacing w:line="560" w:lineRule="exact"/>
        <w:rPr>
          <w:rFonts w:ascii="仿宋_GB2312" w:eastAsia="仿宋_GB2312"/>
          <w:sz w:val="32"/>
          <w:szCs w:val="32"/>
        </w:rPr>
      </w:pPr>
      <w:r>
        <w:rPr>
          <w:rFonts w:ascii="仿宋_GB2312" w:eastAsia="仿宋_GB2312" w:hint="eastAsia"/>
          <w:sz w:val="32"/>
          <w:szCs w:val="32"/>
        </w:rPr>
        <w:t>附件</w:t>
      </w:r>
      <w:r>
        <w:rPr>
          <w:rFonts w:ascii="仿宋_GB2312" w:eastAsia="仿宋_GB2312"/>
          <w:sz w:val="32"/>
          <w:szCs w:val="32"/>
        </w:rPr>
        <w:t>4</w:t>
      </w:r>
      <w:bookmarkStart w:id="0" w:name="_GoBack"/>
      <w:bookmarkEnd w:id="0"/>
    </w:p>
    <w:p>
      <w:pPr>
        <w:spacing w:line="560" w:lineRule="exact"/>
        <w:jc w:val="center"/>
        <w:rPr>
          <w:rFonts w:ascii="宋体" w:cs="宋体" w:hAnsi="宋体"/>
          <w:b/>
          <w:bCs/>
          <w:sz w:val="44"/>
          <w:szCs w:val="44"/>
        </w:rPr>
      </w:pPr>
    </w:p>
    <w:p>
      <w:pPr>
        <w:spacing w:line="560" w:lineRule="exact"/>
        <w:jc w:val="center"/>
        <w:rPr>
          <w:rFonts w:ascii="宋体" w:cs="宋体" w:hAnsi="宋体"/>
          <w:b/>
          <w:bCs/>
          <w:sz w:val="44"/>
          <w:szCs w:val="44"/>
        </w:rPr>
      </w:pPr>
      <w:r>
        <w:rPr>
          <w:rFonts w:ascii="宋体" w:cs="宋体" w:hAnsi="宋体" w:hint="eastAsia"/>
          <w:b/>
          <w:bCs/>
          <w:sz w:val="44"/>
          <w:szCs w:val="44"/>
        </w:rPr>
        <w:t>石家庄市井陉矿区医疗保障局部门</w:t>
      </w:r>
    </w:p>
    <w:p>
      <w:pPr>
        <w:spacing w:line="560" w:lineRule="exact"/>
        <w:jc w:val="center"/>
        <w:rPr>
          <w:rFonts w:ascii="宋体" w:cs="宋体" w:hAnsi="宋体"/>
          <w:b/>
          <w:bCs/>
          <w:sz w:val="44"/>
          <w:szCs w:val="44"/>
        </w:rPr>
      </w:pPr>
      <w:r>
        <w:rPr>
          <w:rFonts w:ascii="宋体" w:cs="宋体" w:hAnsi="宋体" w:hint="eastAsia"/>
          <w:b/>
          <w:bCs/>
          <w:sz w:val="44"/>
          <w:szCs w:val="44"/>
        </w:rPr>
        <w:t>20</w:t>
      </w:r>
      <w:r>
        <w:rPr>
          <w:rFonts w:ascii="宋体" w:cs="宋体" w:hAnsi="宋体"/>
          <w:b/>
          <w:bCs/>
          <w:sz w:val="44"/>
          <w:szCs w:val="44"/>
        </w:rPr>
        <w:t>24</w:t>
      </w:r>
      <w:r>
        <w:rPr>
          <w:rFonts w:ascii="宋体" w:cs="宋体" w:hAnsi="宋体" w:hint="eastAsia"/>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Chars="200" w:firstLine="640"/>
        <w:rPr>
          <w:rFonts w:ascii="仿宋" w:eastAsia="仿宋" w:hAnsi="仿宋"/>
          <w:sz w:val="32"/>
          <w:szCs w:val="32"/>
        </w:rPr>
      </w:pPr>
      <w:r>
        <w:rPr>
          <w:rFonts w:ascii="仿宋" w:eastAsia="仿宋" w:hAnsi="仿宋"/>
          <w:sz w:val="32"/>
          <w:szCs w:val="32"/>
        </w:rPr>
        <w:t>为</w:t>
      </w:r>
      <w:r>
        <w:rPr>
          <w:rFonts w:ascii="仿宋" w:eastAsia="仿宋" w:hAnsi="仿宋" w:hint="eastAsia"/>
          <w:sz w:val="32"/>
          <w:szCs w:val="32"/>
        </w:rPr>
        <w:t>贯彻落实</w:t>
      </w:r>
      <w:r>
        <w:rPr>
          <w:rFonts w:ascii="仿宋" w:eastAsia="仿宋" w:hAnsi="仿宋"/>
          <w:sz w:val="32"/>
          <w:szCs w:val="32"/>
        </w:rPr>
        <w:t>区委区政府</w:t>
      </w:r>
      <w:r>
        <w:rPr>
          <w:rFonts w:ascii="仿宋" w:eastAsia="仿宋" w:hAnsi="仿宋" w:hint="eastAsia"/>
          <w:sz w:val="32"/>
          <w:szCs w:val="32"/>
        </w:rPr>
        <w:t>《关于全面落实预算绩效管理的实施意见》（</w:t>
      </w:r>
      <w:r>
        <w:rPr>
          <w:rFonts w:ascii="仿宋" w:eastAsia="仿宋" w:hAnsi="仿宋"/>
          <w:sz w:val="32"/>
          <w:szCs w:val="32"/>
        </w:rPr>
        <w:t>矿</w:t>
      </w:r>
      <w:r>
        <w:rPr>
          <w:rFonts w:ascii="仿宋" w:eastAsia="仿宋" w:hAnsi="仿宋" w:hint="eastAsia"/>
          <w:sz w:val="32"/>
          <w:szCs w:val="32"/>
        </w:rPr>
        <w:t>发﹝2019﹞</w:t>
      </w:r>
      <w:r>
        <w:rPr>
          <w:rFonts w:ascii="仿宋" w:eastAsia="仿宋" w:hAnsi="仿宋"/>
          <w:sz w:val="32"/>
          <w:szCs w:val="32"/>
        </w:rPr>
        <w:t>7</w:t>
      </w:r>
      <w:r>
        <w:rPr>
          <w:rFonts w:ascii="仿宋" w:eastAsia="仿宋" w:hAnsi="仿宋" w:hint="eastAsia"/>
          <w:sz w:val="32"/>
          <w:szCs w:val="32"/>
        </w:rPr>
        <w:t>号）文件精神要求和《井陉矿区区级部门项目自评管理办法》（矿财[2021]12号）规定，遵循“科学性、规范性、客观性和公正性”的原则，对石家庄市井陉矿区医疗保障局部门202</w:t>
      </w:r>
      <w:r>
        <w:rPr>
          <w:rFonts w:ascii="仿宋" w:eastAsia="仿宋" w:hAnsi="仿宋"/>
          <w:sz w:val="32"/>
          <w:szCs w:val="32"/>
        </w:rPr>
        <w:t>4</w:t>
      </w:r>
      <w:r>
        <w:rPr>
          <w:rFonts w:ascii="仿宋" w:eastAsia="仿宋" w:hAnsi="仿宋" w:hint="eastAsia"/>
          <w:sz w:val="32"/>
          <w:szCs w:val="32"/>
        </w:rPr>
        <w:t>年整体支出情况实施了财政支出绩效自评价，形成本评价报告。</w:t>
      </w:r>
    </w:p>
    <w:p>
      <w:pPr>
        <w:adjustRightInd w:val="0"/>
        <w:snapToGrid w:val="0"/>
        <w:spacing w:line="560" w:lineRule="exact"/>
        <w:rPr>
          <w:rFonts w:ascii="黑体" w:eastAsia="黑体" w:hAnsi="黑体"/>
          <w:b/>
          <w:bCs/>
          <w:sz w:val="32"/>
          <w:szCs w:val="36"/>
        </w:rPr>
      </w:pPr>
      <w:r>
        <w:rPr>
          <w:rFonts w:ascii="仿宋" w:eastAsia="仿宋" w:hAnsi="仿宋" w:hint="eastAsia"/>
          <w:sz w:val="32"/>
          <w:szCs w:val="32"/>
        </w:rPr>
        <w:t xml:space="preserve">    </w:t>
      </w:r>
      <w:r>
        <w:rPr>
          <w:rFonts w:ascii="黑体" w:eastAsia="黑体" w:hAnsi="黑体" w:hint="eastAsia"/>
          <w:sz w:val="32"/>
          <w:szCs w:val="32"/>
        </w:rPr>
        <w:t>一、部门</w:t>
      </w:r>
      <w:r>
        <w:rPr>
          <w:rFonts w:ascii="黑体" w:eastAsia="黑体" w:hAnsi="黑体" w:hint="eastAsia"/>
          <w:sz w:val="32"/>
          <w:szCs w:val="36"/>
        </w:rPr>
        <w:t>基本情况</w:t>
      </w:r>
    </w:p>
    <w:p>
      <w:pPr>
        <w:adjustRightInd w:val="0"/>
        <w:snapToGrid w:val="0"/>
        <w:spacing w:line="560" w:lineRule="exact"/>
        <w:ind w:firstLineChars="200" w:firstLine="640"/>
        <w:rPr>
          <w:rFonts w:ascii="仿宋" w:eastAsia="仿宋" w:cs="楷体_GB2312" w:hAnsi="仿宋"/>
          <w:b/>
          <w:bCs/>
          <w:sz w:val="32"/>
          <w:szCs w:val="32"/>
        </w:rPr>
      </w:pPr>
      <w:r>
        <w:rPr>
          <w:rFonts w:ascii="仿宋" w:eastAsia="仿宋" w:cs="楷体_GB2312" w:hAnsi="仿宋" w:hint="eastAsia"/>
          <w:b/>
          <w:bCs/>
          <w:sz w:val="32"/>
          <w:szCs w:val="32"/>
        </w:rPr>
        <w:t>（一）部门概况</w:t>
      </w:r>
    </w:p>
    <w:p>
      <w:pPr>
        <w:snapToGrid w:val="0"/>
        <w:spacing w:line="560" w:lineRule="exact"/>
        <w:ind w:firstLineChars="300" w:firstLine="960"/>
        <w:rPr>
          <w:rFonts w:ascii="仿宋" w:eastAsia="仿宋" w:hAnsi="仿宋"/>
          <w:sz w:val="32"/>
          <w:szCs w:val="32"/>
        </w:rPr>
      </w:pPr>
      <w:r>
        <w:rPr>
          <w:rFonts w:ascii="仿宋" w:eastAsia="仿宋" w:hAnsi="仿宋" w:hint="eastAsia"/>
          <w:sz w:val="32"/>
          <w:szCs w:val="32"/>
        </w:rPr>
        <w:t>1．主要职能。</w:t>
      </w:r>
    </w:p>
    <w:p>
      <w:pPr>
        <w:pStyle w:val="19"/>
        <w:spacing w:line="560" w:lineRule="exact"/>
        <w:rPr>
          <w:rFonts w:ascii="仿宋" w:eastAsia="仿宋" w:cs="黑体" w:hAnsi="仿宋"/>
          <w:kern w:val="2"/>
          <w:sz w:val="32"/>
          <w:szCs w:val="32"/>
          <w:lang w:eastAsia="zh-CN"/>
        </w:rPr>
      </w:pPr>
      <w:r>
        <w:rPr>
          <w:rFonts w:ascii="仿宋" w:eastAsia="仿宋" w:cs="黑体" w:hAnsi="仿宋"/>
          <w:kern w:val="2"/>
          <w:sz w:val="32"/>
          <w:szCs w:val="32"/>
          <w:lang w:eastAsia="zh-CN"/>
        </w:rPr>
        <w:t xml:space="preserve"> (</w:t>
      </w:r>
      <w:r>
        <w:rPr>
          <w:rFonts w:ascii="仿宋" w:eastAsia="仿宋" w:cs="黑体" w:hAnsi="仿宋" w:hint="eastAsia"/>
          <w:kern w:val="2"/>
          <w:sz w:val="32"/>
          <w:szCs w:val="32"/>
          <w:lang w:eastAsia="zh-CN"/>
        </w:rPr>
        <w:t>一</w:t>
      </w:r>
      <w:r>
        <w:rPr>
          <w:rFonts w:ascii="仿宋" w:eastAsia="仿宋" w:cs="黑体" w:hAnsi="仿宋"/>
          <w:kern w:val="2"/>
          <w:sz w:val="32"/>
          <w:szCs w:val="32"/>
          <w:lang w:eastAsia="zh-CN"/>
        </w:rPr>
        <w:t>)</w:t>
      </w:r>
      <w:r>
        <w:rPr>
          <w:rFonts w:ascii="仿宋" w:eastAsia="仿宋" w:cs="黑体" w:hAnsi="仿宋" w:hint="eastAsia"/>
          <w:kern w:val="2"/>
          <w:sz w:val="32"/>
          <w:szCs w:val="32"/>
          <w:lang w:eastAsia="zh-CN"/>
        </w:rPr>
        <w:t>贯彻落实国家、省、市关于城镇职工和城乡居民医疗保险、生育保险、长期护理保险、医疗救助等医疗保障法规、政府规章以及政策、制度、规划和标准。按照政策规定拟订本辖区具体医疗保障政策，并组织实施。</w:t>
      </w:r>
    </w:p>
    <w:p>
      <w:pPr>
        <w:pStyle w:val="19"/>
        <w:spacing w:line="560" w:lineRule="exact"/>
        <w:rPr>
          <w:rFonts w:ascii="仿宋" w:eastAsia="仿宋" w:cs="黑体" w:hAnsi="仿宋"/>
          <w:kern w:val="2"/>
          <w:sz w:val="32"/>
          <w:szCs w:val="32"/>
          <w:lang w:eastAsia="zh-CN"/>
        </w:rPr>
      </w:pPr>
      <w:r>
        <w:rPr>
          <w:rFonts w:ascii="仿宋" w:eastAsia="仿宋" w:cs="黑体" w:hAnsi="仿宋" w:hint="eastAsia"/>
          <w:kern w:val="2"/>
          <w:sz w:val="32"/>
          <w:szCs w:val="32"/>
          <w:lang w:eastAsia="zh-CN"/>
        </w:rPr>
        <w:t>（二）贯彻落实国家、省、市医疗保障基金监督管理规定，建立健全医疗保障基金安全防控机制，建设维护网络信息系统。</w:t>
      </w:r>
    </w:p>
    <w:p>
      <w:pPr>
        <w:pStyle w:val="19"/>
        <w:spacing w:line="560" w:lineRule="exact"/>
        <w:rPr>
          <w:rFonts w:ascii="仿宋" w:eastAsia="仿宋" w:cs="黑体" w:hAnsi="仿宋"/>
          <w:kern w:val="2"/>
          <w:sz w:val="32"/>
          <w:szCs w:val="32"/>
          <w:lang w:eastAsia="zh-CN"/>
        </w:rPr>
      </w:pPr>
      <w:r>
        <w:rPr>
          <w:rFonts w:ascii="仿宋" w:eastAsia="仿宋" w:cs="黑体" w:hAnsi="仿宋" w:hint="eastAsia"/>
          <w:kern w:val="2"/>
          <w:sz w:val="32"/>
          <w:szCs w:val="32"/>
          <w:lang w:eastAsia="zh-CN"/>
        </w:rPr>
        <w:t>（三）贯彻落实全市城镇职工和城乡居民参保筹资和保障待遇政策。</w:t>
      </w:r>
    </w:p>
    <w:p>
      <w:pPr>
        <w:pStyle w:val="19"/>
        <w:spacing w:line="560" w:lineRule="exact"/>
        <w:rPr>
          <w:rFonts w:ascii="仿宋" w:eastAsia="仿宋" w:cs="黑体" w:hAnsi="仿宋"/>
          <w:kern w:val="2"/>
          <w:sz w:val="32"/>
          <w:szCs w:val="32"/>
          <w:lang w:eastAsia="zh-CN"/>
        </w:rPr>
      </w:pPr>
      <w:r>
        <w:rPr>
          <w:rFonts w:ascii="仿宋" w:eastAsia="仿宋" w:cs="黑体" w:hAnsi="仿宋" w:hint="eastAsia"/>
          <w:kern w:val="2"/>
          <w:sz w:val="32"/>
          <w:szCs w:val="32"/>
          <w:lang w:eastAsia="zh-CN"/>
        </w:rPr>
        <w:t>（四）按照政策规定制定和调整区级公立基层医疗机构医疗服务价格。贯彻落实上级医保支付医药服务价格政策。依法管理药品、医用耗材、医疗服务价格政策执行情况。组织实施药品、医用耗材和医疗服务价格监测信息发布工作。</w:t>
      </w:r>
    </w:p>
    <w:p>
      <w:pPr>
        <w:pStyle w:val="19"/>
        <w:spacing w:line="560" w:lineRule="exact"/>
        <w:rPr>
          <w:rFonts w:ascii="仿宋_GB2312" w:eastAsia="仿宋_GB2312" w:cs="黑体" w:hAnsi="仿宋"/>
          <w:kern w:val="2"/>
          <w:sz w:val="32"/>
          <w:szCs w:val="32"/>
          <w:lang w:eastAsia="zh-CN"/>
        </w:rPr>
      </w:pPr>
      <w:r>
        <w:rPr>
          <w:rFonts w:ascii="仿宋_GB2312" w:eastAsia="仿宋_GB2312" w:cs="黑体" w:hAnsi="仿宋" w:hint="eastAsia"/>
          <w:kern w:val="2"/>
          <w:sz w:val="32"/>
          <w:szCs w:val="32"/>
          <w:lang w:eastAsia="zh-CN"/>
        </w:rPr>
        <w:t>（五）落实全市定点医药机构协议和支付管理办法。建立健全医疗保障信用评价体系和信息披露制度，监督管理定点医药机构的医疗服务行为、医疗费用和医药价格，依法查处医疗保障领域违法违规行为。</w:t>
      </w:r>
    </w:p>
    <w:p>
      <w:pPr>
        <w:pStyle w:val="19"/>
        <w:spacing w:line="560" w:lineRule="exact"/>
        <w:rPr>
          <w:rFonts w:ascii="仿宋_GB2312" w:eastAsia="仿宋_GB2312" w:cs="黑体" w:hAnsi="仿宋"/>
          <w:kern w:val="2"/>
          <w:sz w:val="32"/>
          <w:szCs w:val="32"/>
          <w:lang w:eastAsia="zh-CN"/>
        </w:rPr>
      </w:pPr>
      <w:r>
        <w:rPr>
          <w:rFonts w:ascii="仿宋_GB2312" w:eastAsia="仿宋_GB2312" w:cs="黑体" w:hAnsi="仿宋" w:hint="eastAsia"/>
          <w:kern w:val="2"/>
          <w:sz w:val="32"/>
          <w:szCs w:val="32"/>
          <w:lang w:eastAsia="zh-CN"/>
        </w:rPr>
        <w:t>（六）负责医疗保障经办管理、公共服务体系和信息化建设。贯彻落实异地就医管理和费用结算政策、医疗保障关系转移接续制度。</w:t>
      </w:r>
    </w:p>
    <w:p>
      <w:pPr>
        <w:pStyle w:val="19"/>
        <w:spacing w:line="560" w:lineRule="exact"/>
        <w:rPr>
          <w:rFonts w:ascii="仿宋_GB2312" w:eastAsia="仿宋_GB2312" w:cs="黑体" w:hAnsi="仿宋"/>
          <w:kern w:val="2"/>
          <w:sz w:val="32"/>
          <w:szCs w:val="32"/>
          <w:lang w:eastAsia="zh-CN"/>
        </w:rPr>
      </w:pPr>
      <w:r>
        <w:rPr>
          <w:rFonts w:ascii="仿宋_GB2312" w:eastAsia="仿宋_GB2312" w:cs="黑体" w:hAnsi="仿宋"/>
          <w:kern w:val="2"/>
          <w:sz w:val="32"/>
          <w:szCs w:val="32"/>
          <w:lang w:eastAsia="zh-CN"/>
        </w:rPr>
        <w:t>(</w:t>
      </w:r>
      <w:r>
        <w:rPr>
          <w:rFonts w:ascii="仿宋_GB2312" w:eastAsia="仿宋_GB2312" w:cs="黑体" w:hAnsi="仿宋" w:hint="eastAsia"/>
          <w:kern w:val="2"/>
          <w:sz w:val="32"/>
          <w:szCs w:val="32"/>
          <w:lang w:eastAsia="zh-CN"/>
        </w:rPr>
        <w:t>七）贯彻落实全市统一的城镇职工和城乡居民的多层次医疗保障制度，确保医保资金稳定可持续、合理使用、安全可控。推进医疗、医保、医药、医价</w:t>
      </w:r>
      <w:r>
        <w:rPr>
          <w:rFonts w:ascii="仿宋_GB2312" w:eastAsia="仿宋_GB2312" w:cs="黑体" w:hAnsi="仿宋"/>
          <w:kern w:val="2"/>
          <w:sz w:val="32"/>
          <w:szCs w:val="32"/>
          <w:lang w:eastAsia="zh-CN"/>
        </w:rPr>
        <w:t>“</w:t>
      </w:r>
      <w:r>
        <w:rPr>
          <w:rFonts w:ascii="仿宋_GB2312" w:eastAsia="仿宋_GB2312" w:cs="黑体" w:hAnsi="仿宋" w:hint="eastAsia"/>
          <w:kern w:val="2"/>
          <w:sz w:val="32"/>
          <w:szCs w:val="32"/>
          <w:lang w:eastAsia="zh-CN"/>
        </w:rPr>
        <w:t>四医联动</w:t>
      </w:r>
      <w:r>
        <w:rPr>
          <w:rFonts w:ascii="仿宋_GB2312" w:eastAsia="仿宋_GB2312" w:cs="黑体" w:hAnsi="仿宋"/>
          <w:kern w:val="2"/>
          <w:sz w:val="32"/>
          <w:szCs w:val="32"/>
          <w:lang w:eastAsia="zh-CN"/>
        </w:rPr>
        <w:t>”</w:t>
      </w:r>
      <w:r>
        <w:rPr>
          <w:rFonts w:ascii="仿宋_GB2312" w:eastAsia="仿宋_GB2312" w:cs="黑体" w:hAnsi="仿宋" w:hint="eastAsia"/>
          <w:kern w:val="2"/>
          <w:sz w:val="32"/>
          <w:szCs w:val="32"/>
          <w:lang w:eastAsia="zh-CN"/>
        </w:rPr>
        <w:t>改革，更好保障人民群众就医需求、减轻医药费用负担。</w:t>
      </w:r>
    </w:p>
    <w:p>
      <w:pPr>
        <w:pStyle w:val="19"/>
        <w:spacing w:line="560" w:lineRule="exact"/>
        <w:rPr>
          <w:rFonts w:ascii="仿宋_GB2312" w:eastAsia="仿宋_GB2312" w:cs="黑体" w:hAnsi="仿宋"/>
          <w:kern w:val="2"/>
          <w:sz w:val="32"/>
          <w:szCs w:val="32"/>
          <w:lang w:eastAsia="zh-CN"/>
        </w:rPr>
      </w:pPr>
      <w:r>
        <w:rPr>
          <w:rFonts w:ascii="仿宋_GB2312" w:eastAsia="仿宋_GB2312" w:cs="黑体" w:hAnsi="仿宋" w:hint="eastAsia"/>
          <w:kern w:val="2"/>
          <w:sz w:val="32"/>
          <w:szCs w:val="32"/>
          <w:lang w:eastAsia="zh-CN"/>
        </w:rPr>
        <w:t>（八）完成区委、区政府交办的其他任务。</w:t>
      </w:r>
    </w:p>
    <w:p>
      <w:pPr>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2</w:t>
      </w:r>
      <w:r>
        <w:rPr>
          <w:rFonts w:ascii="仿宋" w:eastAsia="仿宋" w:hAnsi="仿宋" w:hint="eastAsia"/>
          <w:sz w:val="32"/>
          <w:szCs w:val="32"/>
        </w:rPr>
        <w:t>．</w:t>
      </w:r>
      <w:r>
        <w:rPr>
          <w:rFonts w:ascii="仿宋_GB2312" w:eastAsia="仿宋_GB2312" w:hAnsi="仿宋" w:hint="eastAsia"/>
          <w:sz w:val="32"/>
          <w:szCs w:val="32"/>
        </w:rPr>
        <w:t>机构情况。</w:t>
      </w:r>
    </w:p>
    <w:tbl>
      <w:tblPr>
        <w:jc w:val="left"/>
        <w:tblInd w:w="0" w:type="dxa"/>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Look w:val="0600" w:firstRow="0" w:lastRow="0" w:firstColumn="0" w:lastColumn="0" w:noHBand="1" w:noVBand="1"/>
      </w:tblPr>
      <w:tblGrid>
        <w:gridCol w:w="2259"/>
        <w:gridCol w:w="2001"/>
        <w:gridCol w:w="2131"/>
        <w:gridCol w:w="2506"/>
      </w:tblGrid>
      <w:tr>
        <w:tc>
          <w:tcPr>
            <w:tcW w:w="2259" w:type="dxa"/>
            <w:vAlign w:val="center"/>
          </w:tcPr>
          <w:p>
            <w:pPr>
              <w:spacing w:line="560" w:lineRule="exact"/>
              <w:jc w:val="center"/>
              <w:rPr>
                <w:rFonts w:ascii="仿宋" w:eastAsia="仿宋" w:hAnsi="仿宋"/>
                <w:sz w:val="32"/>
                <w:szCs w:val="32"/>
              </w:rPr>
            </w:pPr>
            <w:r>
              <w:rPr>
                <w:rFonts w:ascii="仿宋" w:eastAsia="仿宋" w:hAnsi="仿宋" w:hint="eastAsia"/>
                <w:sz w:val="32"/>
                <w:szCs w:val="32"/>
              </w:rPr>
              <w:t>单位名称</w:t>
            </w:r>
          </w:p>
        </w:tc>
        <w:tc>
          <w:tcPr>
            <w:tcW w:w="2001" w:type="dxa"/>
            <w:vAlign w:val="center"/>
          </w:tcPr>
          <w:p>
            <w:pPr>
              <w:spacing w:line="560" w:lineRule="exact"/>
              <w:jc w:val="center"/>
              <w:rPr>
                <w:rFonts w:ascii="仿宋" w:eastAsia="仿宋" w:hAnsi="仿宋"/>
                <w:sz w:val="32"/>
                <w:szCs w:val="32"/>
              </w:rPr>
            </w:pPr>
            <w:r>
              <w:rPr>
                <w:rFonts w:ascii="仿宋" w:eastAsia="仿宋" w:hAnsi="仿宋" w:hint="eastAsia"/>
                <w:sz w:val="32"/>
                <w:szCs w:val="32"/>
              </w:rPr>
              <w:t>单位性质</w:t>
            </w:r>
          </w:p>
        </w:tc>
        <w:tc>
          <w:tcPr>
            <w:tcW w:w="2131" w:type="dxa"/>
            <w:vAlign w:val="center"/>
          </w:tcPr>
          <w:p>
            <w:pPr>
              <w:spacing w:line="560" w:lineRule="exact"/>
              <w:jc w:val="center"/>
              <w:rPr>
                <w:rFonts w:ascii="仿宋" w:eastAsia="仿宋" w:hAnsi="仿宋"/>
                <w:sz w:val="32"/>
                <w:szCs w:val="32"/>
              </w:rPr>
            </w:pPr>
            <w:r>
              <w:rPr>
                <w:rFonts w:ascii="仿宋" w:eastAsia="仿宋" w:hAnsi="仿宋" w:hint="eastAsia"/>
                <w:sz w:val="32"/>
                <w:szCs w:val="32"/>
              </w:rPr>
              <w:t>单位规格</w:t>
            </w:r>
          </w:p>
        </w:tc>
        <w:tc>
          <w:tcPr>
            <w:tcW w:w="2506" w:type="dxa"/>
            <w:vAlign w:val="center"/>
          </w:tcPr>
          <w:p>
            <w:pPr>
              <w:spacing w:line="560" w:lineRule="exact"/>
              <w:jc w:val="center"/>
              <w:rPr>
                <w:rFonts w:ascii="仿宋" w:eastAsia="仿宋" w:hAnsi="仿宋"/>
                <w:sz w:val="32"/>
                <w:szCs w:val="32"/>
              </w:rPr>
            </w:pPr>
            <w:r>
              <w:rPr>
                <w:rFonts w:ascii="仿宋" w:eastAsia="仿宋" w:hAnsi="仿宋" w:hint="eastAsia"/>
                <w:sz w:val="32"/>
                <w:szCs w:val="32"/>
              </w:rPr>
              <w:t>经费保障形势</w:t>
            </w:r>
          </w:p>
        </w:tc>
      </w:tr>
      <w:tr>
        <w:tc>
          <w:tcPr>
            <w:tcW w:w="2259" w:type="dxa"/>
          </w:tcPr>
          <w:p>
            <w:pPr>
              <w:spacing w:line="560" w:lineRule="exact"/>
              <w:jc w:val="center"/>
              <w:rPr>
                <w:rFonts w:ascii="仿宋" w:eastAsia="仿宋" w:hAnsi="仿宋"/>
                <w:sz w:val="32"/>
                <w:szCs w:val="32"/>
              </w:rPr>
            </w:pPr>
            <w:r>
              <w:rPr>
                <w:rFonts w:ascii="仿宋" w:eastAsia="仿宋" w:hAnsi="仿宋" w:hint="eastAsia"/>
                <w:sz w:val="32"/>
                <w:szCs w:val="32"/>
              </w:rPr>
              <w:t>矿区医疗保障局本级</w:t>
            </w:r>
          </w:p>
        </w:tc>
        <w:tc>
          <w:tcPr>
            <w:tcW w:w="2001" w:type="dxa"/>
            <w:tcBorders>
              <w:left w:val="single" w:sz="4" w:space="0" w:color="000000"/>
              <w:right w:val="single" w:sz="4" w:space="0" w:color="000000"/>
            </w:tcBorders>
            <w:vAlign w:val="center"/>
          </w:tcPr>
          <w:p>
            <w:pPr>
              <w:spacing w:line="560" w:lineRule="exact"/>
              <w:jc w:val="center"/>
              <w:rPr>
                <w:rFonts w:ascii="仿宋" w:eastAsia="仿宋" w:hAnsi="仿宋"/>
                <w:sz w:val="32"/>
                <w:szCs w:val="32"/>
              </w:rPr>
            </w:pPr>
            <w:r>
              <w:rPr>
                <w:rFonts w:ascii="仿宋" w:eastAsia="仿宋" w:hAnsi="仿宋" w:hint="eastAsia"/>
                <w:sz w:val="32"/>
                <w:szCs w:val="32"/>
              </w:rPr>
              <w:t>行政</w:t>
            </w:r>
          </w:p>
        </w:tc>
        <w:tc>
          <w:tcPr>
            <w:tcW w:w="2131" w:type="dxa"/>
            <w:tcBorders>
              <w:left w:val="single" w:sz="4" w:space="0" w:color="000000"/>
              <w:right w:val="single" w:sz="4" w:space="0" w:color="000000"/>
            </w:tcBorders>
            <w:vAlign w:val="center"/>
          </w:tcPr>
          <w:p>
            <w:pPr>
              <w:spacing w:line="560" w:lineRule="exact"/>
              <w:jc w:val="center"/>
              <w:rPr>
                <w:rFonts w:ascii="仿宋" w:eastAsia="仿宋" w:hAnsi="仿宋"/>
                <w:sz w:val="32"/>
                <w:szCs w:val="32"/>
              </w:rPr>
            </w:pPr>
            <w:r>
              <w:rPr>
                <w:rFonts w:ascii="仿宋" w:eastAsia="仿宋" w:hAnsi="仿宋" w:hint="eastAsia"/>
                <w:sz w:val="32"/>
                <w:szCs w:val="32"/>
              </w:rPr>
              <w:t>正科级</w:t>
            </w:r>
          </w:p>
        </w:tc>
        <w:tc>
          <w:tcPr>
            <w:tcW w:w="2506" w:type="dxa"/>
            <w:tcBorders>
              <w:left w:val="single" w:sz="4" w:space="0" w:color="000000"/>
            </w:tcBorders>
            <w:vAlign w:val="center"/>
          </w:tcPr>
          <w:p>
            <w:pPr>
              <w:spacing w:line="560" w:lineRule="exact"/>
              <w:jc w:val="center"/>
              <w:rPr>
                <w:rFonts w:ascii="仿宋" w:eastAsia="仿宋" w:hAnsi="仿宋"/>
                <w:sz w:val="32"/>
                <w:szCs w:val="32"/>
              </w:rPr>
            </w:pPr>
            <w:r>
              <w:rPr>
                <w:rFonts w:ascii="仿宋" w:eastAsia="仿宋" w:hAnsi="仿宋" w:hint="eastAsia"/>
                <w:sz w:val="32"/>
                <w:szCs w:val="32"/>
              </w:rPr>
              <w:t>财政拨款</w:t>
            </w:r>
          </w:p>
        </w:tc>
      </w:tr>
      <w:tr>
        <w:tc>
          <w:tcPr>
            <w:tcW w:w="2259" w:type="dxa"/>
          </w:tcPr>
          <w:p>
            <w:pPr>
              <w:spacing w:line="560" w:lineRule="exact"/>
              <w:jc w:val="center"/>
              <w:rPr>
                <w:rFonts w:ascii="仿宋" w:eastAsia="仿宋" w:hAnsi="仿宋"/>
                <w:sz w:val="32"/>
                <w:szCs w:val="32"/>
              </w:rPr>
            </w:pPr>
            <w:r>
              <w:rPr>
                <w:rFonts w:ascii="仿宋" w:eastAsia="仿宋" w:hAnsi="仿宋" w:hint="eastAsia"/>
                <w:sz w:val="32"/>
                <w:szCs w:val="32"/>
              </w:rPr>
              <w:t>矿区医疗保险管理中心</w:t>
            </w:r>
          </w:p>
        </w:tc>
        <w:tc>
          <w:tcPr>
            <w:tcW w:w="2001" w:type="dxa"/>
            <w:tcBorders>
              <w:left w:val="single" w:sz="4" w:space="0" w:color="000000"/>
              <w:right w:val="single" w:sz="4" w:space="0" w:color="000000"/>
            </w:tcBorders>
            <w:vAlign w:val="center"/>
          </w:tcPr>
          <w:p>
            <w:pPr>
              <w:spacing w:line="560" w:lineRule="exact"/>
              <w:jc w:val="center"/>
              <w:rPr>
                <w:rFonts w:ascii="仿宋" w:eastAsia="仿宋" w:hAnsi="仿宋"/>
                <w:sz w:val="32"/>
                <w:szCs w:val="32"/>
              </w:rPr>
            </w:pPr>
            <w:r>
              <w:rPr>
                <w:rFonts w:ascii="仿宋" w:eastAsia="仿宋" w:hAnsi="仿宋" w:hint="eastAsia"/>
                <w:sz w:val="32"/>
                <w:szCs w:val="32"/>
              </w:rPr>
              <w:t>事业</w:t>
            </w:r>
          </w:p>
        </w:tc>
        <w:tc>
          <w:tcPr>
            <w:tcW w:w="2131" w:type="dxa"/>
            <w:tcBorders>
              <w:left w:val="single" w:sz="4" w:space="0" w:color="000000"/>
              <w:right w:val="single" w:sz="4" w:space="0" w:color="000000"/>
            </w:tcBorders>
            <w:vAlign w:val="center"/>
          </w:tcPr>
          <w:p>
            <w:pPr>
              <w:spacing w:line="560" w:lineRule="exact"/>
              <w:jc w:val="center"/>
              <w:rPr>
                <w:rFonts w:ascii="仿宋" w:eastAsia="仿宋" w:hAnsi="仿宋"/>
                <w:sz w:val="32"/>
                <w:szCs w:val="32"/>
              </w:rPr>
            </w:pPr>
            <w:r>
              <w:rPr>
                <w:rFonts w:ascii="仿宋" w:eastAsia="仿宋" w:hAnsi="仿宋" w:hint="eastAsia"/>
                <w:sz w:val="32"/>
                <w:szCs w:val="32"/>
              </w:rPr>
              <w:t>正科级</w:t>
            </w:r>
          </w:p>
        </w:tc>
        <w:tc>
          <w:tcPr>
            <w:tcW w:w="2506" w:type="dxa"/>
            <w:tcBorders>
              <w:left w:val="single" w:sz="4" w:space="0" w:color="000000"/>
            </w:tcBorders>
            <w:vAlign w:val="center"/>
          </w:tcPr>
          <w:p>
            <w:pPr>
              <w:spacing w:line="560" w:lineRule="exact"/>
              <w:jc w:val="center"/>
              <w:rPr>
                <w:rFonts w:ascii="仿宋" w:eastAsia="仿宋" w:hAnsi="仿宋"/>
                <w:sz w:val="32"/>
                <w:szCs w:val="32"/>
              </w:rPr>
            </w:pPr>
            <w:r>
              <w:rPr>
                <w:rFonts w:ascii="仿宋" w:eastAsia="仿宋" w:hAnsi="仿宋" w:hint="eastAsia"/>
                <w:sz w:val="32"/>
                <w:szCs w:val="32"/>
              </w:rPr>
              <w:t>财政性资金基本保证</w:t>
            </w:r>
          </w:p>
        </w:tc>
      </w:tr>
    </w:tbl>
    <w:p>
      <w:pPr>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3</w:t>
      </w:r>
      <w:r>
        <w:rPr>
          <w:rFonts w:ascii="仿宋" w:eastAsia="仿宋" w:hAnsi="仿宋" w:hint="eastAsia"/>
          <w:sz w:val="32"/>
          <w:szCs w:val="32"/>
        </w:rPr>
        <w:t>．</w:t>
      </w:r>
      <w:r>
        <w:rPr>
          <w:rFonts w:ascii="仿宋_GB2312" w:eastAsia="仿宋_GB2312" w:hAnsi="仿宋" w:hint="eastAsia"/>
          <w:sz w:val="32"/>
          <w:szCs w:val="32"/>
        </w:rPr>
        <w:t>人员情况，包括当年变动情况及原因。</w:t>
      </w:r>
    </w:p>
    <w:p>
      <w:pPr>
        <w:snapToGrid w:val="0"/>
        <w:spacing w:line="560" w:lineRule="exact"/>
        <w:ind w:firstLineChars="200" w:firstLine="640"/>
        <w:rPr>
          <w:rFonts w:ascii="仿宋_GB2312" w:eastAsia="仿宋_GB2312" w:hAnsi="仿宋"/>
          <w:sz w:val="32"/>
          <w:szCs w:val="32"/>
        </w:rPr>
      </w:pPr>
      <w:r>
        <w:rPr>
          <w:rFonts w:ascii="仿宋" w:eastAsia="仿宋" w:cs="仿宋" w:hAnsi="仿宋" w:hint="eastAsia"/>
          <w:sz w:val="32"/>
          <w:szCs w:val="32"/>
        </w:rPr>
        <w:t>截止到202</w:t>
      </w:r>
      <w:r>
        <w:rPr>
          <w:rFonts w:ascii="仿宋" w:eastAsia="仿宋" w:cs="仿宋" w:hAnsi="仿宋"/>
          <w:sz w:val="32"/>
          <w:szCs w:val="32"/>
        </w:rPr>
        <w:t>4</w:t>
      </w:r>
      <w:r>
        <w:rPr>
          <w:rFonts w:ascii="仿宋" w:eastAsia="仿宋" w:cs="仿宋" w:hAnsi="仿宋" w:hint="eastAsia"/>
          <w:sz w:val="32"/>
          <w:szCs w:val="32"/>
        </w:rPr>
        <w:t>年12月</w:t>
      </w:r>
      <w:r>
        <w:rPr>
          <w:rFonts w:ascii="仿宋" w:eastAsia="仿宋" w:hAnsi="仿宋" w:hint="eastAsia"/>
          <w:sz w:val="32"/>
          <w:szCs w:val="32"/>
        </w:rPr>
        <w:t>矿区医疗保障局本级</w:t>
      </w:r>
      <w:r>
        <w:rPr>
          <w:rFonts w:ascii="仿宋" w:eastAsia="仿宋" w:cs="仿宋" w:hAnsi="仿宋" w:hint="eastAsia"/>
          <w:sz w:val="32"/>
          <w:szCs w:val="32"/>
        </w:rPr>
        <w:t>在职</w:t>
      </w:r>
      <w:r>
        <w:rPr>
          <w:rFonts w:ascii="仿宋" w:eastAsia="仿宋" w:cs="仿宋" w:hAnsi="仿宋"/>
          <w:sz w:val="32"/>
          <w:szCs w:val="32"/>
        </w:rPr>
        <w:t>4</w:t>
      </w:r>
      <w:r>
        <w:rPr>
          <w:rFonts w:ascii="仿宋" w:eastAsia="仿宋" w:cs="仿宋" w:hAnsi="仿宋" w:hint="eastAsia"/>
          <w:sz w:val="32"/>
          <w:szCs w:val="32"/>
        </w:rPr>
        <w:t>人，</w:t>
      </w:r>
      <w:r>
        <w:rPr>
          <w:rFonts w:ascii="仿宋" w:eastAsia="仿宋" w:hAnsi="仿宋" w:hint="eastAsia"/>
          <w:sz w:val="32"/>
          <w:szCs w:val="32"/>
        </w:rPr>
        <w:t>矿区医疗保险管理中心</w:t>
      </w:r>
      <w:r>
        <w:rPr>
          <w:rFonts w:ascii="仿宋" w:eastAsia="仿宋" w:cs="仿宋" w:hAnsi="仿宋" w:hint="eastAsia"/>
          <w:sz w:val="32"/>
          <w:szCs w:val="32"/>
        </w:rPr>
        <w:t>在职</w:t>
      </w:r>
      <w:r>
        <w:rPr>
          <w:rFonts w:ascii="仿宋" w:eastAsia="仿宋" w:cs="仿宋" w:hAnsi="仿宋"/>
          <w:color w:val="000000"/>
          <w:sz w:val="32"/>
          <w:szCs w:val="32"/>
        </w:rPr>
        <w:t>8</w:t>
      </w:r>
      <w:r>
        <w:rPr>
          <w:rFonts w:ascii="仿宋" w:eastAsia="仿宋" w:cs="仿宋" w:hAnsi="仿宋" w:hint="eastAsia"/>
          <w:color w:val="000000"/>
          <w:sz w:val="32"/>
          <w:szCs w:val="32"/>
        </w:rPr>
        <w:t>人</w:t>
      </w:r>
      <w:r>
        <w:rPr>
          <w:rFonts w:ascii="仿宋" w:eastAsia="仿宋" w:cs="仿宋" w:hAnsi="仿宋" w:hint="eastAsia"/>
          <w:sz w:val="32"/>
          <w:szCs w:val="32"/>
        </w:rPr>
        <w:t>，退休1人。</w:t>
      </w:r>
    </w:p>
    <w:p>
      <w:pPr>
        <w:snapToGrid w:val="0"/>
        <w:spacing w:line="560" w:lineRule="exact"/>
        <w:ind w:firstLineChars="200" w:firstLine="640"/>
        <w:rPr>
          <w:rFonts w:ascii="仿宋_GB2312" w:eastAsia="仿宋_GB2312" w:hAnsi="仿宋"/>
          <w:color w:val="000000"/>
          <w:sz w:val="32"/>
          <w:szCs w:val="32"/>
        </w:rPr>
      </w:pPr>
      <w:r>
        <w:rPr>
          <w:rFonts w:ascii="仿宋" w:eastAsia="仿宋" w:cs="楷体_GB2312" w:hAnsi="仿宋" w:hint="eastAsia"/>
          <w:color w:val="000000"/>
          <w:sz w:val="32"/>
          <w:szCs w:val="32"/>
        </w:rPr>
        <w:t>4</w:t>
      </w:r>
      <w:r>
        <w:rPr>
          <w:rFonts w:ascii="仿宋" w:eastAsia="仿宋" w:hAnsi="仿宋" w:hint="eastAsia"/>
          <w:color w:val="000000"/>
          <w:sz w:val="32"/>
          <w:szCs w:val="32"/>
        </w:rPr>
        <w:t>．</w:t>
      </w:r>
      <w:r>
        <w:rPr>
          <w:rFonts w:ascii="仿宋" w:eastAsia="仿宋" w:cs="楷体_GB2312" w:hAnsi="仿宋" w:hint="eastAsia"/>
          <w:color w:val="000000"/>
          <w:sz w:val="32"/>
          <w:szCs w:val="32"/>
        </w:rPr>
        <w:t>资产情况</w:t>
      </w:r>
      <w:r>
        <w:rPr>
          <w:rFonts w:ascii="仿宋_GB2312" w:eastAsia="仿宋_GB2312" w:hAnsi="仿宋" w:hint="eastAsia"/>
          <w:color w:val="000000"/>
          <w:sz w:val="32"/>
          <w:szCs w:val="32"/>
        </w:rPr>
        <w:t>，包括当年变动情况及原因。</w:t>
      </w:r>
    </w:p>
    <w:p>
      <w:pPr>
        <w:ind w:firstLineChars="200" w:firstLine="640"/>
        <w:rPr>
          <w:rFonts w:ascii="仿宋" w:eastAsia="仿宋" w:hAnsi="仿宋"/>
          <w:color w:val="000000"/>
          <w:sz w:val="32"/>
          <w:szCs w:val="32"/>
        </w:rPr>
      </w:pPr>
      <w:r>
        <w:rPr>
          <w:rFonts w:ascii="仿宋" w:eastAsia="仿宋" w:cs="仿宋" w:hAnsi="仿宋" w:hint="eastAsia"/>
          <w:color w:val="000000"/>
          <w:sz w:val="32"/>
          <w:szCs w:val="32"/>
        </w:rPr>
        <w:t>202</w:t>
      </w:r>
      <w:r>
        <w:rPr>
          <w:rFonts w:ascii="仿宋" w:eastAsia="仿宋" w:cs="仿宋" w:hAnsi="仿宋"/>
          <w:color w:val="000000"/>
          <w:sz w:val="32"/>
          <w:szCs w:val="32"/>
        </w:rPr>
        <w:t>4</w:t>
      </w:r>
      <w:r>
        <w:rPr>
          <w:rFonts w:ascii="仿宋" w:eastAsia="仿宋" w:cs="仿宋" w:hAnsi="仿宋" w:hint="eastAsia"/>
          <w:color w:val="000000"/>
          <w:sz w:val="32"/>
          <w:szCs w:val="32"/>
        </w:rPr>
        <w:t>年年初</w:t>
      </w:r>
      <w:r>
        <w:rPr>
          <w:rFonts w:ascii="仿宋" w:eastAsia="仿宋" w:hAnsi="仿宋" w:hint="eastAsia"/>
          <w:color w:val="000000"/>
          <w:sz w:val="32"/>
          <w:szCs w:val="32"/>
        </w:rPr>
        <w:t>矿区医疗保障局本级</w:t>
      </w:r>
      <w:r>
        <w:rPr>
          <w:rFonts w:ascii="仿宋" w:eastAsia="仿宋" w:cs="仿宋" w:hAnsi="仿宋" w:hint="eastAsia"/>
          <w:color w:val="000000"/>
          <w:sz w:val="32"/>
          <w:szCs w:val="32"/>
        </w:rPr>
        <w:t>资产7.</w:t>
      </w:r>
      <w:r>
        <w:rPr>
          <w:rFonts w:ascii="仿宋" w:eastAsia="仿宋" w:cs="仿宋" w:hAnsi="仿宋"/>
          <w:color w:val="000000"/>
          <w:sz w:val="32"/>
          <w:szCs w:val="32"/>
        </w:rPr>
        <w:t>5045</w:t>
      </w:r>
      <w:r>
        <w:rPr>
          <w:rFonts w:ascii="仿宋" w:eastAsia="仿宋" w:cs="仿宋" w:hAnsi="仿宋" w:hint="eastAsia"/>
          <w:color w:val="000000"/>
          <w:sz w:val="32"/>
          <w:szCs w:val="32"/>
        </w:rPr>
        <w:t>万元，年末7.</w:t>
      </w:r>
      <w:r>
        <w:rPr>
          <w:rFonts w:ascii="仿宋" w:eastAsia="仿宋" w:cs="仿宋" w:hAnsi="仿宋"/>
          <w:color w:val="000000"/>
          <w:sz w:val="32"/>
          <w:szCs w:val="32"/>
        </w:rPr>
        <w:t>5045</w:t>
      </w:r>
      <w:r>
        <w:rPr>
          <w:rFonts w:ascii="仿宋" w:eastAsia="仿宋" w:cs="仿宋" w:hAnsi="仿宋" w:hint="eastAsia"/>
          <w:color w:val="000000"/>
          <w:sz w:val="32"/>
          <w:szCs w:val="32"/>
        </w:rPr>
        <w:t>万元，</w:t>
      </w:r>
      <w:r>
        <w:rPr>
          <w:rFonts w:ascii="仿宋" w:eastAsia="仿宋" w:hAnsi="仿宋" w:hint="eastAsia"/>
          <w:color w:val="000000"/>
          <w:sz w:val="32"/>
          <w:szCs w:val="32"/>
        </w:rPr>
        <w:t>与202</w:t>
      </w:r>
      <w:r>
        <w:rPr>
          <w:rFonts w:ascii="仿宋" w:eastAsia="仿宋" w:hAnsi="仿宋"/>
          <w:color w:val="000000"/>
          <w:sz w:val="32"/>
          <w:szCs w:val="32"/>
        </w:rPr>
        <w:t>3</w:t>
      </w:r>
      <w:r>
        <w:rPr>
          <w:rFonts w:ascii="仿宋" w:eastAsia="仿宋" w:hAnsi="仿宋" w:hint="eastAsia"/>
          <w:color w:val="000000"/>
          <w:sz w:val="32"/>
          <w:szCs w:val="32"/>
        </w:rPr>
        <w:t>年相比</w:t>
      </w:r>
      <w:r>
        <w:rPr>
          <w:rFonts w:ascii="仿宋" w:eastAsia="仿宋" w:hAnsi="仿宋"/>
          <w:color w:val="000000"/>
          <w:sz w:val="32"/>
          <w:szCs w:val="32"/>
        </w:rPr>
        <w:t>无增减变化</w:t>
      </w:r>
      <w:r>
        <w:rPr>
          <w:rFonts w:ascii="仿宋" w:eastAsia="仿宋" w:cs="仿宋" w:hAnsi="仿宋" w:hint="eastAsia"/>
          <w:color w:val="000000"/>
          <w:sz w:val="32"/>
          <w:szCs w:val="32"/>
        </w:rPr>
        <w:t>；202</w:t>
      </w:r>
      <w:r>
        <w:rPr>
          <w:rFonts w:ascii="仿宋" w:eastAsia="仿宋" w:cs="仿宋" w:hAnsi="仿宋"/>
          <w:color w:val="000000"/>
          <w:sz w:val="32"/>
          <w:szCs w:val="32"/>
          <w:lang w:val="en-US" w:eastAsia="zh-CN"/>
        </w:rPr>
        <w:t>4</w:t>
      </w:r>
      <w:r>
        <w:rPr>
          <w:rFonts w:ascii="仿宋" w:eastAsia="仿宋" w:cs="仿宋" w:hAnsi="仿宋" w:hint="eastAsia"/>
          <w:color w:val="000000"/>
          <w:sz w:val="32"/>
          <w:szCs w:val="32"/>
        </w:rPr>
        <w:t>年年初</w:t>
      </w:r>
      <w:r>
        <w:rPr>
          <w:rFonts w:ascii="仿宋" w:eastAsia="仿宋" w:hAnsi="仿宋" w:hint="eastAsia"/>
          <w:color w:val="000000"/>
          <w:sz w:val="32"/>
          <w:szCs w:val="32"/>
        </w:rPr>
        <w:t>矿区医疗保险管理中心</w:t>
      </w:r>
      <w:r>
        <w:rPr>
          <w:rFonts w:ascii="仿宋" w:eastAsia="仿宋" w:cs="仿宋" w:hAnsi="仿宋" w:hint="eastAsia"/>
          <w:color w:val="000000"/>
          <w:sz w:val="32"/>
          <w:szCs w:val="32"/>
        </w:rPr>
        <w:t>资产</w:t>
      </w:r>
      <w:r>
        <w:rPr>
          <w:rFonts w:ascii="仿宋" w:eastAsia="仿宋" w:cs="仿宋" w:hAnsi="仿宋" w:hint="eastAsia"/>
          <w:color w:val="000000"/>
          <w:sz w:val="32"/>
          <w:szCs w:val="32"/>
          <w:lang w:val="en-US" w:eastAsia="zh-CN"/>
        </w:rPr>
        <w:t>39.001</w:t>
      </w:r>
      <w:r>
        <w:rPr>
          <w:rFonts w:ascii="仿宋" w:eastAsia="仿宋" w:cs="仿宋" w:hAnsi="仿宋" w:hint="eastAsia"/>
          <w:color w:val="000000"/>
          <w:sz w:val="32"/>
          <w:szCs w:val="32"/>
        </w:rPr>
        <w:t>万元，年末</w:t>
      </w:r>
      <w:r>
        <w:rPr>
          <w:rFonts w:ascii="仿宋" w:eastAsia="仿宋" w:cs="仿宋" w:hAnsi="仿宋" w:hint="eastAsia"/>
          <w:color w:val="000000"/>
          <w:sz w:val="32"/>
          <w:szCs w:val="32"/>
          <w:lang w:val="en-US" w:eastAsia="zh-CN"/>
        </w:rPr>
        <w:t>39.001</w:t>
      </w:r>
      <w:r>
        <w:rPr>
          <w:rFonts w:ascii="仿宋" w:eastAsia="仿宋" w:cs="仿宋" w:hAnsi="仿宋" w:hint="eastAsia"/>
          <w:color w:val="000000"/>
          <w:sz w:val="32"/>
          <w:szCs w:val="32"/>
        </w:rPr>
        <w:t>万元，</w:t>
      </w:r>
      <w:r>
        <w:rPr>
          <w:rFonts w:ascii="仿宋" w:eastAsia="仿宋" w:hAnsi="仿宋" w:hint="eastAsia"/>
          <w:color w:val="000000"/>
          <w:sz w:val="32"/>
          <w:szCs w:val="32"/>
        </w:rPr>
        <w:t>与202</w:t>
      </w:r>
      <w:r>
        <w:rPr>
          <w:rFonts w:ascii="仿宋" w:eastAsia="仿宋" w:hAnsi="仿宋"/>
          <w:color w:val="000000"/>
          <w:sz w:val="32"/>
          <w:szCs w:val="32"/>
        </w:rPr>
        <w:t>3</w:t>
      </w:r>
      <w:r>
        <w:rPr>
          <w:rFonts w:ascii="仿宋" w:eastAsia="仿宋" w:hAnsi="仿宋" w:hint="eastAsia"/>
          <w:color w:val="000000"/>
          <w:sz w:val="32"/>
          <w:szCs w:val="32"/>
        </w:rPr>
        <w:t>年相比</w:t>
      </w:r>
      <w:r>
        <w:rPr>
          <w:rFonts w:ascii="仿宋" w:eastAsia="仿宋" w:hAnsi="仿宋"/>
          <w:color w:val="000000"/>
          <w:sz w:val="32"/>
          <w:szCs w:val="32"/>
        </w:rPr>
        <w:t>无增减变化。</w:t>
      </w:r>
    </w:p>
    <w:p>
      <w:pPr>
        <w:ind w:firstLineChars="200" w:firstLine="640"/>
        <w:rPr>
          <w:rFonts w:ascii="仿宋" w:eastAsia="仿宋" w:cs="楷体_GB2312" w:hAnsi="仿宋" w:hint="eastAsia"/>
          <w:b/>
          <w:bCs/>
          <w:sz w:val="32"/>
          <w:szCs w:val="32"/>
        </w:rPr>
      </w:pPr>
      <w:r>
        <w:rPr>
          <w:rFonts w:ascii="仿宋" w:eastAsia="仿宋" w:cs="楷体_GB2312" w:hAnsi="仿宋" w:hint="eastAsia"/>
          <w:b/>
          <w:bCs/>
          <w:sz w:val="32"/>
          <w:szCs w:val="32"/>
        </w:rPr>
        <w:t>（二）部门收支预决算情况</w:t>
      </w:r>
    </w:p>
    <w:p>
      <w:pPr>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202</w:t>
      </w:r>
      <w:r>
        <w:rPr>
          <w:rFonts w:ascii="仿宋" w:eastAsia="仿宋" w:cs="仿宋" w:hAnsi="仿宋"/>
          <w:color w:val="000000"/>
          <w:sz w:val="32"/>
          <w:szCs w:val="32"/>
        </w:rPr>
        <w:t>4</w:t>
      </w:r>
      <w:r>
        <w:rPr>
          <w:rFonts w:ascii="仿宋" w:eastAsia="仿宋" w:cs="仿宋" w:hAnsi="仿宋" w:hint="eastAsia"/>
          <w:color w:val="000000"/>
          <w:sz w:val="32"/>
          <w:szCs w:val="32"/>
        </w:rPr>
        <w:t>年部门年初预算收入</w:t>
      </w:r>
      <w:r>
        <w:rPr>
          <w:rFonts w:ascii="仿宋" w:eastAsia="仿宋" w:cs="仿宋" w:hAnsi="仿宋"/>
          <w:color w:val="000000"/>
          <w:sz w:val="32"/>
          <w:szCs w:val="32"/>
        </w:rPr>
        <w:t>960.37</w:t>
      </w:r>
      <w:r>
        <w:rPr>
          <w:rFonts w:ascii="仿宋" w:eastAsia="仿宋" w:cs="仿宋" w:hAnsi="仿宋" w:hint="eastAsia"/>
          <w:color w:val="000000"/>
          <w:sz w:val="32"/>
          <w:szCs w:val="32"/>
        </w:rPr>
        <w:t>万元，上年结转结余</w:t>
      </w:r>
      <w:r>
        <w:rPr>
          <w:rFonts w:ascii="仿宋" w:eastAsia="仿宋" w:cs="仿宋" w:hAnsi="仿宋"/>
          <w:color w:val="000000"/>
          <w:sz w:val="32"/>
          <w:szCs w:val="32"/>
        </w:rPr>
        <w:t>0.01万元，</w:t>
      </w:r>
      <w:r>
        <w:rPr>
          <w:rFonts w:ascii="仿宋" w:eastAsia="仿宋" w:cs="仿宋" w:hAnsi="仿宋" w:hint="eastAsia"/>
          <w:color w:val="000000"/>
          <w:sz w:val="32"/>
          <w:szCs w:val="32"/>
        </w:rPr>
        <w:t>202</w:t>
      </w:r>
      <w:r>
        <w:rPr>
          <w:rFonts w:ascii="仿宋" w:eastAsia="仿宋" w:cs="仿宋" w:hAnsi="仿宋"/>
          <w:color w:val="000000"/>
          <w:sz w:val="32"/>
          <w:szCs w:val="32"/>
        </w:rPr>
        <w:t>4</w:t>
      </w:r>
      <w:r>
        <w:rPr>
          <w:rFonts w:ascii="仿宋" w:eastAsia="仿宋" w:cs="仿宋" w:hAnsi="仿宋" w:hint="eastAsia"/>
          <w:color w:val="000000"/>
          <w:sz w:val="32"/>
          <w:szCs w:val="32"/>
        </w:rPr>
        <w:t>年部门预算支出</w:t>
      </w:r>
      <w:r>
        <w:rPr>
          <w:rFonts w:ascii="仿宋" w:eastAsia="仿宋" w:cs="仿宋" w:hAnsi="仿宋"/>
          <w:color w:val="000000"/>
          <w:sz w:val="32"/>
          <w:szCs w:val="32"/>
        </w:rPr>
        <w:t>960.38</w:t>
      </w:r>
      <w:r>
        <w:rPr>
          <w:rFonts w:ascii="仿宋" w:eastAsia="仿宋" w:cs="仿宋" w:hAnsi="仿宋" w:hint="eastAsia"/>
          <w:color w:val="000000"/>
          <w:sz w:val="32"/>
          <w:szCs w:val="32"/>
        </w:rPr>
        <w:t>万元，其中：基本支出</w:t>
      </w:r>
      <w:r>
        <w:rPr>
          <w:rFonts w:ascii="仿宋" w:eastAsia="仿宋" w:cs="仿宋" w:hAnsi="仿宋"/>
          <w:color w:val="000000"/>
          <w:sz w:val="32"/>
          <w:szCs w:val="32"/>
        </w:rPr>
        <w:t>209.64</w:t>
      </w:r>
      <w:r>
        <w:rPr>
          <w:rFonts w:ascii="仿宋" w:eastAsia="仿宋" w:cs="仿宋" w:hAnsi="仿宋" w:hint="eastAsia"/>
          <w:color w:val="000000"/>
          <w:sz w:val="32"/>
          <w:szCs w:val="32"/>
        </w:rPr>
        <w:t>万元，项目支出</w:t>
      </w:r>
      <w:r>
        <w:rPr>
          <w:rFonts w:ascii="仿宋" w:eastAsia="仿宋" w:cs="仿宋" w:hAnsi="仿宋"/>
          <w:color w:val="000000"/>
          <w:sz w:val="32"/>
          <w:szCs w:val="32"/>
        </w:rPr>
        <w:t>750.74</w:t>
      </w:r>
      <w:r>
        <w:rPr>
          <w:rFonts w:ascii="仿宋" w:eastAsia="仿宋" w:cs="仿宋" w:hAnsi="仿宋" w:hint="eastAsia"/>
          <w:color w:val="000000"/>
          <w:sz w:val="32"/>
          <w:szCs w:val="32"/>
        </w:rPr>
        <w:t>万元。202</w:t>
      </w:r>
      <w:r>
        <w:rPr>
          <w:rFonts w:ascii="仿宋" w:eastAsia="仿宋" w:cs="仿宋" w:hAnsi="仿宋"/>
          <w:color w:val="000000"/>
          <w:sz w:val="32"/>
          <w:szCs w:val="32"/>
        </w:rPr>
        <w:t>4</w:t>
      </w:r>
      <w:r>
        <w:rPr>
          <w:rFonts w:ascii="仿宋" w:eastAsia="仿宋" w:cs="仿宋" w:hAnsi="仿宋" w:hint="eastAsia"/>
          <w:color w:val="000000"/>
          <w:sz w:val="32"/>
          <w:szCs w:val="32"/>
        </w:rPr>
        <w:t>年实际收入</w:t>
      </w:r>
      <w:r>
        <w:rPr>
          <w:rFonts w:ascii="仿宋_GB2312" w:eastAsia="仿宋_GB2312" w:cs="Times New Roman" w:hint="eastAsia"/>
          <w:sz w:val="32"/>
          <w:szCs w:val="32"/>
          <w:lang w:val="en-US" w:eastAsia="zh-CN" w:bidi="ar-SA"/>
        </w:rPr>
        <w:t>916.2</w:t>
      </w:r>
      <w:r>
        <w:rPr>
          <w:rFonts w:ascii="仿宋" w:eastAsia="仿宋" w:cs="仿宋" w:hAnsi="仿宋" w:hint="eastAsia"/>
          <w:color w:val="000000"/>
          <w:sz w:val="32"/>
          <w:szCs w:val="32"/>
        </w:rPr>
        <w:t>万元,实际支出</w:t>
      </w:r>
      <w:r>
        <w:rPr>
          <w:rFonts w:ascii="仿宋_GB2312" w:eastAsia="仿宋_GB2312" w:cs="Times New Roman" w:hint="eastAsia"/>
          <w:sz w:val="32"/>
          <w:szCs w:val="32"/>
          <w:lang w:val="en-US" w:eastAsia="zh-CN" w:bidi="ar-SA"/>
        </w:rPr>
        <w:t>916.2</w:t>
      </w:r>
      <w:r>
        <w:rPr>
          <w:rFonts w:ascii="仿宋" w:eastAsia="仿宋" w:cs="仿宋" w:hAnsi="仿宋" w:hint="eastAsia"/>
          <w:color w:val="000000"/>
          <w:sz w:val="32"/>
          <w:szCs w:val="32"/>
        </w:rPr>
        <w:t>万元，其中：基本支出</w:t>
      </w:r>
      <w:r>
        <w:rPr>
          <w:rFonts w:ascii="仿宋" w:eastAsia="仿宋" w:cs="仿宋" w:hAnsi="仿宋"/>
          <w:color w:val="000000"/>
          <w:sz w:val="32"/>
          <w:szCs w:val="32"/>
        </w:rPr>
        <w:t>210.59</w:t>
      </w:r>
      <w:r>
        <w:rPr>
          <w:rFonts w:ascii="仿宋" w:eastAsia="仿宋" w:cs="仿宋" w:hAnsi="仿宋" w:hint="eastAsia"/>
          <w:color w:val="000000"/>
          <w:sz w:val="32"/>
          <w:szCs w:val="32"/>
        </w:rPr>
        <w:t>万元，项目支出</w:t>
      </w:r>
      <w:r>
        <w:rPr>
          <w:rFonts w:ascii="仿宋_GB2312" w:eastAsia="仿宋_GB2312" w:cs="Times New Roman" w:hint="eastAsia"/>
          <w:color w:val="000000"/>
          <w:sz w:val="32"/>
          <w:szCs w:val="32"/>
          <w:lang w:val="en-US" w:eastAsia="zh-CN" w:bidi="ar-SA"/>
        </w:rPr>
        <w:t>705.61</w:t>
      </w:r>
      <w:r>
        <w:rPr>
          <w:rFonts w:ascii="仿宋" w:eastAsia="仿宋" w:cs="仿宋" w:hAnsi="仿宋" w:hint="eastAsia"/>
          <w:color w:val="000000"/>
          <w:sz w:val="32"/>
          <w:szCs w:val="32"/>
        </w:rPr>
        <w:t>万元</w:t>
      </w:r>
      <w:r>
        <w:rPr>
          <w:rFonts w:ascii="仿宋_GB2312" w:eastAsia="仿宋_GB2312" w:hAnsi="仿宋" w:hint="eastAsia"/>
          <w:color w:val="000000"/>
          <w:sz w:val="32"/>
          <w:szCs w:val="32"/>
        </w:rPr>
        <w:t>。</w:t>
      </w:r>
    </w:p>
    <w:p>
      <w:pPr>
        <w:adjustRightInd w:val="0"/>
        <w:snapToGrid w:val="0"/>
        <w:spacing w:line="560" w:lineRule="exact"/>
        <w:rPr>
          <w:rFonts w:ascii="仿宋" w:eastAsia="仿宋" w:cs="楷体_GB2312" w:hAnsi="仿宋"/>
          <w:b/>
          <w:bCs/>
          <w:sz w:val="32"/>
          <w:szCs w:val="32"/>
        </w:rPr>
      </w:pPr>
      <w:r>
        <w:rPr>
          <w:rFonts w:ascii="仿宋" w:eastAsia="仿宋" w:cs="楷体_GB2312" w:hAnsi="仿宋" w:hint="eastAsia"/>
          <w:b/>
          <w:bCs/>
          <w:sz w:val="32"/>
          <w:szCs w:val="32"/>
        </w:rPr>
        <w:t xml:space="preserve">   （三）部门整体支出绩效目标、指标</w:t>
      </w:r>
    </w:p>
    <w:p>
      <w:pPr>
        <w:pStyle w:val="20"/>
        <w:spacing w:line="560" w:lineRule="exact"/>
        <w:rPr>
          <w:rFonts w:ascii="仿宋" w:eastAsia="仿宋" w:cs="仿宋" w:hAnsi="仿宋" w:hint="eastAsia"/>
          <w:kern w:val="2"/>
          <w:sz w:val="32"/>
          <w:szCs w:val="32"/>
          <w:lang w:eastAsia="zh-CN"/>
        </w:rPr>
      </w:pPr>
      <w:r>
        <w:rPr>
          <w:rFonts w:ascii="仿宋" w:eastAsia="仿宋" w:cs="黑体" w:hAnsi="仿宋" w:hint="eastAsia"/>
          <w:kern w:val="2"/>
          <w:sz w:val="32"/>
          <w:szCs w:val="32"/>
          <w:lang w:eastAsia="zh-CN"/>
        </w:rPr>
        <w:t>（</w:t>
      </w:r>
      <w:r>
        <w:rPr>
          <w:rFonts w:ascii="仿宋" w:eastAsia="仿宋" w:cs="仿宋" w:hAnsi="仿宋" w:hint="eastAsia"/>
          <w:kern w:val="2"/>
          <w:sz w:val="32"/>
          <w:szCs w:val="32"/>
          <w:lang w:eastAsia="zh-CN"/>
        </w:rPr>
        <w:t>1）拟订全区医疗保障工作规划；负责全区医疗保障综合统计工作，负责编制全区医疗保险、生育保险和长期护理保险基金、医疗救助资金预决算工作和年度财务报告，负责推进全区医疗保障信息化建设，组织建设信息网络系统。贯彻落实长期护理保险制度改革方案；落实医疗保障筹资、待遇政策，贯彻落实慢性病、特种病等病种和特殊规定药品管理规定，统筹推进医疗保险、生育保险、医疗救助等多层次医疗体系建设，贯彻落实医疗保障关系转移接续制度，组织实施定点医药机构医保协议和支付管理、异地就医管理办法和结算政策，组织开展药品、医用耗材、医疗技术的经济性评价。按照职责权限，贯彻落实药品、医用耗材、医疗服务价格管理办法，制定和调整公立医疗服务机构价格。</w:t>
      </w:r>
    </w:p>
    <w:p>
      <w:pPr>
        <w:pStyle w:val="20"/>
        <w:spacing w:line="560" w:lineRule="exact"/>
        <w:rPr>
          <w:rFonts w:ascii="仿宋" w:eastAsia="仿宋" w:cs="仿宋" w:hAnsi="仿宋" w:hint="eastAsia"/>
          <w:kern w:val="2"/>
          <w:sz w:val="32"/>
          <w:szCs w:val="32"/>
          <w:lang w:eastAsia="zh-CN"/>
        </w:rPr>
      </w:pPr>
      <w:r>
        <w:rPr>
          <w:rFonts w:ascii="仿宋" w:eastAsia="仿宋" w:cs="仿宋" w:hAnsi="仿宋" w:hint="eastAsia"/>
          <w:kern w:val="2"/>
          <w:sz w:val="32"/>
          <w:szCs w:val="32"/>
          <w:lang w:eastAsia="zh-CN"/>
        </w:rPr>
        <w:t>（2）贯彻落实医疗保障基金监督管理规定并组织实施；建立健全医疗保障基金安全防控机制、医疗保障信用评价体系和信息披露制度；监督管理纳入医保支付范围的医疗服务行为和医疗费用；规范医保经办，依法查处医疗保障领域违法违规行为。依法管理药品、医用耗材、医疗服务价格政策法规执行情况；组织实施全区医疗服务价格项目规范、一次性医用耗材目录。</w:t>
      </w:r>
    </w:p>
    <w:tbl>
      <w:tblPr>
        <w:jc w:val="left"/>
        <w:tblInd w:w="0" w:type="dxa"/>
        <w:tblW w:w="9970"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Look w:val="0600" w:firstRow="0" w:lastRow="0" w:firstColumn="0" w:lastColumn="0" w:noHBand="1" w:noVBand="1"/>
      </w:tblPr>
      <w:tblGrid>
        <w:gridCol w:w="1371"/>
        <w:gridCol w:w="1535"/>
        <w:gridCol w:w="1371"/>
        <w:gridCol w:w="939"/>
        <w:gridCol w:w="659"/>
        <w:gridCol w:w="939"/>
        <w:gridCol w:w="792"/>
        <w:gridCol w:w="1045"/>
        <w:gridCol w:w="1319"/>
      </w:tblGrid>
      <w:tr>
        <w:trPr>
          <w:trHeight w:val="750"/>
        </w:trPr>
        <w:tc>
          <w:tcPr>
            <w:tcW w:w="9970" w:type="dxa"/>
            <w:gridSpan w:val="9"/>
            <w:shd w:val="clear" w:color="auto" w:fill="D3DCE9"/>
            <w:vAlign w:val="center"/>
          </w:tcPr>
          <w:p>
            <w:pPr>
              <w:widowControl/>
              <w:spacing w:line="560" w:lineRule="exact"/>
              <w:jc w:val="center"/>
              <w:textAlignment w:val="center"/>
              <w:rPr>
                <w:rFonts w:ascii="宋体" w:cs="宋体" w:hAnsi="宋体"/>
                <w:color w:val="000000"/>
                <w:sz w:val="43"/>
                <w:szCs w:val="43"/>
              </w:rPr>
            </w:pPr>
            <w:r>
              <w:rPr>
                <w:rFonts w:ascii="宋体" w:cs="宋体" w:hAnsi="宋体" w:hint="eastAsia"/>
                <w:color w:val="000000"/>
                <w:kern w:val="0"/>
                <w:sz w:val="43"/>
                <w:szCs w:val="43"/>
              </w:rPr>
              <w:t>预算项目绩效信息表</w:t>
            </w:r>
          </w:p>
        </w:tc>
      </w:tr>
      <w:tr>
        <w:trPr>
          <w:trHeight w:val="465"/>
        </w:trPr>
        <w:tc>
          <w:tcPr>
            <w:tcW w:w="137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center"/>
              <w:textAlignment w:val="center"/>
              <w:rPr>
                <w:rFonts w:ascii="宋体" w:cs="宋体" w:hAnsi="宋体"/>
                <w:b/>
                <w:color w:val="000000"/>
                <w:sz w:val="18"/>
                <w:szCs w:val="18"/>
              </w:rPr>
            </w:pPr>
            <w:r>
              <w:rPr>
                <w:rFonts w:ascii="宋体" w:cs="宋体" w:hAnsi="宋体" w:hint="eastAsia"/>
                <w:b/>
                <w:color w:val="000000"/>
                <w:kern w:val="0"/>
                <w:sz w:val="18"/>
                <w:szCs w:val="18"/>
              </w:rPr>
              <w:t>一级指标</w:t>
            </w:r>
          </w:p>
        </w:tc>
        <w:tc>
          <w:tcPr>
            <w:tcW w:w="153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center"/>
              <w:textAlignment w:val="center"/>
              <w:rPr>
                <w:rFonts w:ascii="宋体" w:cs="宋体" w:hAnsi="宋体"/>
                <w:b/>
                <w:color w:val="000000"/>
                <w:sz w:val="18"/>
                <w:szCs w:val="18"/>
              </w:rPr>
            </w:pPr>
            <w:r>
              <w:rPr>
                <w:rFonts w:ascii="宋体" w:cs="宋体" w:hAnsi="宋体" w:hint="eastAsia"/>
                <w:b/>
                <w:color w:val="000000"/>
                <w:kern w:val="0"/>
                <w:sz w:val="18"/>
                <w:szCs w:val="18"/>
              </w:rPr>
              <w:t>二级指标</w:t>
            </w:r>
          </w:p>
        </w:tc>
        <w:tc>
          <w:tcPr>
            <w:tcW w:w="137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center"/>
              <w:textAlignment w:val="center"/>
              <w:rPr>
                <w:rFonts w:ascii="宋体" w:cs="宋体" w:hAnsi="宋体"/>
                <w:b/>
                <w:color w:val="000000"/>
                <w:sz w:val="18"/>
                <w:szCs w:val="18"/>
              </w:rPr>
            </w:pPr>
            <w:r>
              <w:rPr>
                <w:rFonts w:ascii="宋体" w:cs="宋体" w:hAnsi="宋体" w:hint="eastAsia"/>
                <w:b/>
                <w:color w:val="000000"/>
                <w:kern w:val="0"/>
                <w:sz w:val="18"/>
                <w:szCs w:val="18"/>
              </w:rPr>
              <w:t>三级指标</w:t>
            </w: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center"/>
              <w:textAlignment w:val="center"/>
              <w:rPr>
                <w:rFonts w:ascii="宋体" w:cs="宋体" w:hAnsi="宋体"/>
                <w:b/>
                <w:color w:val="000000"/>
                <w:sz w:val="18"/>
                <w:szCs w:val="18"/>
              </w:rPr>
            </w:pPr>
            <w:r>
              <w:rPr>
                <w:rFonts w:ascii="宋体" w:cs="宋体" w:hAnsi="宋体" w:hint="eastAsia"/>
                <w:b/>
                <w:color w:val="000000"/>
                <w:kern w:val="0"/>
                <w:sz w:val="18"/>
                <w:szCs w:val="18"/>
              </w:rPr>
              <w:t>绩效指标描述</w:t>
            </w:r>
          </w:p>
        </w:tc>
        <w:tc>
          <w:tcPr>
            <w:tcW w:w="6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center"/>
              <w:textAlignment w:val="center"/>
              <w:rPr>
                <w:rFonts w:ascii="宋体" w:cs="宋体" w:hAnsi="宋体"/>
                <w:b/>
                <w:color w:val="000000"/>
                <w:sz w:val="18"/>
                <w:szCs w:val="18"/>
              </w:rPr>
            </w:pPr>
            <w:r>
              <w:rPr>
                <w:rFonts w:ascii="宋体" w:cs="宋体" w:hAnsi="宋体" w:hint="eastAsia"/>
                <w:b/>
                <w:color w:val="000000"/>
                <w:kern w:val="0"/>
                <w:sz w:val="18"/>
                <w:szCs w:val="18"/>
              </w:rPr>
              <w:t>评（扣）分标准</w:t>
            </w:r>
          </w:p>
        </w:tc>
        <w:tc>
          <w:tcPr>
            <w:tcW w:w="27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center"/>
              <w:textAlignment w:val="center"/>
              <w:rPr>
                <w:rFonts w:ascii="宋体" w:cs="宋体" w:hAnsi="宋体"/>
                <w:b/>
                <w:color w:val="000000"/>
                <w:sz w:val="18"/>
                <w:szCs w:val="18"/>
              </w:rPr>
            </w:pPr>
            <w:r>
              <w:rPr>
                <w:rFonts w:ascii="宋体" w:cs="宋体" w:hAnsi="宋体" w:hint="eastAsia"/>
                <w:b/>
                <w:color w:val="000000"/>
                <w:kern w:val="0"/>
                <w:sz w:val="18"/>
                <w:szCs w:val="18"/>
              </w:rPr>
              <w:t>指标值</w:t>
            </w:r>
          </w:p>
        </w:tc>
        <w:tc>
          <w:tcPr>
            <w:tcW w:w="131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center"/>
              <w:textAlignment w:val="center"/>
              <w:rPr>
                <w:rFonts w:ascii="宋体" w:cs="宋体" w:hAnsi="宋体"/>
                <w:b/>
                <w:color w:val="000000"/>
                <w:sz w:val="18"/>
                <w:szCs w:val="18"/>
              </w:rPr>
            </w:pPr>
            <w:r>
              <w:rPr>
                <w:rFonts w:ascii="宋体" w:cs="宋体" w:hAnsi="宋体" w:hint="eastAsia"/>
                <w:b/>
                <w:color w:val="000000"/>
                <w:kern w:val="0"/>
                <w:sz w:val="18"/>
                <w:szCs w:val="18"/>
              </w:rPr>
              <w:t>指标值确定依据</w:t>
            </w:r>
          </w:p>
        </w:tc>
      </w:tr>
      <w:tr>
        <w:trPr>
          <w:trHeight w:val="465"/>
        </w:trPr>
        <w:tc>
          <w:tcPr>
            <w:tcW w:w="13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5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3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6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93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center"/>
              <w:textAlignment w:val="center"/>
              <w:rPr>
                <w:rFonts w:ascii="宋体" w:cs="宋体" w:hAnsi="宋体"/>
                <w:b/>
                <w:color w:val="000000"/>
                <w:sz w:val="18"/>
                <w:szCs w:val="18"/>
              </w:rPr>
            </w:pPr>
            <w:r>
              <w:rPr>
                <w:rFonts w:ascii="宋体" w:cs="宋体" w:hAnsi="宋体" w:hint="eastAsia"/>
                <w:b/>
                <w:color w:val="000000"/>
                <w:kern w:val="0"/>
                <w:sz w:val="18"/>
                <w:szCs w:val="18"/>
              </w:rPr>
              <w:t>符号</w:t>
            </w:r>
          </w:p>
        </w:tc>
        <w:tc>
          <w:tcPr>
            <w:tcW w:w="79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center"/>
              <w:textAlignment w:val="center"/>
              <w:rPr>
                <w:rFonts w:ascii="宋体" w:cs="宋体" w:hAnsi="宋体"/>
                <w:b/>
                <w:color w:val="000000"/>
                <w:sz w:val="18"/>
                <w:szCs w:val="18"/>
              </w:rPr>
            </w:pPr>
            <w:r>
              <w:rPr>
                <w:rFonts w:ascii="宋体" w:cs="宋体" w:hAnsi="宋体" w:hint="eastAsia"/>
                <w:b/>
                <w:color w:val="000000"/>
                <w:kern w:val="0"/>
                <w:sz w:val="18"/>
                <w:szCs w:val="18"/>
              </w:rPr>
              <w:t>值</w:t>
            </w:r>
          </w:p>
        </w:tc>
        <w:tc>
          <w:tcPr>
            <w:tcW w:w="10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center"/>
              <w:textAlignment w:val="center"/>
              <w:rPr>
                <w:rFonts w:ascii="宋体" w:cs="宋体" w:hAnsi="宋体"/>
                <w:b/>
                <w:color w:val="000000"/>
                <w:sz w:val="18"/>
                <w:szCs w:val="18"/>
              </w:rPr>
            </w:pPr>
            <w:r>
              <w:rPr>
                <w:rFonts w:ascii="宋体" w:cs="宋体" w:hAnsi="宋体" w:hint="eastAsia"/>
                <w:b/>
                <w:color w:val="000000"/>
                <w:kern w:val="0"/>
                <w:sz w:val="18"/>
                <w:szCs w:val="18"/>
              </w:rPr>
              <w:t>单位（文字描述）</w:t>
            </w:r>
          </w:p>
        </w:tc>
        <w:tc>
          <w:tcPr>
            <w:tcW w:w="13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val="645"/>
        </w:trPr>
        <w:tc>
          <w:tcPr>
            <w:tcW w:w="137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center"/>
              <w:textAlignment w:val="center"/>
              <w:rPr>
                <w:rFonts w:ascii="宋体" w:cs="宋体" w:hAnsi="宋体"/>
                <w:b/>
                <w:color w:val="000000"/>
                <w:sz w:val="18"/>
                <w:szCs w:val="18"/>
              </w:rPr>
            </w:pPr>
            <w:r>
              <w:rPr>
                <w:rFonts w:ascii="宋体" w:cs="宋体" w:hAnsi="宋体" w:hint="eastAsia"/>
                <w:b/>
                <w:color w:val="000000"/>
                <w:kern w:val="0"/>
                <w:sz w:val="18"/>
                <w:szCs w:val="18"/>
              </w:rPr>
              <w:t>产出指标</w:t>
            </w:r>
          </w:p>
        </w:tc>
        <w:tc>
          <w:tcPr>
            <w:tcW w:w="153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数量指标</w:t>
            </w:r>
          </w:p>
        </w:tc>
        <w:tc>
          <w:tcPr>
            <w:tcW w:w="1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开展医保宣传次数</w:t>
            </w:r>
          </w:p>
        </w:tc>
        <w:tc>
          <w:tcPr>
            <w:tcW w:w="93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color w:val="000000"/>
                <w:kern w:val="0"/>
                <w:sz w:val="18"/>
                <w:szCs w:val="18"/>
              </w:rPr>
              <w:t>加强对医保政策的宣传活动，使老百姓真正了解医保政策</w:t>
            </w:r>
          </w:p>
        </w:tc>
        <w:tc>
          <w:tcPr>
            <w:tcW w:w="659" w:type="dxa"/>
            <w:tcBorders>
              <w:top w:val="single" w:sz="4" w:space="0" w:color="000000"/>
              <w:left w:val="single" w:sz="4" w:space="0" w:color="000000"/>
              <w:bottom w:val="single" w:sz="4" w:space="0" w:color="000000"/>
              <w:right w:val="single" w:sz="4" w:space="0" w:color="000000"/>
            </w:tcBorders>
            <w:shd w:val="clear" w:color="auto" w:fill="auto"/>
          </w:tcPr>
          <w:p>
            <w:pPr>
              <w:widowControl/>
              <w:spacing w:line="560" w:lineRule="exact"/>
              <w:jc w:val="left"/>
              <w:textAlignment w:val="top"/>
              <w:rPr>
                <w:rFonts w:ascii="宋体" w:cs="宋体" w:hAnsi="宋体"/>
                <w:color w:val="000000"/>
                <w:sz w:val="18"/>
                <w:szCs w:val="18"/>
              </w:rPr>
            </w:pPr>
            <w:r>
              <w:rPr>
                <w:rFonts w:ascii="宋体" w:cs="宋体" w:hAnsi="宋体" w:hint="eastAsia"/>
                <w:color w:val="000000"/>
                <w:kern w:val="0"/>
                <w:sz w:val="18"/>
                <w:szCs w:val="18"/>
              </w:rPr>
              <w:t>无</w:t>
            </w:r>
          </w:p>
        </w:tc>
        <w:tc>
          <w:tcPr>
            <w:tcW w:w="93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w:t>
            </w:r>
          </w:p>
        </w:tc>
        <w:tc>
          <w:tcPr>
            <w:tcW w:w="79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right"/>
              <w:textAlignment w:val="center"/>
              <w:rPr>
                <w:rFonts w:ascii="宋体" w:cs="宋体" w:hAnsi="宋体"/>
                <w:color w:val="000000"/>
                <w:sz w:val="18"/>
                <w:szCs w:val="18"/>
              </w:rPr>
            </w:pPr>
            <w:r>
              <w:rPr>
                <w:rFonts w:ascii="宋体" w:cs="宋体" w:hAnsi="宋体" w:hint="eastAsia"/>
                <w:color w:val="000000"/>
                <w:kern w:val="0"/>
                <w:sz w:val="18"/>
                <w:szCs w:val="18"/>
              </w:rPr>
              <w:t>6.00</w:t>
            </w:r>
          </w:p>
        </w:tc>
        <w:tc>
          <w:tcPr>
            <w:tcW w:w="10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次</w:t>
            </w:r>
          </w:p>
        </w:tc>
        <w:tc>
          <w:tcPr>
            <w:tcW w:w="1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工作要求</w:t>
            </w:r>
          </w:p>
        </w:tc>
      </w:tr>
      <w:tr>
        <w:trPr>
          <w:trHeight w:val="465"/>
        </w:trPr>
        <w:tc>
          <w:tcPr>
            <w:tcW w:w="13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53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质量指标</w:t>
            </w:r>
          </w:p>
        </w:tc>
        <w:tc>
          <w:tcPr>
            <w:tcW w:w="1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color w:val="000000"/>
                <w:kern w:val="0"/>
                <w:sz w:val="18"/>
                <w:szCs w:val="18"/>
              </w:rPr>
              <w:t>加强对两定点医疗机构检查</w:t>
            </w:r>
          </w:p>
        </w:tc>
        <w:tc>
          <w:tcPr>
            <w:tcW w:w="939" w:type="dxa"/>
            <w:tcBorders>
              <w:top w:val="single" w:sz="4" w:space="0" w:color="000000"/>
              <w:left w:val="single" w:sz="4" w:space="0" w:color="000000"/>
              <w:bottom w:val="single" w:sz="4" w:space="0" w:color="000000"/>
              <w:right w:val="single" w:sz="4" w:space="0" w:color="000000"/>
            </w:tcBorders>
            <w:shd w:val="clear" w:color="auto" w:fill="auto"/>
          </w:tcPr>
          <w:p>
            <w:pPr>
              <w:widowControl/>
              <w:spacing w:line="560" w:lineRule="exact"/>
              <w:jc w:val="left"/>
              <w:textAlignment w:val="center"/>
              <w:rPr>
                <w:rFonts w:ascii="宋体" w:cs="宋体" w:hAnsi="宋体"/>
                <w:color w:val="000000"/>
                <w:kern w:val="0"/>
                <w:sz w:val="18"/>
                <w:szCs w:val="18"/>
              </w:rPr>
            </w:pPr>
            <w:r>
              <w:rPr>
                <w:rFonts w:ascii="宋体" w:cs="宋体" w:hAnsi="宋体"/>
                <w:color w:val="000000"/>
                <w:kern w:val="0"/>
                <w:sz w:val="18"/>
                <w:szCs w:val="18"/>
              </w:rPr>
              <w:t>加强对两定点医疗机构检查，保证医保基金安全</w:t>
            </w:r>
          </w:p>
        </w:tc>
        <w:tc>
          <w:tcPr>
            <w:tcW w:w="659" w:type="dxa"/>
            <w:tcBorders>
              <w:top w:val="single" w:sz="4" w:space="0" w:color="000000"/>
              <w:left w:val="single" w:sz="4" w:space="0" w:color="000000"/>
              <w:bottom w:val="single" w:sz="4" w:space="0" w:color="000000"/>
              <w:right w:val="single" w:sz="4" w:space="0" w:color="000000"/>
            </w:tcBorders>
            <w:shd w:val="clear" w:color="auto" w:fill="auto"/>
          </w:tcPr>
          <w:p>
            <w:pPr>
              <w:widowControl/>
              <w:spacing w:line="560" w:lineRule="exact"/>
              <w:jc w:val="left"/>
              <w:textAlignment w:val="center"/>
              <w:rPr>
                <w:rFonts w:ascii="宋体" w:cs="宋体" w:hAnsi="宋体"/>
                <w:color w:val="000000"/>
                <w:kern w:val="0"/>
                <w:sz w:val="18"/>
                <w:szCs w:val="18"/>
              </w:rPr>
            </w:pPr>
            <w:r>
              <w:rPr>
                <w:rFonts w:ascii="宋体" w:cs="宋体" w:hAnsi="宋体" w:hint="eastAsia"/>
                <w:color w:val="000000"/>
                <w:kern w:val="0"/>
                <w:sz w:val="18"/>
                <w:szCs w:val="18"/>
              </w:rPr>
              <w:t>无</w:t>
            </w:r>
          </w:p>
        </w:tc>
        <w:tc>
          <w:tcPr>
            <w:tcW w:w="93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w:t>
            </w:r>
          </w:p>
        </w:tc>
        <w:tc>
          <w:tcPr>
            <w:tcW w:w="79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right"/>
              <w:textAlignment w:val="center"/>
              <w:rPr>
                <w:rFonts w:ascii="宋体" w:cs="宋体" w:hAnsi="宋体"/>
                <w:color w:val="000000"/>
                <w:sz w:val="18"/>
                <w:szCs w:val="18"/>
              </w:rPr>
            </w:pPr>
            <w:r>
              <w:rPr>
                <w:rFonts w:ascii="宋体" w:cs="宋体" w:hAnsi="宋体" w:hint="eastAsia"/>
                <w:color w:val="000000"/>
                <w:kern w:val="0"/>
                <w:sz w:val="18"/>
                <w:szCs w:val="18"/>
              </w:rPr>
              <w:t>95.00</w:t>
            </w:r>
          </w:p>
        </w:tc>
        <w:tc>
          <w:tcPr>
            <w:tcW w:w="10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w:t>
            </w:r>
          </w:p>
        </w:tc>
        <w:tc>
          <w:tcPr>
            <w:tcW w:w="1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工作要求</w:t>
            </w:r>
          </w:p>
        </w:tc>
      </w:tr>
      <w:tr>
        <w:trPr>
          <w:trHeight w:val="675"/>
        </w:trPr>
        <w:tc>
          <w:tcPr>
            <w:tcW w:w="13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53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时效指标</w:t>
            </w:r>
          </w:p>
        </w:tc>
        <w:tc>
          <w:tcPr>
            <w:tcW w:w="1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检查完成率</w:t>
            </w:r>
          </w:p>
        </w:tc>
        <w:tc>
          <w:tcPr>
            <w:tcW w:w="939" w:type="dxa"/>
            <w:tcBorders>
              <w:top w:val="single" w:sz="4" w:space="0" w:color="000000"/>
              <w:left w:val="single" w:sz="4" w:space="0" w:color="000000"/>
              <w:bottom w:val="single" w:sz="4" w:space="0" w:color="000000"/>
              <w:right w:val="single" w:sz="4" w:space="0" w:color="000000"/>
            </w:tcBorders>
            <w:shd w:val="clear" w:color="auto" w:fill="auto"/>
          </w:tcPr>
          <w:p>
            <w:pPr>
              <w:spacing w:line="560" w:lineRule="exact"/>
            </w:pPr>
            <w:r>
              <w:rPr>
                <w:rFonts w:ascii="宋体" w:cs="宋体" w:hAnsi="宋体" w:hint="eastAsia"/>
                <w:color w:val="000000"/>
                <w:kern w:val="0"/>
                <w:sz w:val="18"/>
                <w:szCs w:val="18"/>
              </w:rPr>
              <w:t>按要求完成互查任务</w:t>
            </w:r>
          </w:p>
        </w:tc>
        <w:tc>
          <w:tcPr>
            <w:tcW w:w="659" w:type="dxa"/>
            <w:tcBorders>
              <w:top w:val="single" w:sz="4" w:space="0" w:color="000000"/>
              <w:left w:val="single" w:sz="4" w:space="0" w:color="000000"/>
              <w:bottom w:val="single" w:sz="4" w:space="0" w:color="000000"/>
              <w:right w:val="single" w:sz="4" w:space="0" w:color="000000"/>
            </w:tcBorders>
            <w:shd w:val="clear" w:color="auto" w:fill="auto"/>
          </w:tcPr>
          <w:p>
            <w:pPr>
              <w:widowControl/>
              <w:spacing w:line="560" w:lineRule="exact"/>
              <w:jc w:val="left"/>
              <w:textAlignment w:val="top"/>
              <w:rPr>
                <w:rFonts w:ascii="宋体" w:cs="宋体" w:hAnsi="宋体"/>
                <w:color w:val="000000"/>
                <w:sz w:val="18"/>
                <w:szCs w:val="18"/>
              </w:rPr>
            </w:pPr>
            <w:r>
              <w:rPr>
                <w:rFonts w:ascii="宋体" w:cs="宋体" w:hAnsi="宋体" w:hint="eastAsia"/>
                <w:color w:val="000000"/>
                <w:kern w:val="0"/>
                <w:sz w:val="18"/>
                <w:szCs w:val="18"/>
              </w:rPr>
              <w:t>无</w:t>
            </w:r>
          </w:p>
        </w:tc>
        <w:tc>
          <w:tcPr>
            <w:tcW w:w="93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w:t>
            </w:r>
          </w:p>
        </w:tc>
        <w:tc>
          <w:tcPr>
            <w:tcW w:w="79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right"/>
              <w:textAlignment w:val="center"/>
              <w:rPr>
                <w:rFonts w:ascii="宋体" w:cs="宋体" w:hAnsi="宋体"/>
                <w:color w:val="000000"/>
                <w:sz w:val="18"/>
                <w:szCs w:val="18"/>
              </w:rPr>
            </w:pPr>
            <w:r>
              <w:rPr>
                <w:rFonts w:ascii="宋体" w:cs="宋体" w:hAnsi="宋体" w:hint="eastAsia"/>
                <w:color w:val="000000"/>
                <w:kern w:val="0"/>
                <w:sz w:val="18"/>
                <w:szCs w:val="18"/>
              </w:rPr>
              <w:t>90.00</w:t>
            </w:r>
          </w:p>
        </w:tc>
        <w:tc>
          <w:tcPr>
            <w:tcW w:w="10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w:t>
            </w:r>
          </w:p>
        </w:tc>
        <w:tc>
          <w:tcPr>
            <w:tcW w:w="1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工作要求</w:t>
            </w:r>
          </w:p>
        </w:tc>
      </w:tr>
      <w:tr>
        <w:trPr>
          <w:trHeight w:val="1050"/>
        </w:trPr>
        <w:tc>
          <w:tcPr>
            <w:tcW w:w="1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center"/>
              <w:textAlignment w:val="center"/>
              <w:rPr>
                <w:rFonts w:ascii="宋体" w:cs="宋体" w:hAnsi="宋体"/>
                <w:b/>
                <w:color w:val="000000"/>
                <w:sz w:val="18"/>
                <w:szCs w:val="18"/>
              </w:rPr>
            </w:pPr>
            <w:r>
              <w:rPr>
                <w:rFonts w:ascii="宋体" w:cs="宋体" w:hAnsi="宋体" w:hint="eastAsia"/>
                <w:b/>
                <w:color w:val="000000"/>
                <w:kern w:val="0"/>
                <w:sz w:val="18"/>
                <w:szCs w:val="18"/>
              </w:rPr>
              <w:t>效益指标</w:t>
            </w:r>
          </w:p>
        </w:tc>
        <w:tc>
          <w:tcPr>
            <w:tcW w:w="153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社会效益指标</w:t>
            </w:r>
          </w:p>
        </w:tc>
        <w:tc>
          <w:tcPr>
            <w:tcW w:w="1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检查定点医药机构存在问题</w:t>
            </w:r>
          </w:p>
        </w:tc>
        <w:tc>
          <w:tcPr>
            <w:tcW w:w="93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按要求完成互查任务</w:t>
            </w:r>
          </w:p>
        </w:tc>
        <w:tc>
          <w:tcPr>
            <w:tcW w:w="659" w:type="dxa"/>
            <w:tcBorders>
              <w:top w:val="single" w:sz="4" w:space="0" w:color="000000"/>
              <w:left w:val="single" w:sz="4" w:space="0" w:color="000000"/>
              <w:bottom w:val="single" w:sz="4" w:space="0" w:color="000000"/>
              <w:right w:val="single" w:sz="4" w:space="0" w:color="000000"/>
            </w:tcBorders>
            <w:shd w:val="clear" w:color="auto" w:fill="auto"/>
          </w:tcPr>
          <w:p>
            <w:pPr>
              <w:widowControl/>
              <w:spacing w:line="560" w:lineRule="exact"/>
              <w:jc w:val="left"/>
              <w:textAlignment w:val="top"/>
              <w:rPr>
                <w:rFonts w:ascii="宋体" w:cs="宋体" w:hAnsi="宋体"/>
                <w:color w:val="000000"/>
                <w:sz w:val="18"/>
                <w:szCs w:val="18"/>
              </w:rPr>
            </w:pPr>
            <w:r>
              <w:rPr>
                <w:rFonts w:ascii="宋体" w:cs="宋体" w:hAnsi="宋体" w:hint="eastAsia"/>
                <w:color w:val="000000"/>
                <w:kern w:val="0"/>
                <w:sz w:val="18"/>
                <w:szCs w:val="18"/>
              </w:rPr>
              <w:t>无</w:t>
            </w:r>
          </w:p>
        </w:tc>
        <w:tc>
          <w:tcPr>
            <w:tcW w:w="93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w:t>
            </w:r>
          </w:p>
        </w:tc>
        <w:tc>
          <w:tcPr>
            <w:tcW w:w="792"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line="560" w:lineRule="exact"/>
              <w:jc w:val="right"/>
              <w:rPr>
                <w:rFonts w:ascii="宋体" w:cs="宋体" w:hAnsi="宋体"/>
                <w:color w:val="000000"/>
                <w:sz w:val="18"/>
                <w:szCs w:val="18"/>
              </w:rPr>
            </w:pPr>
            <w:r>
              <w:rPr>
                <w:rFonts w:ascii="宋体" w:cs="宋体" w:hAnsi="宋体" w:hint="eastAsia"/>
                <w:color w:val="000000"/>
                <w:kern w:val="0"/>
                <w:sz w:val="18"/>
                <w:szCs w:val="18"/>
              </w:rPr>
              <w:t>90.00</w:t>
            </w:r>
          </w:p>
        </w:tc>
        <w:tc>
          <w:tcPr>
            <w:tcW w:w="10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w:t>
            </w:r>
          </w:p>
        </w:tc>
        <w:tc>
          <w:tcPr>
            <w:tcW w:w="1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工作要求</w:t>
            </w:r>
          </w:p>
        </w:tc>
      </w:tr>
      <w:tr>
        <w:trPr>
          <w:trHeight w:val="840"/>
        </w:trPr>
        <w:tc>
          <w:tcPr>
            <w:tcW w:w="1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center"/>
              <w:textAlignment w:val="center"/>
              <w:rPr>
                <w:rFonts w:ascii="宋体" w:cs="宋体" w:hAnsi="宋体"/>
                <w:b/>
                <w:color w:val="000000"/>
                <w:sz w:val="18"/>
                <w:szCs w:val="18"/>
              </w:rPr>
            </w:pPr>
            <w:r>
              <w:rPr>
                <w:rFonts w:ascii="宋体" w:cs="宋体" w:hAnsi="宋体" w:hint="eastAsia"/>
                <w:b/>
                <w:color w:val="000000"/>
                <w:kern w:val="0"/>
                <w:sz w:val="18"/>
                <w:szCs w:val="18"/>
              </w:rPr>
              <w:t>满意度指标</w:t>
            </w:r>
          </w:p>
        </w:tc>
        <w:tc>
          <w:tcPr>
            <w:tcW w:w="153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服务对象满意度指标</w:t>
            </w:r>
          </w:p>
        </w:tc>
        <w:tc>
          <w:tcPr>
            <w:tcW w:w="1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受益对象的满意度</w:t>
            </w:r>
          </w:p>
        </w:tc>
        <w:tc>
          <w:tcPr>
            <w:tcW w:w="93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受益对象的满意度</w:t>
            </w:r>
          </w:p>
        </w:tc>
        <w:tc>
          <w:tcPr>
            <w:tcW w:w="659" w:type="dxa"/>
            <w:tcBorders>
              <w:top w:val="single" w:sz="4" w:space="0" w:color="000000"/>
              <w:left w:val="single" w:sz="4" w:space="0" w:color="000000"/>
              <w:bottom w:val="single" w:sz="4" w:space="0" w:color="000000"/>
              <w:right w:val="single" w:sz="4" w:space="0" w:color="000000"/>
            </w:tcBorders>
            <w:shd w:val="clear" w:color="auto" w:fill="auto"/>
          </w:tcPr>
          <w:p>
            <w:pPr>
              <w:widowControl/>
              <w:spacing w:line="560" w:lineRule="exact"/>
              <w:jc w:val="left"/>
              <w:textAlignment w:val="top"/>
              <w:rPr>
                <w:rFonts w:ascii="宋体" w:cs="宋体" w:hAnsi="宋体"/>
                <w:color w:val="000000"/>
                <w:sz w:val="18"/>
                <w:szCs w:val="18"/>
              </w:rPr>
            </w:pPr>
            <w:r>
              <w:rPr>
                <w:rFonts w:ascii="宋体" w:cs="宋体" w:hAnsi="宋体" w:hint="eastAsia"/>
                <w:color w:val="000000"/>
                <w:kern w:val="0"/>
                <w:sz w:val="18"/>
                <w:szCs w:val="18"/>
              </w:rPr>
              <w:t>无</w:t>
            </w:r>
          </w:p>
        </w:tc>
        <w:tc>
          <w:tcPr>
            <w:tcW w:w="93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w:t>
            </w:r>
          </w:p>
        </w:tc>
        <w:tc>
          <w:tcPr>
            <w:tcW w:w="79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right"/>
              <w:textAlignment w:val="center"/>
              <w:rPr>
                <w:rFonts w:ascii="宋体" w:cs="宋体" w:hAnsi="宋体"/>
                <w:color w:val="000000"/>
                <w:sz w:val="18"/>
                <w:szCs w:val="18"/>
              </w:rPr>
            </w:pPr>
            <w:r>
              <w:rPr>
                <w:rFonts w:ascii="宋体" w:cs="宋体" w:hAnsi="宋体" w:hint="eastAsia"/>
                <w:color w:val="000000"/>
                <w:kern w:val="0"/>
                <w:sz w:val="18"/>
                <w:szCs w:val="18"/>
              </w:rPr>
              <w:t>95.00</w:t>
            </w:r>
          </w:p>
        </w:tc>
        <w:tc>
          <w:tcPr>
            <w:tcW w:w="10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w:t>
            </w:r>
          </w:p>
        </w:tc>
        <w:tc>
          <w:tcPr>
            <w:tcW w:w="1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560" w:lineRule="exact"/>
              <w:jc w:val="left"/>
              <w:textAlignment w:val="center"/>
              <w:rPr>
                <w:rFonts w:ascii="宋体" w:cs="宋体" w:hAnsi="宋体"/>
                <w:color w:val="000000"/>
                <w:sz w:val="18"/>
                <w:szCs w:val="18"/>
              </w:rPr>
            </w:pPr>
            <w:r>
              <w:rPr>
                <w:rFonts w:ascii="宋体" w:cs="宋体" w:hAnsi="宋体" w:hint="eastAsia"/>
                <w:color w:val="000000"/>
                <w:kern w:val="0"/>
                <w:sz w:val="18"/>
                <w:szCs w:val="18"/>
              </w:rPr>
              <w:t>意见反馈</w:t>
            </w:r>
          </w:p>
        </w:tc>
      </w:tr>
    </w:tbl>
    <w:p>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pPr>
        <w:spacing w:line="560" w:lineRule="exact"/>
        <w:rPr>
          <w:rFonts w:ascii="仿宋" w:eastAsia="仿宋" w:cs="楷体_GB2312" w:hAnsi="仿宋"/>
          <w:sz w:val="32"/>
          <w:szCs w:val="32"/>
        </w:rPr>
      </w:pPr>
      <w:r>
        <w:rPr>
          <w:rFonts w:ascii="仿宋" w:eastAsia="仿宋" w:hAnsi="仿宋" w:hint="eastAsia"/>
          <w:sz w:val="32"/>
          <w:szCs w:val="32"/>
        </w:rPr>
        <w:t xml:space="preserve">    </w:t>
      </w:r>
      <w:r>
        <w:rPr>
          <w:rFonts w:ascii="仿宋" w:eastAsia="仿宋" w:cs="楷体_GB2312" w:hAnsi="仿宋" w:hint="eastAsia"/>
          <w:b/>
          <w:bCs/>
          <w:sz w:val="32"/>
          <w:szCs w:val="32"/>
        </w:rPr>
        <w:t>（一）自评的组织工作</w:t>
      </w:r>
    </w:p>
    <w:p>
      <w:pPr>
        <w:adjustRightInd w:val="0"/>
        <w:snapToGrid w:val="0"/>
        <w:spacing w:line="560" w:lineRule="exact"/>
        <w:ind w:left="0" w:firstLineChars="200" w:firstLine="640"/>
        <w:rPr>
          <w:rFonts w:ascii="仿宋" w:eastAsia="仿宋" w:cs="仿宋" w:hAnsi="仿宋"/>
          <w:sz w:val="32"/>
          <w:szCs w:val="32"/>
        </w:rPr>
      </w:pPr>
      <w:r>
        <w:rPr>
          <w:rFonts w:ascii="仿宋" w:eastAsia="仿宋" w:hAnsi="仿宋" w:hint="eastAsia"/>
          <w:sz w:val="32"/>
          <w:szCs w:val="32"/>
        </w:rPr>
        <w:t>贯彻落实</w:t>
      </w:r>
      <w:r>
        <w:rPr>
          <w:rFonts w:ascii="仿宋" w:eastAsia="仿宋" w:hAnsi="仿宋"/>
          <w:sz w:val="32"/>
          <w:szCs w:val="32"/>
        </w:rPr>
        <w:t>区委区政府</w:t>
      </w:r>
      <w:r>
        <w:rPr>
          <w:rFonts w:ascii="仿宋" w:eastAsia="仿宋" w:hAnsi="仿宋" w:hint="eastAsia"/>
          <w:sz w:val="32"/>
          <w:szCs w:val="32"/>
        </w:rPr>
        <w:t>《关于全面落实预算绩效管理的实施意见》（</w:t>
      </w:r>
      <w:r>
        <w:rPr>
          <w:rFonts w:ascii="仿宋" w:eastAsia="仿宋" w:hAnsi="仿宋"/>
          <w:sz w:val="32"/>
          <w:szCs w:val="32"/>
        </w:rPr>
        <w:t>矿</w:t>
      </w:r>
      <w:r>
        <w:rPr>
          <w:rFonts w:ascii="仿宋" w:eastAsia="仿宋" w:hAnsi="仿宋" w:hint="eastAsia"/>
          <w:sz w:val="32"/>
          <w:szCs w:val="32"/>
        </w:rPr>
        <w:t>发﹝2019﹞</w:t>
      </w:r>
      <w:r>
        <w:rPr>
          <w:rFonts w:ascii="仿宋" w:eastAsia="仿宋" w:hAnsi="仿宋"/>
          <w:sz w:val="32"/>
          <w:szCs w:val="32"/>
        </w:rPr>
        <w:t>7</w:t>
      </w:r>
      <w:r>
        <w:rPr>
          <w:rFonts w:ascii="仿宋" w:eastAsia="仿宋" w:hAnsi="仿宋" w:hint="eastAsia"/>
          <w:sz w:val="32"/>
          <w:szCs w:val="32"/>
        </w:rPr>
        <w:t>号）文件精神要求和《井陉矿区区级部门项目自评管理办法》（矿财[2021]12号）规定</w:t>
      </w:r>
      <w:r>
        <w:rPr>
          <w:rFonts w:ascii="仿宋" w:eastAsia="仿宋" w:cs="仿宋" w:hAnsi="仿宋" w:hint="eastAsia"/>
          <w:sz w:val="32"/>
          <w:szCs w:val="32"/>
        </w:rPr>
        <w:t>，成立绩效评价工作组，对我局所有的资金项目，开展202</w:t>
      </w:r>
      <w:r>
        <w:rPr>
          <w:rFonts w:ascii="仿宋" w:eastAsia="仿宋" w:cs="仿宋" w:hAnsi="仿宋"/>
          <w:sz w:val="32"/>
          <w:szCs w:val="32"/>
        </w:rPr>
        <w:t>4</w:t>
      </w:r>
      <w:r>
        <w:rPr>
          <w:rFonts w:ascii="仿宋" w:eastAsia="仿宋" w:cs="仿宋" w:hAnsi="仿宋" w:hint="eastAsia"/>
          <w:sz w:val="32"/>
          <w:szCs w:val="32"/>
        </w:rPr>
        <w:t>年度部门整体绩效自评工作。</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绩效评价工作组根据工作方案，明确任务分工，确定评价程序及时间安排。根据202</w:t>
      </w:r>
      <w:r>
        <w:rPr>
          <w:rFonts w:ascii="仿宋" w:eastAsia="仿宋" w:cs="仿宋" w:hAnsi="仿宋"/>
          <w:sz w:val="32"/>
          <w:szCs w:val="32"/>
        </w:rPr>
        <w:t>4</w:t>
      </w:r>
      <w:r>
        <w:rPr>
          <w:rFonts w:ascii="仿宋" w:eastAsia="仿宋" w:cs="仿宋" w:hAnsi="仿宋" w:hint="eastAsia"/>
          <w:sz w:val="32"/>
          <w:szCs w:val="32"/>
        </w:rPr>
        <w:t>年初设定的绩效目标完成情况和各绩效指标完成情况进行核实分析，填报《202</w:t>
      </w:r>
      <w:r>
        <w:rPr>
          <w:rFonts w:ascii="仿宋" w:eastAsia="仿宋" w:cs="仿宋" w:hAnsi="仿宋"/>
          <w:sz w:val="32"/>
          <w:szCs w:val="32"/>
        </w:rPr>
        <w:t>4</w:t>
      </w:r>
      <w:r>
        <w:rPr>
          <w:rFonts w:ascii="仿宋" w:eastAsia="仿宋" w:cs="仿宋" w:hAnsi="仿宋" w:hint="eastAsia"/>
          <w:sz w:val="32"/>
          <w:szCs w:val="32"/>
        </w:rPr>
        <w:t>年区级项目绩效自评表》，并撰写绩效自评报告。</w:t>
      </w:r>
    </w:p>
    <w:p>
      <w:pPr>
        <w:adjustRightInd w:val="0"/>
        <w:snapToGrid w:val="0"/>
        <w:spacing w:line="560" w:lineRule="exact"/>
        <w:ind w:firstLineChars="200" w:firstLine="640"/>
        <w:rPr>
          <w:rFonts w:ascii="仿宋" w:eastAsia="仿宋" w:cs="楷体_GB2312" w:hAnsi="仿宋"/>
          <w:bCs/>
          <w:sz w:val="32"/>
          <w:szCs w:val="32"/>
        </w:rPr>
      </w:pPr>
      <w:r>
        <w:rPr>
          <w:rFonts w:ascii="仿宋" w:eastAsia="仿宋" w:cs="楷体_GB2312" w:hAnsi="仿宋" w:hint="eastAsia"/>
          <w:color w:val="000000"/>
          <w:sz w:val="32"/>
          <w:szCs w:val="32"/>
        </w:rPr>
        <w:t>石家庄市井陉矿区医疗保障局202</w:t>
      </w:r>
      <w:r>
        <w:rPr>
          <w:rFonts w:ascii="仿宋" w:eastAsia="仿宋" w:cs="楷体_GB2312" w:hAnsi="仿宋"/>
          <w:color w:val="000000"/>
          <w:sz w:val="32"/>
          <w:szCs w:val="32"/>
        </w:rPr>
        <w:t>4</w:t>
      </w:r>
      <w:r>
        <w:rPr>
          <w:rFonts w:ascii="仿宋" w:eastAsia="仿宋" w:cs="楷体_GB2312" w:hAnsi="仿宋" w:hint="eastAsia"/>
          <w:color w:val="000000"/>
          <w:sz w:val="32"/>
          <w:szCs w:val="32"/>
        </w:rPr>
        <w:t>年度项目</w:t>
      </w:r>
      <w:r>
        <w:rPr>
          <w:rFonts w:ascii="仿宋" w:eastAsia="仿宋" w:cs="楷体_GB2312" w:hAnsi="仿宋"/>
          <w:color w:val="000000"/>
          <w:sz w:val="32"/>
          <w:szCs w:val="32"/>
        </w:rPr>
        <w:t>17</w:t>
      </w:r>
      <w:r>
        <w:rPr>
          <w:rFonts w:ascii="仿宋" w:eastAsia="仿宋" w:cs="楷体_GB2312" w:hAnsi="仿宋" w:hint="eastAsia"/>
          <w:color w:val="000000"/>
          <w:sz w:val="32"/>
          <w:szCs w:val="32"/>
        </w:rPr>
        <w:t>个</w:t>
      </w:r>
      <w:r>
        <w:rPr>
          <w:rFonts w:ascii="仿宋" w:eastAsia="仿宋" w:cs="楷体_GB2312" w:hAnsi="仿宋"/>
          <w:color w:val="000000"/>
          <w:sz w:val="32"/>
          <w:szCs w:val="32"/>
        </w:rPr>
        <w:t>调整</w:t>
      </w:r>
      <w:r>
        <w:rPr>
          <w:rFonts w:ascii="仿宋" w:eastAsia="仿宋" w:cs="楷体_GB2312" w:hAnsi="仿宋" w:hint="eastAsia"/>
          <w:color w:val="000000"/>
          <w:sz w:val="32"/>
          <w:szCs w:val="32"/>
        </w:rPr>
        <w:t>预算</w:t>
      </w:r>
      <w:r>
        <w:rPr>
          <w:rFonts w:ascii="仿宋" w:eastAsia="仿宋" w:cs="楷体_GB2312" w:hAnsi="仿宋"/>
          <w:color w:val="000000"/>
          <w:sz w:val="32"/>
          <w:szCs w:val="32"/>
        </w:rPr>
        <w:t>数757.5963</w:t>
      </w:r>
      <w:r>
        <w:rPr>
          <w:rFonts w:ascii="仿宋" w:eastAsia="仿宋" w:cs="楷体_GB2312" w:hAnsi="仿宋" w:hint="eastAsia"/>
          <w:color w:val="000000"/>
          <w:sz w:val="32"/>
          <w:szCs w:val="32"/>
        </w:rPr>
        <w:t>万元具体为：</w:t>
      </w:r>
      <w:r>
        <w:rPr>
          <w:rFonts w:ascii="仿宋" w:eastAsia="仿宋" w:cs="楷体_GB2312" w:hAnsi="仿宋"/>
          <w:color w:val="000000"/>
          <w:sz w:val="32"/>
          <w:szCs w:val="32"/>
        </w:rPr>
        <w:t>党建工作经费</w:t>
      </w:r>
      <w:r>
        <w:rPr>
          <w:rFonts w:ascii="仿宋" w:eastAsia="仿宋" w:cs="楷体_GB2312" w:hAnsi="仿宋" w:hint="eastAsia"/>
          <w:sz w:val="32"/>
          <w:szCs w:val="32"/>
        </w:rPr>
        <w:t>预算</w:t>
      </w:r>
      <w:r>
        <w:rPr>
          <w:rFonts w:ascii="仿宋" w:eastAsia="仿宋" w:cs="楷体_GB2312" w:hAnsi="仿宋"/>
          <w:sz w:val="32"/>
          <w:szCs w:val="32"/>
        </w:rPr>
        <w:t>0.05</w:t>
      </w:r>
      <w:r>
        <w:rPr>
          <w:rFonts w:ascii="仿宋" w:eastAsia="仿宋" w:cs="楷体_GB2312" w:hAnsi="仿宋" w:hint="eastAsia"/>
          <w:sz w:val="32"/>
          <w:szCs w:val="32"/>
        </w:rPr>
        <w:t>万元</w:t>
      </w:r>
      <w:r>
        <w:rPr>
          <w:rFonts w:ascii="仿宋" w:eastAsia="仿宋" w:cs="楷体_GB2312" w:hAnsi="仿宋"/>
          <w:sz w:val="32"/>
          <w:szCs w:val="32"/>
        </w:rPr>
        <w:t>,骨干网络建设经费</w:t>
      </w:r>
      <w:r>
        <w:rPr>
          <w:rFonts w:ascii="仿宋" w:eastAsia="仿宋" w:cs="楷体_GB2312" w:hAnsi="仿宋" w:hint="eastAsia"/>
          <w:sz w:val="32"/>
          <w:szCs w:val="32"/>
        </w:rPr>
        <w:t>预算</w:t>
      </w:r>
      <w:r>
        <w:rPr>
          <w:rFonts w:ascii="仿宋" w:eastAsia="仿宋" w:cs="楷体_GB2312" w:hAnsi="仿宋"/>
          <w:sz w:val="32"/>
          <w:szCs w:val="32"/>
        </w:rPr>
        <w:t>1.01</w:t>
      </w:r>
      <w:r>
        <w:rPr>
          <w:rFonts w:ascii="仿宋" w:eastAsia="仿宋" w:cs="楷体_GB2312" w:hAnsi="仿宋" w:hint="eastAsia"/>
          <w:sz w:val="32"/>
          <w:szCs w:val="32"/>
        </w:rPr>
        <w:t>万元</w:t>
      </w:r>
      <w:r>
        <w:rPr>
          <w:rFonts w:ascii="仿宋" w:eastAsia="仿宋" w:cs="楷体_GB2312" w:hAnsi="仿宋"/>
          <w:sz w:val="32"/>
          <w:szCs w:val="32"/>
        </w:rPr>
        <w:t>,劳务派遣经费</w:t>
      </w:r>
      <w:r>
        <w:rPr>
          <w:rFonts w:ascii="仿宋" w:eastAsia="仿宋" w:cs="楷体_GB2312" w:hAnsi="仿宋" w:hint="eastAsia"/>
          <w:sz w:val="32"/>
          <w:szCs w:val="32"/>
        </w:rPr>
        <w:t>预算</w:t>
      </w:r>
      <w:r>
        <w:rPr>
          <w:rFonts w:ascii="仿宋" w:eastAsia="仿宋" w:cs="楷体_GB2312" w:hAnsi="仿宋"/>
          <w:sz w:val="32"/>
          <w:szCs w:val="32"/>
        </w:rPr>
        <w:t>3.45</w:t>
      </w:r>
      <w:r>
        <w:rPr>
          <w:rFonts w:ascii="仿宋" w:eastAsia="仿宋" w:cs="楷体_GB2312" w:hAnsi="仿宋" w:hint="eastAsia"/>
          <w:sz w:val="32"/>
          <w:szCs w:val="32"/>
        </w:rPr>
        <w:t>万元</w:t>
      </w:r>
      <w:r>
        <w:rPr>
          <w:rFonts w:ascii="仿宋" w:eastAsia="仿宋" w:cs="楷体_GB2312" w:hAnsi="仿宋"/>
          <w:sz w:val="32"/>
          <w:szCs w:val="32"/>
        </w:rPr>
        <w:t>,医保经办业务网络租赁费</w:t>
      </w:r>
      <w:r>
        <w:rPr>
          <w:rFonts w:ascii="仿宋" w:eastAsia="仿宋" w:cs="楷体_GB2312" w:hAnsi="仿宋" w:hint="eastAsia"/>
          <w:sz w:val="32"/>
          <w:szCs w:val="32"/>
        </w:rPr>
        <w:t>预算</w:t>
      </w:r>
      <w:r>
        <w:rPr>
          <w:rFonts w:ascii="仿宋" w:eastAsia="仿宋" w:cs="楷体_GB2312" w:hAnsi="仿宋"/>
          <w:sz w:val="32"/>
          <w:szCs w:val="32"/>
        </w:rPr>
        <w:t>0.6</w:t>
      </w:r>
      <w:r>
        <w:rPr>
          <w:rFonts w:ascii="仿宋" w:eastAsia="仿宋" w:cs="楷体_GB2312" w:hAnsi="仿宋" w:hint="eastAsia"/>
          <w:sz w:val="32"/>
          <w:szCs w:val="32"/>
        </w:rPr>
        <w:t>万元</w:t>
      </w:r>
      <w:r>
        <w:rPr>
          <w:rFonts w:ascii="仿宋" w:eastAsia="仿宋" w:cs="楷体_GB2312" w:hAnsi="仿宋"/>
          <w:color w:val="000000"/>
          <w:sz w:val="32"/>
          <w:szCs w:val="32"/>
        </w:rPr>
        <w:t>,医保业务专项经费</w:t>
      </w:r>
      <w:r>
        <w:rPr>
          <w:rFonts w:ascii="仿宋" w:eastAsia="仿宋" w:cs="楷体_GB2312" w:hAnsi="仿宋" w:hint="eastAsia"/>
          <w:sz w:val="32"/>
          <w:szCs w:val="32"/>
        </w:rPr>
        <w:t>预算</w:t>
      </w:r>
      <w:r>
        <w:rPr>
          <w:rFonts w:ascii="仿宋" w:eastAsia="仿宋" w:cs="楷体_GB2312" w:hAnsi="仿宋"/>
          <w:sz w:val="32"/>
          <w:szCs w:val="32"/>
        </w:rPr>
        <w:t>2.8</w:t>
      </w:r>
      <w:r>
        <w:rPr>
          <w:rFonts w:ascii="仿宋" w:eastAsia="仿宋" w:cs="楷体_GB2312" w:hAnsi="仿宋" w:hint="eastAsia"/>
          <w:sz w:val="32"/>
          <w:szCs w:val="32"/>
        </w:rPr>
        <w:t>万元</w:t>
      </w:r>
      <w:r>
        <w:rPr>
          <w:rFonts w:ascii="仿宋" w:eastAsia="仿宋" w:cs="楷体_GB2312" w:hAnsi="仿宋"/>
          <w:sz w:val="32"/>
          <w:szCs w:val="32"/>
        </w:rPr>
        <w:t>,经办管理服务体系建设经费（2024年中央财政医疗服务与保障能力提升补助资金）</w:t>
      </w:r>
      <w:r>
        <w:rPr>
          <w:rFonts w:ascii="仿宋" w:eastAsia="仿宋" w:cs="楷体_GB2312" w:hAnsi="仿宋" w:hint="eastAsia"/>
          <w:sz w:val="32"/>
          <w:szCs w:val="32"/>
        </w:rPr>
        <w:t>预算</w:t>
      </w:r>
      <w:r>
        <w:rPr>
          <w:rFonts w:ascii="仿宋" w:eastAsia="仿宋" w:cs="楷体_GB2312" w:hAnsi="仿宋"/>
          <w:sz w:val="32"/>
          <w:szCs w:val="32"/>
        </w:rPr>
        <w:t>1.5</w:t>
      </w:r>
      <w:r>
        <w:rPr>
          <w:rFonts w:ascii="仿宋" w:eastAsia="仿宋" w:cs="楷体_GB2312" w:hAnsi="仿宋" w:hint="eastAsia"/>
          <w:sz w:val="32"/>
          <w:szCs w:val="32"/>
        </w:rPr>
        <w:t>万元</w:t>
      </w:r>
      <w:r>
        <w:rPr>
          <w:rFonts w:ascii="仿宋" w:eastAsia="仿宋" w:cs="楷体_GB2312" w:hAnsi="仿宋"/>
          <w:sz w:val="32"/>
          <w:szCs w:val="32"/>
        </w:rPr>
        <w:t>,基金监管经费（2024年中央财政医疗服务与保障能力提升补助资金）</w:t>
      </w:r>
      <w:r>
        <w:rPr>
          <w:rFonts w:ascii="仿宋" w:eastAsia="仿宋" w:cs="楷体_GB2312" w:hAnsi="仿宋" w:hint="eastAsia"/>
          <w:sz w:val="32"/>
          <w:szCs w:val="32"/>
        </w:rPr>
        <w:t>预算</w:t>
      </w:r>
      <w:r>
        <w:rPr>
          <w:rFonts w:ascii="仿宋" w:eastAsia="仿宋" w:cs="楷体_GB2312" w:hAnsi="仿宋"/>
          <w:sz w:val="32"/>
          <w:szCs w:val="32"/>
        </w:rPr>
        <w:t>6</w:t>
      </w:r>
      <w:r>
        <w:rPr>
          <w:rFonts w:ascii="仿宋" w:eastAsia="仿宋" w:cs="楷体_GB2312" w:hAnsi="仿宋" w:hint="eastAsia"/>
          <w:sz w:val="32"/>
          <w:szCs w:val="32"/>
        </w:rPr>
        <w:t>万元</w:t>
      </w:r>
      <w:r>
        <w:rPr>
          <w:rFonts w:ascii="仿宋" w:eastAsia="仿宋" w:cs="楷体_GB2312" w:hAnsi="仿宋"/>
          <w:sz w:val="32"/>
          <w:szCs w:val="32"/>
        </w:rPr>
        <w:t>,</w:t>
      </w:r>
      <w:r>
        <w:rPr>
          <w:rFonts w:ascii="仿宋" w:eastAsia="仿宋" w:cs="楷体_GB2312" w:hAnsi="仿宋" w:hint="eastAsia"/>
          <w:b/>
          <w:bCs/>
          <w:sz w:val="32"/>
          <w:szCs w:val="32"/>
        </w:rPr>
        <w:t xml:space="preserve"> </w:t>
      </w:r>
      <w:r>
        <w:rPr>
          <w:rFonts w:ascii="仿宋" w:eastAsia="仿宋" w:cs="楷体_GB2312" w:hAnsi="仿宋"/>
          <w:bCs/>
          <w:sz w:val="32"/>
          <w:szCs w:val="32"/>
        </w:rPr>
        <w:t>药品和医用耗材集中带量采购经费（2024年中央财政医疗服务与保障能力提升补助资金）</w:t>
      </w:r>
      <w:r>
        <w:rPr>
          <w:rFonts w:ascii="仿宋" w:eastAsia="仿宋" w:cs="楷体_GB2312" w:hAnsi="仿宋" w:hint="eastAsia"/>
          <w:sz w:val="32"/>
          <w:szCs w:val="32"/>
        </w:rPr>
        <w:t>预算</w:t>
      </w:r>
      <w:r>
        <w:rPr>
          <w:rFonts w:ascii="仿宋" w:eastAsia="仿宋" w:cs="楷体_GB2312" w:hAnsi="仿宋"/>
          <w:sz w:val="32"/>
          <w:szCs w:val="32"/>
        </w:rPr>
        <w:t>0.5</w:t>
      </w:r>
      <w:r>
        <w:rPr>
          <w:rFonts w:ascii="仿宋" w:eastAsia="仿宋" w:cs="楷体_GB2312" w:hAnsi="仿宋" w:hint="eastAsia"/>
          <w:sz w:val="32"/>
          <w:szCs w:val="32"/>
        </w:rPr>
        <w:t>万元</w:t>
      </w:r>
      <w:r>
        <w:rPr>
          <w:rFonts w:ascii="仿宋" w:eastAsia="仿宋" w:cs="楷体_GB2312" w:hAnsi="仿宋"/>
          <w:sz w:val="32"/>
          <w:szCs w:val="32"/>
        </w:rPr>
        <w:t>,2024年省级财政城乡社会保险代办员补助资金</w:t>
      </w:r>
      <w:r>
        <w:rPr>
          <w:rFonts w:ascii="仿宋" w:eastAsia="仿宋" w:cs="楷体_GB2312" w:hAnsi="仿宋" w:hint="eastAsia"/>
          <w:sz w:val="32"/>
          <w:szCs w:val="32"/>
        </w:rPr>
        <w:t>预算</w:t>
      </w:r>
      <w:r>
        <w:rPr>
          <w:rFonts w:ascii="仿宋" w:eastAsia="仿宋" w:cs="楷体_GB2312" w:hAnsi="仿宋"/>
          <w:sz w:val="32"/>
          <w:szCs w:val="32"/>
        </w:rPr>
        <w:t>1</w:t>
      </w:r>
      <w:r>
        <w:rPr>
          <w:rFonts w:ascii="仿宋" w:eastAsia="仿宋" w:cs="楷体_GB2312" w:hAnsi="仿宋" w:hint="eastAsia"/>
          <w:sz w:val="32"/>
          <w:szCs w:val="32"/>
        </w:rPr>
        <w:t>万元</w:t>
      </w:r>
      <w:r>
        <w:rPr>
          <w:rFonts w:ascii="仿宋" w:eastAsia="仿宋" w:cs="楷体_GB2312" w:hAnsi="仿宋"/>
          <w:sz w:val="32"/>
          <w:szCs w:val="32"/>
        </w:rPr>
        <w:t>,城乡居民区级补助项目</w:t>
      </w:r>
      <w:r>
        <w:rPr>
          <w:rFonts w:ascii="仿宋" w:eastAsia="仿宋" w:cs="楷体_GB2312" w:hAnsi="仿宋" w:hint="eastAsia"/>
          <w:sz w:val="32"/>
          <w:szCs w:val="32"/>
        </w:rPr>
        <w:t>预算</w:t>
      </w:r>
      <w:r>
        <w:rPr>
          <w:rFonts w:ascii="仿宋" w:eastAsia="仿宋" w:cs="楷体_GB2312" w:hAnsi="仿宋"/>
          <w:sz w:val="32"/>
          <w:szCs w:val="32"/>
        </w:rPr>
        <w:t>696.8</w:t>
      </w:r>
      <w:r>
        <w:rPr>
          <w:rFonts w:ascii="仿宋" w:eastAsia="仿宋" w:cs="楷体_GB2312" w:hAnsi="仿宋" w:hint="eastAsia"/>
          <w:sz w:val="32"/>
          <w:szCs w:val="32"/>
        </w:rPr>
        <w:t>万元</w:t>
      </w:r>
      <w:r>
        <w:rPr>
          <w:rFonts w:ascii="仿宋" w:eastAsia="仿宋" w:cs="楷体_GB2312" w:hAnsi="仿宋"/>
          <w:sz w:val="32"/>
          <w:szCs w:val="32"/>
        </w:rPr>
        <w:t>,城乡居民医疗救助区级补助项目</w:t>
      </w:r>
      <w:r>
        <w:rPr>
          <w:rFonts w:ascii="仿宋" w:eastAsia="仿宋" w:cs="楷体_GB2312" w:hAnsi="仿宋" w:hint="eastAsia"/>
          <w:sz w:val="32"/>
          <w:szCs w:val="32"/>
        </w:rPr>
        <w:t>预算</w:t>
      </w:r>
      <w:r>
        <w:rPr>
          <w:rFonts w:ascii="仿宋" w:eastAsia="仿宋" w:cs="楷体_GB2312" w:hAnsi="仿宋"/>
          <w:sz w:val="32"/>
          <w:szCs w:val="32"/>
        </w:rPr>
        <w:t>6.857201</w:t>
      </w:r>
      <w:r>
        <w:rPr>
          <w:rFonts w:ascii="仿宋" w:eastAsia="仿宋" w:cs="楷体_GB2312" w:hAnsi="仿宋" w:hint="eastAsia"/>
          <w:sz w:val="32"/>
          <w:szCs w:val="32"/>
        </w:rPr>
        <w:t>万元</w:t>
      </w:r>
      <w:r>
        <w:rPr>
          <w:rFonts w:ascii="仿宋" w:eastAsia="仿宋" w:cs="楷体_GB2312" w:hAnsi="仿宋"/>
          <w:sz w:val="32"/>
          <w:szCs w:val="32"/>
        </w:rPr>
        <w:t>,检查定点工作经费项目</w:t>
      </w:r>
      <w:r>
        <w:rPr>
          <w:rFonts w:ascii="仿宋" w:eastAsia="仿宋" w:cs="楷体_GB2312" w:hAnsi="仿宋" w:hint="eastAsia"/>
          <w:sz w:val="32"/>
          <w:szCs w:val="32"/>
        </w:rPr>
        <w:t>预算</w:t>
      </w:r>
      <w:r>
        <w:rPr>
          <w:rFonts w:ascii="仿宋" w:eastAsia="仿宋" w:cs="楷体_GB2312" w:hAnsi="仿宋"/>
          <w:sz w:val="32"/>
          <w:szCs w:val="32"/>
        </w:rPr>
        <w:t>1</w:t>
      </w:r>
      <w:r>
        <w:rPr>
          <w:rFonts w:ascii="仿宋" w:eastAsia="仿宋" w:cs="楷体_GB2312" w:hAnsi="仿宋" w:hint="eastAsia"/>
          <w:sz w:val="32"/>
          <w:szCs w:val="32"/>
        </w:rPr>
        <w:t>万元</w:t>
      </w:r>
      <w:r>
        <w:rPr>
          <w:rFonts w:ascii="仿宋" w:eastAsia="仿宋" w:cs="楷体_GB2312" w:hAnsi="仿宋"/>
          <w:sz w:val="32"/>
          <w:szCs w:val="32"/>
        </w:rPr>
        <w:t>,劳务派遣经费</w:t>
      </w:r>
      <w:r>
        <w:rPr>
          <w:rFonts w:ascii="仿宋" w:eastAsia="仿宋" w:cs="楷体_GB2312" w:hAnsi="仿宋" w:hint="eastAsia"/>
          <w:sz w:val="32"/>
          <w:szCs w:val="32"/>
        </w:rPr>
        <w:t>预算</w:t>
      </w:r>
      <w:r>
        <w:rPr>
          <w:rFonts w:ascii="仿宋" w:eastAsia="仿宋" w:cs="楷体_GB2312" w:hAnsi="仿宋"/>
          <w:sz w:val="32"/>
          <w:szCs w:val="32"/>
        </w:rPr>
        <w:t>23.52</w:t>
      </w:r>
      <w:r>
        <w:rPr>
          <w:rFonts w:ascii="仿宋" w:eastAsia="仿宋" w:cs="楷体_GB2312" w:hAnsi="仿宋" w:hint="eastAsia"/>
          <w:sz w:val="32"/>
          <w:szCs w:val="32"/>
        </w:rPr>
        <w:t>万元</w:t>
      </w:r>
      <w:r>
        <w:rPr>
          <w:rFonts w:ascii="仿宋" w:eastAsia="仿宋" w:cs="楷体_GB2312" w:hAnsi="仿宋"/>
          <w:sz w:val="32"/>
          <w:szCs w:val="32"/>
        </w:rPr>
        <w:t>,离休人员医疗费项目</w:t>
      </w:r>
      <w:r>
        <w:rPr>
          <w:rFonts w:ascii="仿宋" w:eastAsia="仿宋" w:cs="楷体_GB2312" w:hAnsi="仿宋" w:hint="eastAsia"/>
          <w:sz w:val="32"/>
          <w:szCs w:val="32"/>
        </w:rPr>
        <w:t>预算</w:t>
      </w:r>
      <w:r>
        <w:rPr>
          <w:rFonts w:ascii="仿宋" w:eastAsia="仿宋" w:cs="楷体_GB2312" w:hAnsi="仿宋"/>
          <w:sz w:val="32"/>
          <w:szCs w:val="32"/>
        </w:rPr>
        <w:t>10</w:t>
      </w:r>
      <w:r>
        <w:rPr>
          <w:rFonts w:ascii="仿宋" w:eastAsia="仿宋" w:cs="楷体_GB2312" w:hAnsi="仿宋" w:hint="eastAsia"/>
          <w:sz w:val="32"/>
          <w:szCs w:val="32"/>
        </w:rPr>
        <w:t>万元</w:t>
      </w:r>
      <w:r>
        <w:rPr>
          <w:rFonts w:ascii="仿宋" w:eastAsia="仿宋" w:cs="楷体_GB2312" w:hAnsi="仿宋"/>
          <w:sz w:val="32"/>
          <w:szCs w:val="32"/>
        </w:rPr>
        <w:t>,软件运行维修维护费项目</w:t>
      </w:r>
      <w:r>
        <w:rPr>
          <w:rFonts w:ascii="仿宋" w:eastAsia="仿宋" w:cs="楷体_GB2312" w:hAnsi="仿宋" w:hint="eastAsia"/>
          <w:sz w:val="32"/>
          <w:szCs w:val="32"/>
        </w:rPr>
        <w:t>预算</w:t>
      </w:r>
      <w:r>
        <w:rPr>
          <w:rFonts w:ascii="仿宋" w:eastAsia="仿宋" w:cs="楷体_GB2312" w:hAnsi="仿宋"/>
          <w:sz w:val="32"/>
          <w:szCs w:val="32"/>
        </w:rPr>
        <w:t>1.5</w:t>
      </w:r>
      <w:r>
        <w:rPr>
          <w:rFonts w:ascii="仿宋" w:eastAsia="仿宋" w:cs="楷体_GB2312" w:hAnsi="仿宋" w:hint="eastAsia"/>
          <w:sz w:val="32"/>
          <w:szCs w:val="32"/>
        </w:rPr>
        <w:t>万元</w:t>
      </w:r>
      <w:r>
        <w:rPr>
          <w:rFonts w:ascii="仿宋" w:eastAsia="仿宋" w:cs="楷体_GB2312" w:hAnsi="仿宋"/>
          <w:sz w:val="32"/>
          <w:szCs w:val="32"/>
        </w:rPr>
        <w:t>,综合业务费项目</w:t>
      </w:r>
      <w:r>
        <w:rPr>
          <w:rFonts w:ascii="仿宋" w:eastAsia="仿宋" w:cs="楷体_GB2312" w:hAnsi="仿宋" w:hint="eastAsia"/>
          <w:sz w:val="32"/>
          <w:szCs w:val="32"/>
        </w:rPr>
        <w:t>预算</w:t>
      </w:r>
      <w:r>
        <w:rPr>
          <w:rFonts w:ascii="仿宋" w:eastAsia="仿宋" w:cs="楷体_GB2312" w:hAnsi="仿宋"/>
          <w:sz w:val="32"/>
          <w:szCs w:val="32"/>
        </w:rPr>
        <w:t>1</w:t>
      </w:r>
      <w:r>
        <w:rPr>
          <w:rFonts w:ascii="仿宋" w:eastAsia="仿宋" w:cs="楷体_GB2312" w:hAnsi="仿宋" w:hint="eastAsia"/>
          <w:sz w:val="32"/>
          <w:szCs w:val="32"/>
        </w:rPr>
        <w:t>万元</w:t>
      </w:r>
      <w:r>
        <w:rPr>
          <w:rFonts w:ascii="仿宋" w:eastAsia="仿宋" w:cs="楷体_GB2312" w:hAnsi="仿宋"/>
          <w:sz w:val="32"/>
          <w:szCs w:val="32"/>
        </w:rPr>
        <w:t>,提升经办服务能力工作经费（2023年医疗服务与保障能力提升补助资金第三批）</w:t>
      </w:r>
      <w:r>
        <w:rPr>
          <w:rFonts w:ascii="仿宋" w:eastAsia="仿宋" w:cs="楷体_GB2312" w:hAnsi="仿宋" w:hint="eastAsia"/>
          <w:sz w:val="32"/>
          <w:szCs w:val="32"/>
        </w:rPr>
        <w:t>预算</w:t>
      </w:r>
      <w:r>
        <w:rPr>
          <w:rFonts w:ascii="仿宋" w:eastAsia="仿宋" w:cs="楷体_GB2312" w:hAnsi="仿宋"/>
          <w:sz w:val="32"/>
          <w:szCs w:val="32"/>
        </w:rPr>
        <w:t>0.0091</w:t>
      </w:r>
      <w:r>
        <w:rPr>
          <w:rFonts w:ascii="仿宋" w:eastAsia="仿宋" w:cs="楷体_GB2312" w:hAnsi="仿宋" w:hint="eastAsia"/>
          <w:sz w:val="32"/>
          <w:szCs w:val="32"/>
        </w:rPr>
        <w:t>万元</w:t>
      </w:r>
      <w:r>
        <w:rPr>
          <w:rFonts w:ascii="仿宋" w:eastAsia="仿宋" w:cs="楷体_GB2312" w:hAnsi="仿宋"/>
          <w:sz w:val="32"/>
          <w:szCs w:val="32"/>
        </w:rPr>
        <w:t>。</w:t>
      </w:r>
    </w:p>
    <w:p>
      <w:pPr>
        <w:adjustRightInd w:val="0"/>
        <w:snapToGrid w:val="0"/>
        <w:spacing w:line="560" w:lineRule="exact"/>
        <w:ind w:firstLineChars="200" w:firstLine="640"/>
        <w:rPr>
          <w:rFonts w:ascii="仿宋" w:eastAsia="仿宋" w:cs="楷体_GB2312" w:hAnsi="仿宋"/>
          <w:b/>
          <w:bCs/>
          <w:sz w:val="32"/>
          <w:szCs w:val="32"/>
        </w:rPr>
      </w:pPr>
      <w:r>
        <w:rPr>
          <w:rFonts w:ascii="仿宋" w:eastAsia="仿宋" w:cs="楷体_GB2312" w:hAnsi="仿宋" w:hint="eastAsia"/>
          <w:b/>
          <w:bCs/>
          <w:sz w:val="32"/>
          <w:szCs w:val="32"/>
        </w:rPr>
        <w:t>（二）自评的方法和过程</w:t>
      </w:r>
    </w:p>
    <w:p>
      <w:pPr>
        <w:pStyle w:val="15"/>
        <w:spacing w:line="560" w:lineRule="exact"/>
        <w:rPr>
          <w:rFonts w:eastAsia="仿宋"/>
          <w:sz w:val="32"/>
          <w:szCs w:val="32"/>
        </w:rPr>
      </w:pPr>
      <w:r>
        <w:rPr>
          <w:rFonts w:ascii="仿宋" w:eastAsia="仿宋" w:cs="楷体_GB2312" w:hAnsi="仿宋" w:hint="eastAsia"/>
          <w:sz w:val="32"/>
          <w:szCs w:val="32"/>
        </w:rPr>
        <w:t>本次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pPr>
        <w:spacing w:line="560" w:lineRule="exact"/>
        <w:rPr>
          <w:rFonts w:ascii="黑体" w:eastAsia="黑体" w:hAnsi="黑体"/>
          <w:b/>
          <w:bCs/>
          <w:sz w:val="32"/>
          <w:szCs w:val="32"/>
        </w:rPr>
      </w:pPr>
      <w:r>
        <w:rPr>
          <w:rFonts w:ascii="仿宋" w:eastAsia="仿宋" w:cs="楷体_GB2312" w:hAnsi="仿宋" w:hint="eastAsia"/>
          <w:b/>
          <w:bCs/>
          <w:sz w:val="32"/>
          <w:szCs w:val="32"/>
        </w:rPr>
        <w:t xml:space="preserve">    </w:t>
      </w:r>
      <w:r>
        <w:rPr>
          <w:rFonts w:ascii="仿宋" w:eastAsia="仿宋" w:hAnsi="仿宋" w:hint="eastAsia"/>
          <w:b/>
          <w:bCs/>
          <w:sz w:val="32"/>
          <w:szCs w:val="32"/>
        </w:rPr>
        <w:t xml:space="preserve"> </w:t>
      </w:r>
      <w:r>
        <w:rPr>
          <w:rFonts w:ascii="黑体" w:eastAsia="黑体" w:hAnsi="黑体" w:hint="eastAsia"/>
          <w:sz w:val="32"/>
          <w:szCs w:val="32"/>
        </w:rPr>
        <w:t>三、部门整体支出绩效目标实现情况及指标分析</w:t>
      </w:r>
    </w:p>
    <w:p>
      <w:pPr>
        <w:numPr>
          <w:ilvl w:val="0"/>
          <w:numId w:val="1"/>
        </w:numPr>
        <w:spacing w:line="560" w:lineRule="exact"/>
        <w:ind w:left="0" w:firstLineChars="200" w:firstLine="640"/>
        <w:rPr>
          <w:rFonts w:ascii="仿宋" w:eastAsia="仿宋" w:cs="楷体_GB2312" w:hAnsi="仿宋"/>
          <w:b/>
          <w:bCs/>
          <w:sz w:val="32"/>
          <w:szCs w:val="32"/>
        </w:rPr>
      </w:pPr>
      <w:r>
        <w:rPr>
          <w:rFonts w:ascii="仿宋" w:eastAsia="仿宋" w:cs="楷体_GB2312" w:hAnsi="仿宋" w:hint="eastAsia"/>
          <w:b/>
          <w:bCs/>
          <w:sz w:val="32"/>
          <w:szCs w:val="32"/>
        </w:rPr>
        <w:t>总体绩效目标实现情况</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绩效目标是贯穿预算绩效管理始终的一条主线，是预算资金安排、事中绩效跟踪和事后绩效评价的重要依据。根据相关文件要求，我局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pPr>
        <w:spacing w:line="560" w:lineRule="exact"/>
        <w:rPr>
          <w:rFonts w:ascii="仿宋" w:eastAsia="仿宋" w:hAnsi="仿宋"/>
          <w:b/>
          <w:bCs/>
          <w:sz w:val="32"/>
          <w:szCs w:val="32"/>
        </w:rPr>
      </w:pPr>
      <w:r>
        <w:rPr>
          <w:rFonts w:ascii="仿宋" w:eastAsia="仿宋" w:hAnsi="仿宋" w:hint="eastAsia"/>
          <w:b/>
          <w:bCs/>
          <w:sz w:val="32"/>
          <w:szCs w:val="32"/>
        </w:rPr>
        <w:t xml:space="preserve">   </w:t>
      </w:r>
      <w:r>
        <w:rPr>
          <w:rFonts w:ascii="仿宋" w:eastAsia="仿宋" w:cs="楷体_GB2312" w:hAnsi="仿宋" w:hint="eastAsia"/>
          <w:b/>
          <w:bCs/>
          <w:sz w:val="32"/>
          <w:szCs w:val="32"/>
        </w:rPr>
        <w:t xml:space="preserve"> （二）分项绩效目标实现情况及指标分析</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w:t>
      </w:r>
      <w:r>
        <w:rPr>
          <w:rFonts w:ascii="仿宋" w:eastAsia="仿宋" w:cs="仿宋" w:hAnsi="仿宋"/>
          <w:sz w:val="32"/>
          <w:szCs w:val="32"/>
        </w:rPr>
        <w:t>1</w:t>
      </w:r>
      <w:r>
        <w:rPr>
          <w:rFonts w:ascii="仿宋" w:eastAsia="仿宋" w:cs="仿宋" w:hAnsi="仿宋" w:hint="eastAsia"/>
          <w:sz w:val="32"/>
          <w:szCs w:val="32"/>
        </w:rPr>
        <w:t>）党建经费</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1.资金支出进度</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该项目年初预算为</w:t>
      </w:r>
      <w:r>
        <w:rPr>
          <w:rFonts w:ascii="仿宋" w:eastAsia="仿宋" w:cs="仿宋" w:hAnsi="仿宋"/>
          <w:sz w:val="32"/>
          <w:szCs w:val="32"/>
        </w:rPr>
        <w:t>0.05</w:t>
      </w:r>
      <w:r>
        <w:rPr>
          <w:rFonts w:ascii="仿宋" w:eastAsia="仿宋" w:cs="仿宋" w:hAnsi="仿宋" w:hint="eastAsia"/>
          <w:sz w:val="32"/>
          <w:szCs w:val="32"/>
        </w:rPr>
        <w:t>万元，支出</w:t>
      </w:r>
      <w:r>
        <w:rPr>
          <w:rFonts w:ascii="仿宋" w:eastAsia="仿宋" w:cs="仿宋" w:hAnsi="仿宋"/>
          <w:sz w:val="32"/>
          <w:szCs w:val="32"/>
        </w:rPr>
        <w:t>0</w:t>
      </w:r>
      <w:r>
        <w:rPr>
          <w:rFonts w:ascii="仿宋" w:eastAsia="仿宋" w:cs="仿宋" w:hAnsi="仿宋" w:hint="eastAsia"/>
          <w:sz w:val="32"/>
          <w:szCs w:val="32"/>
        </w:rPr>
        <w:t>万元，总体支出进度为0%。</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2.产出指标和效果指标完成情况</w:t>
      </w:r>
    </w:p>
    <w:p>
      <w:pPr>
        <w:adjustRightInd w:val="0"/>
        <w:snapToGrid w:val="0"/>
        <w:spacing w:line="560" w:lineRule="exact"/>
        <w:ind w:firstLineChars="200" w:firstLine="640"/>
        <w:rPr>
          <w:rFonts w:ascii="仿宋" w:eastAsia="仿宋" w:cs="仿宋" w:hAnsi="仿宋" w:hint="eastAsia"/>
          <w:bCs/>
          <w:color w:val="000000"/>
          <w:sz w:val="32"/>
          <w:szCs w:val="32"/>
          <w14:textFill>
            <w14:solidFill>
              <w14:srgbClr w14:val="000000"/>
            </w14:solidFill>
          </w14:textFill>
        </w:rPr>
      </w:pPr>
      <w:r>
        <w:rPr>
          <w:rFonts w:ascii="仿宋" w:eastAsia="仿宋" w:cs="仿宋" w:hAnsi="仿宋" w:hint="eastAsia"/>
          <w:bCs/>
          <w:color w:val="000000"/>
          <w:sz w:val="32"/>
          <w:szCs w:val="32"/>
          <w14:textFill>
            <w14:solidFill>
              <w14:srgbClr w14:val="000000"/>
            </w14:solidFill>
          </w14:textFill>
        </w:rPr>
        <w:t>局党组认真学习贯彻落实党的二十大及二十届三中全会精神，始终把党建工作摆在重要位置，严格落实“三会一课”制度，加强党风廉政建设，深入开展纠正“四风”和专项整治工作，不断提升医保服务水平，着力打造标准化基层党支部。</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绩效指标为4个，评价等级为优。</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w:t>
      </w:r>
      <w:r>
        <w:rPr>
          <w:rFonts w:ascii="仿宋" w:eastAsia="仿宋" w:cs="仿宋" w:hAnsi="仿宋"/>
          <w:sz w:val="32"/>
          <w:szCs w:val="32"/>
        </w:rPr>
        <w:t>2</w:t>
      </w:r>
      <w:r>
        <w:rPr>
          <w:rFonts w:ascii="仿宋" w:eastAsia="仿宋" w:cs="仿宋" w:hAnsi="仿宋" w:hint="eastAsia"/>
          <w:sz w:val="32"/>
          <w:szCs w:val="32"/>
        </w:rPr>
        <w:t>）</w:t>
      </w:r>
      <w:r>
        <w:rPr>
          <w:rFonts w:ascii="仿宋" w:eastAsia="仿宋" w:cs="仿宋" w:hAnsi="仿宋"/>
          <w:sz w:val="32"/>
          <w:szCs w:val="32"/>
        </w:rPr>
        <w:t>骨干网络建设经费</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1.资金支出进度</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该项目年初预算为</w:t>
      </w:r>
      <w:r>
        <w:rPr>
          <w:rFonts w:ascii="仿宋" w:eastAsia="仿宋" w:cs="仿宋" w:hAnsi="仿宋"/>
          <w:sz w:val="32"/>
          <w:szCs w:val="32"/>
        </w:rPr>
        <w:t>1.01</w:t>
      </w:r>
      <w:r>
        <w:rPr>
          <w:rFonts w:ascii="仿宋" w:eastAsia="仿宋" w:cs="仿宋" w:hAnsi="仿宋" w:hint="eastAsia"/>
          <w:sz w:val="32"/>
          <w:szCs w:val="32"/>
        </w:rPr>
        <w:t>万元，支出</w:t>
      </w:r>
      <w:r>
        <w:rPr>
          <w:rFonts w:ascii="仿宋" w:eastAsia="仿宋" w:cs="仿宋" w:hAnsi="仿宋"/>
          <w:sz w:val="32"/>
          <w:szCs w:val="32"/>
        </w:rPr>
        <w:t>1.01</w:t>
      </w:r>
      <w:r>
        <w:rPr>
          <w:rFonts w:ascii="仿宋" w:eastAsia="仿宋" w:cs="仿宋" w:hAnsi="仿宋" w:hint="eastAsia"/>
          <w:sz w:val="32"/>
          <w:szCs w:val="32"/>
        </w:rPr>
        <w:t>万元，总体支出进度为100%。</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2.产出指标和效果指标完成情况</w:t>
      </w:r>
    </w:p>
    <w:p>
      <w:pPr>
        <w:adjustRightInd w:val="0"/>
        <w:snapToGrid w:val="0"/>
        <w:spacing w:line="560" w:lineRule="exact"/>
        <w:ind w:firstLineChars="200" w:firstLine="640"/>
        <w:rPr>
          <w:rFonts w:ascii="仿宋_GB2312" w:eastAsia="仿宋_GB2312" w:cs="仿宋_GB2312" w:hAnsi="仿宋_GB2312"/>
          <w:sz w:val="32"/>
          <w:szCs w:val="32"/>
        </w:rPr>
      </w:pPr>
      <w:r>
        <w:rPr>
          <w:rFonts w:ascii="仿宋_GB2312" w:eastAsia="仿宋_GB2312" w:cs="Times New Roman" w:hAnsi="宋体" w:hint="eastAsia"/>
          <w:bCs/>
          <w:sz w:val="32"/>
          <w:szCs w:val="32"/>
        </w:rPr>
        <w:t>为了推动机关单位工作的有序进行，根据区财政局</w:t>
      </w:r>
      <w:r>
        <w:rPr>
          <w:rFonts w:ascii="仿宋_GB2312" w:eastAsia="仿宋_GB2312" w:cs="仿宋_GB2312" w:hAnsi="仿宋_GB2312" w:hint="eastAsia"/>
          <w:sz w:val="32"/>
          <w:szCs w:val="32"/>
        </w:rPr>
        <w:t>有关要求，我单位</w:t>
      </w:r>
      <w:r>
        <w:rPr>
          <w:rFonts w:ascii="仿宋" w:eastAsia="仿宋" w:cs="仿宋" w:hAnsi="仿宋"/>
          <w:sz w:val="32"/>
          <w:szCs w:val="32"/>
        </w:rPr>
        <w:t>骨干网络建设经费</w:t>
      </w:r>
      <w:r>
        <w:rPr>
          <w:rFonts w:ascii="仿宋_GB2312" w:eastAsia="仿宋_GB2312" w:cs="仿宋_GB2312" w:hAnsi="仿宋_GB2312" w:hint="eastAsia"/>
          <w:sz w:val="32"/>
          <w:szCs w:val="32"/>
        </w:rPr>
        <w:t>项目资金</w:t>
      </w:r>
      <w:r>
        <w:rPr>
          <w:rFonts w:ascii="仿宋_GB2312" w:eastAsia="仿宋_GB2312" w:cs="仿宋_GB2312" w:hAnsi="仿宋_GB2312"/>
          <w:sz w:val="32"/>
          <w:szCs w:val="32"/>
        </w:rPr>
        <w:t>1.01</w:t>
      </w:r>
      <w:r>
        <w:rPr>
          <w:rFonts w:ascii="仿宋_GB2312" w:eastAsia="仿宋_GB2312" w:cs="仿宋_GB2312" w:hAnsi="仿宋_GB2312" w:hint="eastAsia"/>
          <w:sz w:val="32"/>
          <w:szCs w:val="32"/>
        </w:rPr>
        <w:t>万元</w:t>
      </w:r>
      <w:r>
        <w:rPr>
          <w:rFonts w:ascii="仿宋_GB2312" w:eastAsia="仿宋_GB2312" w:cs="Times New Roman" w:hAnsi="宋体"/>
          <w:bCs/>
          <w:sz w:val="32"/>
          <w:szCs w:val="32"/>
        </w:rPr>
        <w:t>，用于保障乡（镇、办事处）医保业务有序开展，加快完善核心业务区骨干网络建设，</w:t>
      </w:r>
      <w:r>
        <w:rPr>
          <w:rFonts w:ascii="仿宋_GB2312" w:eastAsia="仿宋_GB2312" w:cs="仿宋_GB2312" w:hAnsi="仿宋_GB2312"/>
          <w:sz w:val="32"/>
          <w:szCs w:val="32"/>
        </w:rPr>
        <w:t>保证全区医保业务正常运行。</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绩效指标为4个，评价等级为优。</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w:t>
      </w:r>
      <w:r>
        <w:rPr>
          <w:rFonts w:ascii="仿宋" w:eastAsia="仿宋" w:cs="仿宋" w:hAnsi="仿宋"/>
          <w:sz w:val="32"/>
          <w:szCs w:val="32"/>
        </w:rPr>
        <w:t>3</w:t>
      </w:r>
      <w:r>
        <w:rPr>
          <w:rFonts w:ascii="仿宋" w:eastAsia="仿宋" w:cs="仿宋" w:hAnsi="仿宋" w:hint="eastAsia"/>
          <w:sz w:val="32"/>
          <w:szCs w:val="32"/>
        </w:rPr>
        <w:t>）劳务派遣经费</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1.资金支出进度</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 xml:space="preserve">该项目预算为 </w:t>
      </w:r>
      <w:r>
        <w:rPr>
          <w:rFonts w:ascii="仿宋" w:eastAsia="仿宋" w:cs="仿宋" w:hAnsi="仿宋"/>
          <w:sz w:val="32"/>
          <w:szCs w:val="32"/>
        </w:rPr>
        <w:t>3.45</w:t>
      </w:r>
      <w:r>
        <w:rPr>
          <w:rFonts w:ascii="仿宋" w:eastAsia="仿宋" w:cs="仿宋" w:hAnsi="仿宋" w:hint="eastAsia"/>
          <w:sz w:val="32"/>
          <w:szCs w:val="32"/>
        </w:rPr>
        <w:t>万元，支出</w:t>
      </w:r>
      <w:r>
        <w:rPr>
          <w:rFonts w:ascii="仿宋" w:eastAsia="仿宋" w:cs="仿宋" w:hAnsi="仿宋"/>
          <w:sz w:val="32"/>
          <w:szCs w:val="32"/>
        </w:rPr>
        <w:t>2.895945</w:t>
      </w:r>
      <w:r>
        <w:rPr>
          <w:rFonts w:ascii="仿宋" w:eastAsia="仿宋" w:cs="仿宋" w:hAnsi="仿宋" w:hint="eastAsia"/>
          <w:sz w:val="32"/>
          <w:szCs w:val="32"/>
        </w:rPr>
        <w:t>万元，总体支出进度为</w:t>
      </w:r>
      <w:r>
        <w:rPr>
          <w:rFonts w:ascii="仿宋" w:eastAsia="仿宋" w:cs="仿宋" w:hAnsi="仿宋"/>
          <w:sz w:val="32"/>
          <w:szCs w:val="32"/>
        </w:rPr>
        <w:t>83.94%</w:t>
      </w:r>
      <w:r>
        <w:rPr>
          <w:rFonts w:ascii="仿宋" w:eastAsia="仿宋" w:cs="仿宋" w:hAnsi="仿宋" w:hint="eastAsia"/>
          <w:sz w:val="32"/>
          <w:szCs w:val="32"/>
        </w:rPr>
        <w:t>。</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2.产出指标和效果指标完成情况</w:t>
      </w:r>
    </w:p>
    <w:p>
      <w:pPr>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为了推动机关单位工作的有序进行，根据区财政局有关要求，我单位劳务派遣经费项目资金</w:t>
      </w:r>
      <w:r>
        <w:rPr>
          <w:rFonts w:ascii="仿宋" w:eastAsia="仿宋" w:cs="仿宋" w:hAnsi="仿宋"/>
          <w:sz w:val="32"/>
          <w:szCs w:val="32"/>
        </w:rPr>
        <w:t>3.45</w:t>
      </w:r>
      <w:r>
        <w:rPr>
          <w:rFonts w:ascii="仿宋" w:eastAsia="仿宋" w:cs="仿宋" w:hAnsi="仿宋" w:hint="eastAsia"/>
          <w:sz w:val="32"/>
          <w:szCs w:val="32"/>
        </w:rPr>
        <w:t>万元，用于</w:t>
      </w:r>
      <w:r>
        <w:rPr>
          <w:rFonts w:ascii="仿宋" w:eastAsia="仿宋" w:cs="仿宋" w:hAnsi="仿宋"/>
          <w:sz w:val="32"/>
          <w:szCs w:val="32"/>
        </w:rPr>
        <w:t>发放劳务派遣人员工资及缴纳保险。</w:t>
      </w:r>
    </w:p>
    <w:p>
      <w:pPr>
        <w:pStyle w:val="15"/>
        <w:ind w:firstLineChars="200" w:firstLine="640"/>
        <w:rPr>
          <w:rFonts w:ascii="仿宋" w:eastAsia="仿宋" w:cs="仿宋" w:hAnsi="仿宋"/>
          <w:sz w:val="32"/>
          <w:szCs w:val="32"/>
        </w:rPr>
      </w:pPr>
      <w:r>
        <w:rPr>
          <w:rFonts w:ascii="仿宋" w:eastAsia="仿宋" w:cs="仿宋" w:hAnsi="仿宋" w:hint="eastAsia"/>
          <w:sz w:val="32"/>
          <w:szCs w:val="32"/>
        </w:rPr>
        <w:t>绩效指标为4个，评价等级为优</w:t>
      </w:r>
      <w:r>
        <w:rPr>
          <w:rFonts w:ascii="仿宋" w:eastAsia="仿宋" w:cs="仿宋" w:hAnsi="仿宋"/>
          <w:sz w:val="32"/>
          <w:szCs w:val="32"/>
        </w:rPr>
        <w:t>。</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w:t>
      </w:r>
      <w:r>
        <w:rPr>
          <w:rFonts w:ascii="仿宋" w:eastAsia="仿宋" w:cs="仿宋" w:hAnsi="仿宋"/>
          <w:sz w:val="32"/>
          <w:szCs w:val="32"/>
        </w:rPr>
        <w:t>4</w:t>
      </w:r>
      <w:r>
        <w:rPr>
          <w:rFonts w:ascii="仿宋" w:eastAsia="仿宋" w:cs="仿宋" w:hAnsi="仿宋" w:hint="eastAsia"/>
          <w:sz w:val="32"/>
          <w:szCs w:val="32"/>
        </w:rPr>
        <w:t>）</w:t>
      </w:r>
      <w:r>
        <w:rPr>
          <w:rFonts w:ascii="仿宋" w:eastAsia="仿宋" w:cs="仿宋" w:hAnsi="仿宋"/>
          <w:sz w:val="32"/>
          <w:szCs w:val="32"/>
        </w:rPr>
        <w:t>医保经办业务网络租赁费</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1.资金支出进度</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该项目年初预算为0.6万元，支出</w:t>
      </w:r>
      <w:r>
        <w:rPr>
          <w:rFonts w:ascii="仿宋" w:eastAsia="仿宋" w:cs="仿宋" w:hAnsi="仿宋"/>
          <w:sz w:val="32"/>
          <w:szCs w:val="32"/>
        </w:rPr>
        <w:t>0.5880</w:t>
      </w:r>
      <w:r>
        <w:rPr>
          <w:rFonts w:ascii="仿宋" w:eastAsia="仿宋" w:cs="仿宋" w:hAnsi="仿宋" w:hint="eastAsia"/>
          <w:sz w:val="32"/>
          <w:szCs w:val="32"/>
        </w:rPr>
        <w:t>万元，总体支出进度为</w:t>
      </w:r>
      <w:r>
        <w:rPr>
          <w:rFonts w:ascii="仿宋" w:eastAsia="仿宋" w:cs="仿宋" w:hAnsi="仿宋"/>
          <w:sz w:val="32"/>
          <w:szCs w:val="32"/>
        </w:rPr>
        <w:t>98%</w:t>
      </w:r>
      <w:r>
        <w:rPr>
          <w:rFonts w:ascii="仿宋" w:eastAsia="仿宋" w:cs="仿宋" w:hAnsi="仿宋" w:hint="eastAsia"/>
          <w:sz w:val="32"/>
          <w:szCs w:val="32"/>
        </w:rPr>
        <w:t>。</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2.产出指标和效果指标完成情况</w:t>
      </w:r>
    </w:p>
    <w:p>
      <w:pPr>
        <w:adjustRightInd w:val="0"/>
        <w:snapToGrid w:val="0"/>
        <w:spacing w:line="560" w:lineRule="exact"/>
        <w:ind w:firstLineChars="200" w:firstLine="640"/>
        <w:rPr>
          <w:rFonts w:ascii="仿宋_GB2312" w:eastAsia="仿宋_GB2312" w:cs="仿宋_GB2312" w:hAnsi="仿宋_GB2312"/>
          <w:sz w:val="32"/>
          <w:szCs w:val="32"/>
        </w:rPr>
      </w:pPr>
      <w:r>
        <w:rPr>
          <w:rFonts w:ascii="仿宋_GB2312" w:eastAsia="仿宋_GB2312" w:cs="Times New Roman" w:hAnsi="宋体" w:hint="eastAsia"/>
          <w:bCs/>
          <w:sz w:val="32"/>
          <w:szCs w:val="32"/>
        </w:rPr>
        <w:t>为了推动机关单位工作的有序进行，根据区财政局</w:t>
      </w:r>
      <w:r>
        <w:rPr>
          <w:rFonts w:ascii="仿宋_GB2312" w:eastAsia="仿宋_GB2312" w:cs="仿宋_GB2312" w:hAnsi="仿宋_GB2312" w:hint="eastAsia"/>
          <w:sz w:val="32"/>
          <w:szCs w:val="32"/>
        </w:rPr>
        <w:t>有关要求，我单位</w:t>
      </w:r>
      <w:r>
        <w:rPr>
          <w:rFonts w:ascii="仿宋" w:eastAsia="仿宋" w:cs="仿宋" w:hAnsi="仿宋"/>
          <w:sz w:val="32"/>
          <w:szCs w:val="32"/>
        </w:rPr>
        <w:t>医保经办业务网络租赁费</w:t>
      </w:r>
      <w:r>
        <w:rPr>
          <w:rFonts w:ascii="仿宋_GB2312" w:eastAsia="仿宋_GB2312" w:cs="仿宋_GB2312" w:hAnsi="仿宋_GB2312" w:hint="eastAsia"/>
          <w:sz w:val="32"/>
          <w:szCs w:val="32"/>
        </w:rPr>
        <w:t>项目资金0.6万元，</w:t>
      </w:r>
      <w:r>
        <w:rPr>
          <w:rFonts w:ascii="仿宋_GB2312" w:eastAsia="仿宋_GB2312" w:cs="Times New Roman" w:hAnsi="宋体" w:hint="eastAsia"/>
          <w:bCs/>
          <w:sz w:val="32"/>
          <w:szCs w:val="32"/>
        </w:rPr>
        <w:t>用于开</w:t>
      </w:r>
      <w:r>
        <w:rPr>
          <w:rFonts w:ascii="仿宋_GB2312" w:eastAsia="仿宋_GB2312" w:cs="仿宋_GB2312" w:hAnsi="仿宋_GB2312" w:hint="eastAsia"/>
          <w:sz w:val="32"/>
          <w:szCs w:val="32"/>
        </w:rPr>
        <w:t>展</w:t>
      </w:r>
      <w:r>
        <w:rPr>
          <w:rFonts w:ascii="仿宋_GB2312" w:eastAsia="仿宋_GB2312" w:cs="仿宋_GB2312" w:hAnsi="仿宋_GB2312"/>
          <w:sz w:val="32"/>
          <w:szCs w:val="32"/>
        </w:rPr>
        <w:t>租用联通公司专线</w:t>
      </w:r>
      <w:r>
        <w:rPr>
          <w:rFonts w:ascii="仿宋_GB2312" w:eastAsia="仿宋_GB2312" w:cs="仿宋_GB2312" w:hAnsi="仿宋_GB2312" w:hint="eastAsia"/>
          <w:sz w:val="32"/>
          <w:szCs w:val="32"/>
        </w:rPr>
        <w:t>支出</w:t>
      </w:r>
      <w:r>
        <w:rPr>
          <w:rFonts w:ascii="仿宋_GB2312" w:eastAsia="仿宋_GB2312" w:cs="仿宋_GB2312" w:hAnsi="仿宋_GB2312"/>
          <w:sz w:val="32"/>
          <w:szCs w:val="32"/>
        </w:rPr>
        <w:t>，保证全区医保业务正常运行。</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绩效指标为4个，评价等级为优。</w:t>
      </w:r>
    </w:p>
    <w:p>
      <w:pPr>
        <w:adjustRightInd w:val="0"/>
        <w:snapToGrid w:val="0"/>
        <w:spacing w:line="560" w:lineRule="exact"/>
        <w:ind w:firstLineChars="200" w:firstLine="640"/>
        <w:rPr>
          <w:rFonts w:ascii="仿宋" w:eastAsia="仿宋" w:cs="仿宋" w:hAnsi="仿宋"/>
          <w:color w:val="00B050"/>
          <w:sz w:val="32"/>
          <w:szCs w:val="32"/>
        </w:rPr>
      </w:pPr>
      <w:r>
        <w:rPr>
          <w:rFonts w:ascii="仿宋" w:eastAsia="仿宋" w:cs="仿宋" w:hAnsi="仿宋" w:hint="eastAsia"/>
          <w:color w:val="000000"/>
          <w:sz w:val="32"/>
          <w:szCs w:val="32"/>
        </w:rPr>
        <w:t>（</w:t>
      </w:r>
      <w:r>
        <w:rPr>
          <w:rFonts w:ascii="仿宋" w:eastAsia="仿宋" w:cs="仿宋" w:hAnsi="仿宋"/>
          <w:color w:val="000000"/>
          <w:sz w:val="32"/>
          <w:szCs w:val="32"/>
        </w:rPr>
        <w:t>5</w:t>
      </w:r>
      <w:r>
        <w:rPr>
          <w:rFonts w:ascii="仿宋" w:eastAsia="仿宋" w:cs="仿宋" w:hAnsi="仿宋" w:hint="eastAsia"/>
          <w:color w:val="000000"/>
          <w:sz w:val="32"/>
          <w:szCs w:val="32"/>
        </w:rPr>
        <w:t>）</w:t>
      </w:r>
      <w:r>
        <w:rPr>
          <w:rFonts w:ascii="仿宋" w:eastAsia="仿宋" w:cs="仿宋" w:hAnsi="仿宋"/>
          <w:color w:val="000000"/>
          <w:sz w:val="32"/>
          <w:szCs w:val="32"/>
        </w:rPr>
        <w:t>医保业务专项经费</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1.资金支出进度</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该项目预算数是</w:t>
      </w:r>
      <w:r>
        <w:rPr>
          <w:rFonts w:ascii="仿宋" w:eastAsia="仿宋" w:cs="仿宋" w:hAnsi="仿宋"/>
          <w:sz w:val="32"/>
          <w:szCs w:val="32"/>
        </w:rPr>
        <w:t>2.8</w:t>
      </w:r>
      <w:r>
        <w:rPr>
          <w:rFonts w:ascii="仿宋" w:eastAsia="仿宋" w:cs="仿宋" w:hAnsi="仿宋" w:hint="eastAsia"/>
          <w:sz w:val="32"/>
          <w:szCs w:val="32"/>
        </w:rPr>
        <w:t>万元，支出</w:t>
      </w:r>
      <w:r>
        <w:rPr>
          <w:rFonts w:ascii="仿宋" w:eastAsia="仿宋" w:cs="仿宋" w:hAnsi="仿宋"/>
          <w:sz w:val="32"/>
          <w:szCs w:val="32"/>
        </w:rPr>
        <w:t>0</w:t>
      </w:r>
      <w:r>
        <w:rPr>
          <w:rFonts w:ascii="仿宋" w:eastAsia="仿宋" w:cs="仿宋" w:hAnsi="仿宋" w:hint="eastAsia"/>
          <w:sz w:val="32"/>
          <w:szCs w:val="32"/>
        </w:rPr>
        <w:t xml:space="preserve">万元，总体支出进度为 </w:t>
      </w:r>
      <w:r>
        <w:rPr>
          <w:rFonts w:ascii="仿宋" w:eastAsia="仿宋" w:cs="仿宋" w:hAnsi="仿宋"/>
          <w:sz w:val="32"/>
          <w:szCs w:val="32"/>
        </w:rPr>
        <w:t>0</w:t>
      </w:r>
      <w:r>
        <w:rPr>
          <w:rFonts w:ascii="仿宋" w:eastAsia="仿宋" w:cs="仿宋" w:hAnsi="仿宋" w:hint="eastAsia"/>
          <w:sz w:val="32"/>
          <w:szCs w:val="32"/>
        </w:rPr>
        <w:t>%。</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2.产出指标和效果指标完成情况</w:t>
      </w:r>
    </w:p>
    <w:p>
      <w:pPr>
        <w:spacing w:line="560" w:lineRule="exact"/>
        <w:ind w:firstLineChars="200" w:firstLine="640"/>
        <w:rPr>
          <w:rFonts w:ascii="仿宋_GB2312" w:eastAsia="仿宋_GB2312" w:cs="Times New Roman" w:hAnsi="宋体"/>
          <w:bCs/>
          <w:color w:val="FF0000"/>
          <w:sz w:val="32"/>
          <w:szCs w:val="32"/>
        </w:rPr>
      </w:pPr>
      <w:r>
        <w:rPr>
          <w:rFonts w:ascii="仿宋_GB2312" w:eastAsia="仿宋_GB2312" w:cs="Times New Roman" w:hAnsi="宋体" w:hint="eastAsia"/>
          <w:bCs/>
          <w:sz w:val="32"/>
          <w:szCs w:val="32"/>
        </w:rPr>
        <w:t>为了推动全市医保工作的有序进行，根据区财政局</w:t>
      </w:r>
      <w:r>
        <w:rPr>
          <w:rFonts w:ascii="仿宋_GB2312" w:eastAsia="仿宋_GB2312" w:cs="仿宋_GB2312" w:hAnsi="仿宋_GB2312" w:hint="eastAsia"/>
          <w:sz w:val="32"/>
          <w:szCs w:val="32"/>
        </w:rPr>
        <w:t>有关要求，我单位业务专项经费项目资金</w:t>
      </w:r>
      <w:r>
        <w:rPr>
          <w:rFonts w:ascii="仿宋_GB2312" w:eastAsia="仿宋_GB2312" w:cs="仿宋_GB2312" w:hAnsi="仿宋_GB2312"/>
          <w:sz w:val="32"/>
          <w:szCs w:val="32"/>
        </w:rPr>
        <w:t>2.8</w:t>
      </w:r>
      <w:r>
        <w:rPr>
          <w:rFonts w:ascii="仿宋_GB2312" w:eastAsia="仿宋_GB2312" w:cs="仿宋_GB2312" w:hAnsi="仿宋_GB2312" w:hint="eastAsia"/>
          <w:sz w:val="32"/>
          <w:szCs w:val="32"/>
        </w:rPr>
        <w:t>万元，</w:t>
      </w:r>
      <w:r>
        <w:rPr>
          <w:rFonts w:ascii="仿宋_GB2312" w:eastAsia="仿宋_GB2312" w:cs="Times New Roman" w:hAnsi="宋体" w:hint="eastAsia"/>
          <w:bCs/>
          <w:color w:val="000000"/>
          <w:sz w:val="32"/>
          <w:szCs w:val="32"/>
        </w:rPr>
        <w:t>用于</w:t>
      </w:r>
      <w:r>
        <w:rPr>
          <w:rFonts w:ascii="仿宋_GB2312" w:eastAsia="仿宋_GB2312" w:cs="Times New Roman" w:hAnsi="宋体"/>
          <w:bCs/>
          <w:color w:val="000000"/>
          <w:sz w:val="32"/>
          <w:szCs w:val="32"/>
        </w:rPr>
        <w:t>发放医保宣传材料，提高老百姓对我区医保相关政策的的了解，按时参加省市会议及培训，问计相关医保政策，保障医保工作正常开展。</w:t>
      </w:r>
    </w:p>
    <w:p>
      <w:pPr>
        <w:adjustRightInd w:val="0"/>
        <w:snapToGrid w:val="0"/>
        <w:spacing w:line="560" w:lineRule="exact"/>
        <w:ind w:firstLineChars="250" w:firstLine="800"/>
        <w:rPr>
          <w:rFonts w:ascii="仿宋" w:eastAsia="仿宋" w:cs="仿宋" w:hAnsi="仿宋"/>
          <w:sz w:val="32"/>
          <w:szCs w:val="32"/>
        </w:rPr>
      </w:pPr>
      <w:r>
        <w:rPr>
          <w:rFonts w:ascii="仿宋" w:eastAsia="仿宋" w:cs="仿宋" w:hAnsi="仿宋" w:hint="eastAsia"/>
          <w:sz w:val="32"/>
          <w:szCs w:val="32"/>
        </w:rPr>
        <w:t>绩效指标为 4 个，评价等级为优。</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w:t>
      </w:r>
      <w:r>
        <w:rPr>
          <w:rFonts w:ascii="仿宋" w:eastAsia="仿宋" w:cs="仿宋" w:hAnsi="仿宋"/>
          <w:color w:val="000000"/>
          <w:sz w:val="32"/>
          <w:szCs w:val="32"/>
        </w:rPr>
        <w:t>6</w:t>
      </w:r>
      <w:r>
        <w:rPr>
          <w:rFonts w:ascii="仿宋" w:eastAsia="仿宋" w:cs="仿宋" w:hAnsi="仿宋" w:hint="eastAsia"/>
          <w:color w:val="000000"/>
          <w:sz w:val="32"/>
          <w:szCs w:val="32"/>
        </w:rPr>
        <w:t>）</w:t>
      </w:r>
      <w:r>
        <w:rPr>
          <w:rFonts w:ascii="仿宋" w:eastAsia="仿宋" w:cs="仿宋" w:hAnsi="仿宋"/>
          <w:color w:val="000000"/>
          <w:sz w:val="32"/>
          <w:szCs w:val="32"/>
        </w:rPr>
        <w:t>经办管理服务体系建设经费（2024年中央财政医疗服务与保障能力提升补助资金）</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该项目预算为</w:t>
      </w:r>
      <w:r>
        <w:rPr>
          <w:rFonts w:ascii="仿宋" w:eastAsia="仿宋" w:cs="仿宋" w:hAnsi="仿宋"/>
          <w:color w:val="000000"/>
          <w:sz w:val="32"/>
          <w:szCs w:val="32"/>
        </w:rPr>
        <w:t>1.5</w:t>
      </w:r>
      <w:r>
        <w:rPr>
          <w:rFonts w:ascii="仿宋" w:eastAsia="仿宋" w:cs="仿宋" w:hAnsi="仿宋" w:hint="eastAsia"/>
          <w:color w:val="000000"/>
          <w:sz w:val="32"/>
          <w:szCs w:val="32"/>
        </w:rPr>
        <w:t>万元，支出</w:t>
      </w:r>
      <w:r>
        <w:rPr>
          <w:rFonts w:ascii="仿宋" w:eastAsia="仿宋" w:cs="仿宋" w:hAnsi="仿宋"/>
          <w:color w:val="000000"/>
          <w:sz w:val="32"/>
          <w:szCs w:val="32"/>
        </w:rPr>
        <w:t>1.5</w:t>
      </w:r>
      <w:r>
        <w:rPr>
          <w:rFonts w:ascii="仿宋" w:eastAsia="仿宋" w:cs="仿宋" w:hAnsi="仿宋" w:hint="eastAsia"/>
          <w:color w:val="000000"/>
          <w:sz w:val="32"/>
          <w:szCs w:val="32"/>
        </w:rPr>
        <w:t>万元，总体支出进度为</w:t>
      </w:r>
      <w:r>
        <w:rPr>
          <w:rFonts w:ascii="仿宋" w:eastAsia="仿宋" w:cs="仿宋" w:hAnsi="仿宋"/>
          <w:color w:val="000000"/>
          <w:sz w:val="32"/>
          <w:szCs w:val="32"/>
        </w:rPr>
        <w:t>100</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spacing w:line="560" w:lineRule="exact"/>
        <w:ind w:firstLineChars="200" w:firstLine="640"/>
        <w:rPr>
          <w:rFonts w:ascii="仿宋_GB2312" w:eastAsia="仿宋_GB2312" w:cs="仿宋_GB2312" w:hAnsi="仿宋_GB2312"/>
          <w:sz w:val="32"/>
          <w:szCs w:val="32"/>
        </w:rPr>
      </w:pPr>
      <w:r>
        <w:rPr>
          <w:rFonts w:ascii="仿宋_GB2312" w:eastAsia="仿宋_GB2312" w:cs="Times New Roman" w:hAnsi="宋体" w:hint="eastAsia"/>
          <w:bCs/>
          <w:sz w:val="32"/>
          <w:szCs w:val="32"/>
        </w:rPr>
        <w:t>为了推动全市医保重点工作的有序进行，</w:t>
      </w:r>
      <w:r>
        <w:rPr>
          <w:rFonts w:ascii="仿宋_GB2312" w:eastAsia="仿宋_GB2312" w:hAnsi="宋体" w:hint="eastAsia"/>
          <w:bCs/>
          <w:color w:val="000000"/>
          <w:sz w:val="32"/>
          <w:szCs w:val="32"/>
        </w:rPr>
        <w:t>根据</w:t>
      </w:r>
      <w:r>
        <w:rPr>
          <w:rFonts w:ascii="仿宋_GB2312" w:eastAsia="仿宋_GB2312" w:hAnsi="宋体"/>
          <w:bCs/>
          <w:color w:val="000000"/>
          <w:sz w:val="32"/>
          <w:szCs w:val="32"/>
        </w:rPr>
        <w:t>冀财社[2023]208号</w:t>
      </w:r>
      <w:r>
        <w:rPr>
          <w:rFonts w:ascii="仿宋_GB2312" w:eastAsia="仿宋_GB2312" w:cs="仿宋_GB2312" w:hAnsi="仿宋_GB2312" w:hint="eastAsia"/>
          <w:color w:val="000000"/>
          <w:sz w:val="32"/>
          <w:szCs w:val="32"/>
        </w:rPr>
        <w:t>《</w:t>
      </w:r>
      <w:r>
        <w:rPr>
          <w:rFonts w:ascii="仿宋_GB2312" w:eastAsia="仿宋_GB2312" w:cs="仿宋_GB2312" w:hAnsi="仿宋_GB2312"/>
          <w:color w:val="000000"/>
          <w:sz w:val="32"/>
          <w:szCs w:val="32"/>
        </w:rPr>
        <w:t>河北省医保局关于下达2024年中央财政医疗服务与保障能力提升补助资金预算的通知</w:t>
      </w:r>
      <w:r>
        <w:rPr>
          <w:rFonts w:ascii="仿宋_GB2312" w:eastAsia="仿宋_GB2312" w:cs="仿宋_GB2312" w:hAnsi="仿宋_GB2312" w:hint="eastAsia"/>
          <w:color w:val="000000"/>
          <w:sz w:val="32"/>
          <w:szCs w:val="32"/>
        </w:rPr>
        <w:t>》的要求，</w:t>
      </w:r>
      <w:r>
        <w:rPr>
          <w:rFonts w:ascii="仿宋_GB2312" w:eastAsia="仿宋_GB2312" w:cs="仿宋_GB2312" w:hAnsi="仿宋_GB2312" w:hint="eastAsia"/>
          <w:sz w:val="32"/>
          <w:szCs w:val="32"/>
        </w:rPr>
        <w:t>我单位</w:t>
      </w:r>
      <w:r>
        <w:rPr>
          <w:rFonts w:ascii="仿宋" w:eastAsia="仿宋" w:cs="仿宋" w:hAnsi="仿宋"/>
          <w:color w:val="000000"/>
          <w:sz w:val="32"/>
          <w:szCs w:val="32"/>
        </w:rPr>
        <w:t>经办管理服务体系建设经费（2024年中央财政医疗服务与保障能力提升补助资金）</w:t>
      </w:r>
      <w:r>
        <w:rPr>
          <w:rFonts w:ascii="仿宋_GB2312" w:eastAsia="仿宋_GB2312" w:cs="仿宋_GB2312" w:hAnsi="仿宋_GB2312"/>
          <w:sz w:val="32"/>
          <w:szCs w:val="32"/>
        </w:rPr>
        <w:t>1.5</w:t>
      </w:r>
      <w:r>
        <w:rPr>
          <w:rFonts w:ascii="仿宋_GB2312" w:eastAsia="仿宋_GB2312" w:cs="仿宋_GB2312" w:hAnsi="仿宋_GB2312" w:hint="eastAsia"/>
          <w:sz w:val="32"/>
          <w:szCs w:val="32"/>
        </w:rPr>
        <w:t>万元，</w:t>
      </w:r>
      <w:r>
        <w:rPr>
          <w:rFonts w:ascii="仿宋_GB2312" w:eastAsia="仿宋_GB2312" w:cs="仿宋_GB2312" w:hAnsi="仿宋_GB2312"/>
          <w:sz w:val="32"/>
          <w:szCs w:val="32"/>
        </w:rPr>
        <w:t>通过提升经办管理服务体系建设等方面的支出，提高经办管理体系建设水平。</w:t>
      </w:r>
    </w:p>
    <w:p>
      <w:pPr>
        <w:pStyle w:val="15"/>
        <w:ind w:firstLineChars="200" w:firstLine="640"/>
      </w:pPr>
      <w:r>
        <w:rPr>
          <w:rFonts w:ascii="仿宋" w:eastAsia="仿宋" w:cs="仿宋" w:hAnsi="仿宋" w:hint="eastAsia"/>
          <w:sz w:val="32"/>
          <w:szCs w:val="32"/>
        </w:rPr>
        <w:t>绩效指标为 4 个，评价等级为优。</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w:t>
      </w:r>
      <w:r>
        <w:rPr>
          <w:rFonts w:ascii="仿宋" w:eastAsia="仿宋" w:cs="仿宋" w:hAnsi="仿宋"/>
          <w:color w:val="000000"/>
          <w:sz w:val="32"/>
          <w:szCs w:val="32"/>
        </w:rPr>
        <w:t>7</w:t>
      </w:r>
      <w:r>
        <w:rPr>
          <w:rFonts w:ascii="仿宋" w:eastAsia="仿宋" w:cs="仿宋" w:hAnsi="仿宋" w:hint="eastAsia"/>
          <w:color w:val="000000"/>
          <w:sz w:val="32"/>
          <w:szCs w:val="32"/>
        </w:rPr>
        <w:t>）</w:t>
      </w:r>
      <w:r>
        <w:rPr>
          <w:rFonts w:ascii="仿宋" w:eastAsia="仿宋" w:cs="仿宋" w:hAnsi="仿宋"/>
          <w:color w:val="000000"/>
          <w:sz w:val="32"/>
          <w:szCs w:val="32"/>
        </w:rPr>
        <w:t>基金监管经费（2024年中央财政医疗服务与保障能力提升补助资金）</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该项目预算为</w:t>
      </w:r>
      <w:r>
        <w:rPr>
          <w:rFonts w:ascii="仿宋" w:eastAsia="仿宋" w:cs="仿宋" w:hAnsi="仿宋"/>
          <w:color w:val="000000"/>
          <w:sz w:val="32"/>
          <w:szCs w:val="32"/>
        </w:rPr>
        <w:t>6</w:t>
      </w:r>
      <w:r>
        <w:rPr>
          <w:rFonts w:ascii="仿宋" w:eastAsia="仿宋" w:cs="仿宋" w:hAnsi="仿宋" w:hint="eastAsia"/>
          <w:color w:val="000000"/>
          <w:sz w:val="32"/>
          <w:szCs w:val="32"/>
        </w:rPr>
        <w:t>万元，支出</w:t>
      </w:r>
      <w:r>
        <w:rPr>
          <w:rFonts w:ascii="仿宋" w:eastAsia="仿宋" w:cs="仿宋" w:hAnsi="仿宋"/>
          <w:color w:val="000000"/>
          <w:sz w:val="32"/>
          <w:szCs w:val="32"/>
        </w:rPr>
        <w:t>6</w:t>
      </w:r>
      <w:r>
        <w:rPr>
          <w:rFonts w:ascii="仿宋" w:eastAsia="仿宋" w:cs="仿宋" w:hAnsi="仿宋" w:hint="eastAsia"/>
          <w:color w:val="000000"/>
          <w:sz w:val="32"/>
          <w:szCs w:val="32"/>
        </w:rPr>
        <w:t>万元，总体支出进度为</w:t>
      </w:r>
      <w:r>
        <w:rPr>
          <w:rFonts w:ascii="仿宋" w:eastAsia="仿宋" w:cs="仿宋" w:hAnsi="仿宋"/>
          <w:color w:val="000000"/>
          <w:sz w:val="32"/>
          <w:szCs w:val="32"/>
        </w:rPr>
        <w:t>100</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spacing w:line="560" w:lineRule="exact"/>
        <w:ind w:firstLineChars="200" w:firstLine="640"/>
        <w:rPr>
          <w:rFonts w:ascii="仿宋_GB2312" w:eastAsia="仿宋_GB2312" w:cs="仿宋_GB2312" w:hAnsi="仿宋_GB2312"/>
          <w:sz w:val="32"/>
          <w:szCs w:val="32"/>
        </w:rPr>
      </w:pPr>
      <w:r>
        <w:rPr>
          <w:rFonts w:ascii="仿宋_GB2312" w:eastAsia="仿宋_GB2312" w:cs="Times New Roman" w:hAnsi="宋体" w:hint="eastAsia"/>
          <w:bCs/>
          <w:sz w:val="32"/>
          <w:szCs w:val="32"/>
        </w:rPr>
        <w:t>为了推动全市医保重点工作的有序进行，</w:t>
      </w:r>
      <w:r>
        <w:rPr>
          <w:rFonts w:ascii="仿宋_GB2312" w:eastAsia="仿宋_GB2312" w:hAnsi="宋体" w:hint="eastAsia"/>
          <w:bCs/>
          <w:color w:val="000000"/>
          <w:sz w:val="32"/>
          <w:szCs w:val="32"/>
        </w:rPr>
        <w:t>根据</w:t>
      </w:r>
      <w:r>
        <w:rPr>
          <w:rFonts w:ascii="仿宋_GB2312" w:eastAsia="仿宋_GB2312" w:hAnsi="宋体"/>
          <w:bCs/>
          <w:color w:val="000000"/>
          <w:sz w:val="32"/>
          <w:szCs w:val="32"/>
        </w:rPr>
        <w:t>冀财社[2023]208号</w:t>
      </w:r>
      <w:r>
        <w:rPr>
          <w:rFonts w:ascii="仿宋_GB2312" w:eastAsia="仿宋_GB2312" w:cs="仿宋_GB2312" w:hAnsi="仿宋_GB2312" w:hint="eastAsia"/>
          <w:color w:val="000000"/>
          <w:sz w:val="32"/>
          <w:szCs w:val="32"/>
        </w:rPr>
        <w:t>《</w:t>
      </w:r>
      <w:r>
        <w:rPr>
          <w:rFonts w:ascii="仿宋_GB2312" w:eastAsia="仿宋_GB2312" w:cs="仿宋_GB2312" w:hAnsi="仿宋_GB2312"/>
          <w:color w:val="000000"/>
          <w:sz w:val="32"/>
          <w:szCs w:val="32"/>
        </w:rPr>
        <w:t>河北省医保局关于下达2024年中央财政医疗服务与保障能力提升补助资金预算的通知</w:t>
      </w:r>
      <w:r>
        <w:rPr>
          <w:rFonts w:ascii="仿宋_GB2312" w:eastAsia="仿宋_GB2312" w:cs="仿宋_GB2312" w:hAnsi="仿宋_GB2312" w:hint="eastAsia"/>
          <w:color w:val="000000"/>
          <w:sz w:val="32"/>
          <w:szCs w:val="32"/>
        </w:rPr>
        <w:t>》的要求，</w:t>
      </w:r>
      <w:r>
        <w:rPr>
          <w:rFonts w:ascii="仿宋_GB2312" w:eastAsia="仿宋_GB2312" w:cs="仿宋_GB2312" w:hAnsi="仿宋_GB2312" w:hint="eastAsia"/>
          <w:sz w:val="32"/>
          <w:szCs w:val="32"/>
        </w:rPr>
        <w:t>我单位</w:t>
      </w:r>
      <w:r>
        <w:rPr>
          <w:rFonts w:ascii="仿宋_GB2312" w:eastAsia="仿宋_GB2312" w:cs="仿宋_GB2312" w:hAnsi="仿宋_GB2312"/>
          <w:sz w:val="32"/>
          <w:szCs w:val="32"/>
        </w:rPr>
        <w:t>基金监管经费（2024年中央财政医疗服务与保障能力提升补助资金）6</w:t>
      </w:r>
      <w:r>
        <w:rPr>
          <w:rFonts w:ascii="仿宋_GB2312" w:eastAsia="仿宋_GB2312" w:cs="仿宋_GB2312" w:hAnsi="仿宋_GB2312" w:hint="eastAsia"/>
          <w:sz w:val="32"/>
          <w:szCs w:val="32"/>
        </w:rPr>
        <w:t>万元，</w:t>
      </w:r>
      <w:r>
        <w:rPr>
          <w:rFonts w:ascii="仿宋_GB2312" w:eastAsia="仿宋_GB2312" w:cs="仿宋_GB2312" w:hAnsi="仿宋_GB2312"/>
          <w:sz w:val="32"/>
          <w:szCs w:val="32"/>
        </w:rPr>
        <w:t>用于医保基金日常监管、医保基金监管宣传等方面的支出，保障医保基金监管工作顺利开展。</w:t>
      </w:r>
    </w:p>
    <w:p>
      <w:pPr>
        <w:pStyle w:val="15"/>
        <w:ind w:firstLineChars="200" w:firstLine="640"/>
      </w:pPr>
      <w:r>
        <w:rPr>
          <w:rFonts w:ascii="仿宋" w:eastAsia="仿宋" w:cs="仿宋" w:hAnsi="仿宋" w:hint="eastAsia"/>
          <w:sz w:val="32"/>
          <w:szCs w:val="32"/>
        </w:rPr>
        <w:t>绩效指标为 4 个，评价等级为优。</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w:t>
      </w:r>
      <w:r>
        <w:rPr>
          <w:rFonts w:ascii="仿宋" w:eastAsia="仿宋" w:cs="仿宋" w:hAnsi="仿宋"/>
          <w:color w:val="000000"/>
          <w:sz w:val="32"/>
          <w:szCs w:val="32"/>
        </w:rPr>
        <w:t>8</w:t>
      </w:r>
      <w:r>
        <w:rPr>
          <w:rFonts w:ascii="仿宋" w:eastAsia="仿宋" w:cs="仿宋" w:hAnsi="仿宋" w:hint="eastAsia"/>
          <w:color w:val="000000"/>
          <w:sz w:val="32"/>
          <w:szCs w:val="32"/>
        </w:rPr>
        <w:t>）</w:t>
      </w:r>
      <w:r>
        <w:rPr>
          <w:rFonts w:ascii="仿宋" w:eastAsia="仿宋" w:cs="仿宋" w:hAnsi="仿宋"/>
          <w:color w:val="000000"/>
          <w:sz w:val="32"/>
          <w:szCs w:val="32"/>
        </w:rPr>
        <w:t>药品和医用耗材集中带量采购经费（2024年中央财政医疗服务与保障能力提升补助资金）</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该项目预算为</w:t>
      </w:r>
      <w:r>
        <w:rPr>
          <w:rFonts w:ascii="仿宋" w:eastAsia="仿宋" w:cs="仿宋" w:hAnsi="仿宋"/>
          <w:color w:val="000000"/>
          <w:sz w:val="32"/>
          <w:szCs w:val="32"/>
        </w:rPr>
        <w:t>0.5</w:t>
      </w:r>
      <w:r>
        <w:rPr>
          <w:rFonts w:ascii="仿宋" w:eastAsia="仿宋" w:cs="仿宋" w:hAnsi="仿宋" w:hint="eastAsia"/>
          <w:color w:val="000000"/>
          <w:sz w:val="32"/>
          <w:szCs w:val="32"/>
        </w:rPr>
        <w:t>万元，支出</w:t>
      </w:r>
      <w:r>
        <w:rPr>
          <w:rFonts w:ascii="仿宋" w:eastAsia="仿宋" w:cs="仿宋" w:hAnsi="仿宋"/>
          <w:color w:val="000000"/>
          <w:sz w:val="32"/>
          <w:szCs w:val="32"/>
        </w:rPr>
        <w:t>0.5</w:t>
      </w:r>
      <w:r>
        <w:rPr>
          <w:rFonts w:ascii="仿宋" w:eastAsia="仿宋" w:cs="仿宋" w:hAnsi="仿宋" w:hint="eastAsia"/>
          <w:color w:val="000000"/>
          <w:sz w:val="32"/>
          <w:szCs w:val="32"/>
        </w:rPr>
        <w:t>万元，总体支出进度为</w:t>
      </w:r>
      <w:r>
        <w:rPr>
          <w:rFonts w:ascii="仿宋" w:eastAsia="仿宋" w:cs="仿宋" w:hAnsi="仿宋"/>
          <w:color w:val="000000"/>
          <w:sz w:val="32"/>
          <w:szCs w:val="32"/>
        </w:rPr>
        <w:t>100</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adjustRightInd w:val="0"/>
        <w:snapToGrid w:val="0"/>
        <w:spacing w:line="560" w:lineRule="exact"/>
        <w:rPr>
          <w:rFonts w:ascii="仿宋_GB2312" w:eastAsia="仿宋_GB2312" w:cs="仿宋_GB2312" w:hAnsi="仿宋_GB2312"/>
          <w:sz w:val="32"/>
          <w:szCs w:val="32"/>
        </w:rPr>
      </w:pPr>
      <w:r>
        <w:rPr>
          <w:rFonts w:ascii="仿宋_GB2312" w:eastAsia="仿宋_GB2312" w:cs="Times New Roman" w:hAnsi="宋体" w:hint="eastAsia"/>
          <w:bCs/>
          <w:sz w:val="32"/>
          <w:szCs w:val="32"/>
        </w:rPr>
        <w:t>为了推动全市医保重点工作的有序进行，</w:t>
      </w:r>
      <w:r>
        <w:rPr>
          <w:rFonts w:ascii="仿宋_GB2312" w:eastAsia="仿宋_GB2312" w:hAnsi="宋体" w:hint="eastAsia"/>
          <w:bCs/>
          <w:color w:val="000000"/>
          <w:sz w:val="32"/>
          <w:szCs w:val="32"/>
        </w:rPr>
        <w:t>根据</w:t>
      </w:r>
      <w:r>
        <w:rPr>
          <w:rFonts w:ascii="仿宋_GB2312" w:eastAsia="仿宋_GB2312" w:hAnsi="宋体"/>
          <w:bCs/>
          <w:color w:val="000000"/>
          <w:sz w:val="32"/>
          <w:szCs w:val="32"/>
        </w:rPr>
        <w:t>冀财社[2023]208号</w:t>
      </w:r>
      <w:r>
        <w:rPr>
          <w:rFonts w:ascii="仿宋_GB2312" w:eastAsia="仿宋_GB2312" w:cs="仿宋_GB2312" w:hAnsi="仿宋_GB2312" w:hint="eastAsia"/>
          <w:color w:val="000000"/>
          <w:sz w:val="32"/>
          <w:szCs w:val="32"/>
        </w:rPr>
        <w:t>《</w:t>
      </w:r>
      <w:r>
        <w:rPr>
          <w:rFonts w:ascii="仿宋_GB2312" w:eastAsia="仿宋_GB2312" w:cs="仿宋_GB2312" w:hAnsi="仿宋_GB2312"/>
          <w:color w:val="000000"/>
          <w:sz w:val="32"/>
          <w:szCs w:val="32"/>
        </w:rPr>
        <w:t>河北省医保局关于下达2024年中央财政医疗服务与保障能力提升补助资金预算的通知</w:t>
      </w:r>
      <w:r>
        <w:rPr>
          <w:rFonts w:ascii="仿宋_GB2312" w:eastAsia="仿宋_GB2312" w:cs="仿宋_GB2312" w:hAnsi="仿宋_GB2312" w:hint="eastAsia"/>
          <w:color w:val="000000"/>
          <w:sz w:val="32"/>
          <w:szCs w:val="32"/>
        </w:rPr>
        <w:t>》的要求，</w:t>
      </w:r>
      <w:r>
        <w:rPr>
          <w:rFonts w:ascii="仿宋_GB2312" w:eastAsia="仿宋_GB2312" w:cs="仿宋_GB2312" w:hAnsi="仿宋_GB2312" w:hint="eastAsia"/>
          <w:sz w:val="32"/>
          <w:szCs w:val="32"/>
        </w:rPr>
        <w:t>我单位</w:t>
      </w:r>
      <w:r>
        <w:rPr>
          <w:rFonts w:ascii="仿宋_GB2312" w:eastAsia="仿宋_GB2312" w:cs="仿宋_GB2312" w:hAnsi="仿宋_GB2312"/>
          <w:sz w:val="32"/>
          <w:szCs w:val="32"/>
        </w:rPr>
        <w:t>药品和医用耗材集中带量采购经费（2024年中央财政医疗服务与保障能力提升补助资金）0.5</w:t>
      </w:r>
      <w:r>
        <w:rPr>
          <w:rFonts w:ascii="仿宋_GB2312" w:eastAsia="仿宋_GB2312" w:cs="仿宋_GB2312" w:hAnsi="仿宋_GB2312" w:hint="eastAsia"/>
          <w:sz w:val="32"/>
          <w:szCs w:val="32"/>
        </w:rPr>
        <w:t>万元，</w:t>
      </w:r>
      <w:r>
        <w:rPr>
          <w:rFonts w:ascii="仿宋_GB2312" w:eastAsia="仿宋_GB2312" w:cs="仿宋_GB2312" w:hAnsi="仿宋_GB2312"/>
          <w:sz w:val="32"/>
          <w:szCs w:val="32"/>
        </w:rPr>
        <w:t>通过药品和医用耗材集中带量采购宣传以及日常监督等方面的支出，保障集中带量采购工作顺利开展。</w:t>
      </w:r>
    </w:p>
    <w:p>
      <w:pPr>
        <w:pStyle w:val="15"/>
      </w:pPr>
      <w:r>
        <w:rPr>
          <w:rFonts w:ascii="仿宋" w:eastAsia="仿宋" w:cs="仿宋" w:hAnsi="仿宋" w:hint="eastAsia"/>
          <w:sz w:val="32"/>
          <w:szCs w:val="32"/>
        </w:rPr>
        <w:t>绩效指标为 4 个，评价等级为优。</w:t>
      </w:r>
    </w:p>
    <w:p>
      <w:pPr>
        <w:adjustRightInd w:val="0"/>
        <w:snapToGrid w:val="0"/>
        <w:spacing w:line="560" w:lineRule="exact"/>
        <w:ind w:firstLineChars="200" w:firstLine="640"/>
        <w:rPr>
          <w:rFonts w:ascii="仿宋" w:eastAsia="仿宋" w:cs="黑体" w:hAnsi="仿宋"/>
          <w:color w:val="000000"/>
          <w:sz w:val="32"/>
          <w:szCs w:val="32"/>
        </w:rPr>
      </w:pPr>
      <w:r>
        <w:rPr>
          <w:rFonts w:ascii="仿宋" w:eastAsia="仿宋" w:cs="仿宋" w:hAnsi="仿宋" w:hint="eastAsia"/>
          <w:color w:val="000000"/>
          <w:sz w:val="32"/>
          <w:szCs w:val="32"/>
        </w:rPr>
        <w:t>（</w:t>
      </w:r>
      <w:r>
        <w:rPr>
          <w:rFonts w:ascii="仿宋" w:eastAsia="仿宋" w:cs="仿宋" w:hAnsi="仿宋"/>
          <w:color w:val="000000"/>
          <w:sz w:val="32"/>
          <w:szCs w:val="32"/>
          <w:lang w:eastAsia="zh-CN"/>
        </w:rPr>
        <w:t>9</w:t>
      </w:r>
      <w:r>
        <w:rPr>
          <w:rFonts w:ascii="仿宋" w:eastAsia="仿宋" w:cs="仿宋" w:hAnsi="仿宋" w:hint="eastAsia"/>
          <w:color w:val="000000"/>
          <w:sz w:val="32"/>
          <w:szCs w:val="32"/>
        </w:rPr>
        <w:t>）</w:t>
      </w:r>
      <w:r>
        <w:rPr>
          <w:rFonts w:ascii="仿宋" w:eastAsia="仿宋" w:cs="仿宋" w:hAnsi="仿宋"/>
          <w:color w:val="000000"/>
          <w:sz w:val="32"/>
          <w:szCs w:val="32"/>
        </w:rPr>
        <w:t>2024年省级财政城乡社会保险代办员补助资金</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该项目预算为1万元，支出</w:t>
      </w:r>
      <w:r>
        <w:rPr>
          <w:rFonts w:ascii="仿宋" w:eastAsia="仿宋" w:cs="仿宋" w:hAnsi="仿宋" w:hint="eastAsia"/>
          <w:color w:val="000000"/>
          <w:sz w:val="32"/>
          <w:szCs w:val="32"/>
          <w:lang w:val="en-US" w:eastAsia="zh-CN"/>
        </w:rPr>
        <w:t>1</w:t>
      </w:r>
      <w:r>
        <w:rPr>
          <w:rFonts w:ascii="仿宋" w:eastAsia="仿宋" w:cs="仿宋" w:hAnsi="仿宋" w:hint="eastAsia"/>
          <w:color w:val="000000"/>
          <w:sz w:val="32"/>
          <w:szCs w:val="32"/>
        </w:rPr>
        <w:t>万元，总体支出进度为</w:t>
      </w:r>
      <w:r>
        <w:rPr>
          <w:rFonts w:ascii="仿宋" w:eastAsia="仿宋" w:cs="仿宋" w:hAnsi="仿宋" w:hint="eastAsia"/>
          <w:color w:val="000000"/>
          <w:sz w:val="32"/>
          <w:szCs w:val="32"/>
          <w:lang w:val="en-US" w:eastAsia="zh-CN"/>
        </w:rPr>
        <w:t>100</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adjustRightInd w:val="0"/>
        <w:snapToGrid w:val="0"/>
        <w:spacing w:line="560" w:lineRule="exact"/>
        <w:ind w:firstLineChars="200" w:firstLine="640"/>
        <w:rPr>
          <w:rFonts w:ascii="仿宋_GB2312" w:eastAsia="仿宋_GB2312" w:cs="仿宋_GB2312" w:hAnsi="仿宋_GB2312"/>
          <w:color w:val="000000"/>
          <w:sz w:val="32"/>
          <w:szCs w:val="32"/>
        </w:rPr>
      </w:pPr>
      <w:r>
        <w:rPr>
          <w:rFonts w:ascii="仿宋_GB2312" w:eastAsia="仿宋_GB2312" w:cs="仿宋_GB2312" w:hAnsi="仿宋_GB2312" w:hint="eastAsia"/>
          <w:color w:val="000000"/>
          <w:sz w:val="32"/>
          <w:szCs w:val="32"/>
          <w:lang w:eastAsia="zh-CN"/>
        </w:rPr>
        <w:t>根据</w:t>
      </w:r>
      <w:r>
        <w:rPr>
          <w:rFonts w:ascii="仿宋_GB2312" w:eastAsia="仿宋_GB2312" w:cs="仿宋_GB2312" w:hAnsi="仿宋_GB2312" w:hint="eastAsia"/>
          <w:color w:val="000000"/>
          <w:sz w:val="32"/>
          <w:szCs w:val="32"/>
        </w:rPr>
        <w:t>石财社[202</w:t>
      </w:r>
      <w:r>
        <w:rPr>
          <w:rFonts w:ascii="仿宋_GB2312" w:eastAsia="仿宋_GB2312" w:cs="仿宋_GB2312" w:hAnsi="仿宋_GB2312"/>
          <w:color w:val="000000"/>
          <w:sz w:val="32"/>
          <w:szCs w:val="32"/>
        </w:rPr>
        <w:t>3</w:t>
      </w:r>
      <w:r>
        <w:rPr>
          <w:rFonts w:ascii="仿宋_GB2312" w:eastAsia="仿宋_GB2312" w:cs="仿宋_GB2312" w:hAnsi="仿宋_GB2312" w:hint="eastAsia"/>
          <w:color w:val="000000"/>
          <w:sz w:val="32"/>
          <w:szCs w:val="32"/>
        </w:rPr>
        <w:t>]12</w:t>
      </w:r>
      <w:r>
        <w:rPr>
          <w:rFonts w:ascii="仿宋_GB2312" w:eastAsia="仿宋_GB2312" w:cs="仿宋_GB2312" w:hAnsi="仿宋_GB2312"/>
          <w:color w:val="000000"/>
          <w:sz w:val="32"/>
          <w:szCs w:val="32"/>
        </w:rPr>
        <w:t>1</w:t>
      </w:r>
      <w:r>
        <w:rPr>
          <w:rFonts w:ascii="仿宋_GB2312" w:eastAsia="仿宋_GB2312" w:cs="仿宋_GB2312" w:hAnsi="仿宋_GB2312" w:hint="eastAsia"/>
          <w:color w:val="000000"/>
          <w:sz w:val="32"/>
          <w:szCs w:val="32"/>
        </w:rPr>
        <w:t>号</w:t>
      </w:r>
      <w:r>
        <w:rPr>
          <w:rFonts w:ascii="仿宋_GB2312" w:eastAsia="仿宋_GB2312" w:cs="仿宋_GB2312" w:hAnsi="仿宋_GB2312" w:hint="eastAsia"/>
          <w:color w:val="000000"/>
          <w:sz w:val="32"/>
          <w:szCs w:val="32"/>
          <w:lang w:eastAsia="zh-CN"/>
        </w:rPr>
        <w:t>《</w:t>
      </w:r>
      <w:r>
        <w:rPr>
          <w:rFonts w:ascii="仿宋_GB2312" w:eastAsia="仿宋_GB2312" w:cs="仿宋_GB2312" w:hAnsi="仿宋_GB2312" w:hint="eastAsia"/>
          <w:color w:val="000000"/>
          <w:sz w:val="32"/>
          <w:szCs w:val="32"/>
        </w:rPr>
        <w:t>关于提前下达</w:t>
      </w:r>
      <w:r>
        <w:rPr>
          <w:rFonts w:ascii="仿宋_GB2312" w:eastAsia="仿宋_GB2312" w:cs="仿宋_GB2312" w:hAnsi="仿宋_GB2312"/>
          <w:color w:val="000000"/>
          <w:sz w:val="32"/>
          <w:szCs w:val="32"/>
        </w:rPr>
        <w:t>2024</w:t>
      </w:r>
      <w:r>
        <w:rPr>
          <w:rFonts w:ascii="仿宋_GB2312" w:eastAsia="仿宋_GB2312" w:cs="仿宋_GB2312" w:hAnsi="仿宋_GB2312" w:hint="eastAsia"/>
          <w:color w:val="000000"/>
          <w:sz w:val="32"/>
          <w:szCs w:val="32"/>
        </w:rPr>
        <w:t>年省级财政城乡居民</w:t>
      </w:r>
      <w:r>
        <w:rPr>
          <w:rFonts w:ascii="仿宋_GB2312" w:eastAsia="仿宋_GB2312" w:cs="仿宋_GB2312" w:hAnsi="仿宋_GB2312"/>
          <w:color w:val="000000"/>
          <w:sz w:val="32"/>
          <w:szCs w:val="32"/>
        </w:rPr>
        <w:t>社会保险代办员</w:t>
      </w:r>
      <w:r>
        <w:rPr>
          <w:rFonts w:ascii="仿宋_GB2312" w:eastAsia="仿宋_GB2312" w:cs="仿宋_GB2312" w:hAnsi="仿宋_GB2312" w:hint="eastAsia"/>
          <w:color w:val="000000"/>
          <w:sz w:val="32"/>
          <w:szCs w:val="32"/>
        </w:rPr>
        <w:t>补助资金的通知</w:t>
      </w:r>
      <w:r>
        <w:rPr>
          <w:rFonts w:ascii="仿宋_GB2312" w:eastAsia="仿宋_GB2312" w:cs="仿宋_GB2312" w:hAnsi="仿宋_GB2312" w:hint="eastAsia"/>
          <w:color w:val="000000"/>
          <w:sz w:val="32"/>
          <w:szCs w:val="32"/>
          <w:lang w:eastAsia="zh-CN"/>
        </w:rPr>
        <w:t>》要求，我单位</w:t>
      </w:r>
      <w:r>
        <w:rPr>
          <w:rFonts w:ascii="仿宋_GB2312" w:eastAsia="仿宋_GB2312" w:cs="仿宋_GB2312" w:hAnsi="仿宋_GB2312"/>
          <w:color w:val="000000"/>
          <w:sz w:val="32"/>
          <w:szCs w:val="32"/>
          <w:lang w:eastAsia="zh-CN"/>
        </w:rPr>
        <w:t>2024年省级财政城乡社会保险代办员补助资金</w:t>
      </w:r>
      <w:r>
        <w:rPr>
          <w:rFonts w:ascii="仿宋" w:eastAsia="仿宋" w:cs="黑体" w:hAnsi="仿宋" w:hint="eastAsia"/>
          <w:color w:val="000000"/>
          <w:sz w:val="32"/>
          <w:szCs w:val="32"/>
          <w:lang w:val="en-US" w:eastAsia="zh-CN"/>
        </w:rPr>
        <w:t>1万元，</w:t>
      </w:r>
      <w:r>
        <w:rPr>
          <w:rFonts w:ascii="仿宋_GB2312" w:eastAsia="仿宋_GB2312" w:cs="仿宋_GB2312" w:hAnsi="仿宋_GB2312" w:hint="eastAsia"/>
          <w:color w:val="000000"/>
          <w:sz w:val="32"/>
          <w:szCs w:val="32"/>
        </w:rPr>
        <w:t>用于城乡居民医保村级代办员补助，促使医保村级代办员更好的完成城乡居民参保工作。</w:t>
      </w:r>
    </w:p>
    <w:p>
      <w:pPr>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绩效指标为4个，评价等级为</w:t>
      </w:r>
      <w:r>
        <w:rPr>
          <w:rFonts w:ascii="仿宋" w:eastAsia="仿宋" w:cs="仿宋" w:hAnsi="仿宋" w:hint="eastAsia"/>
          <w:color w:val="000000"/>
          <w:sz w:val="32"/>
          <w:szCs w:val="32"/>
          <w:lang w:eastAsia="zh-CN"/>
        </w:rPr>
        <w:t>优</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黑体" w:hAnsi="仿宋"/>
          <w:color w:val="000000"/>
          <w:sz w:val="32"/>
          <w:szCs w:val="32"/>
        </w:rPr>
      </w:pPr>
      <w:r>
        <w:rPr>
          <w:rFonts w:ascii="仿宋" w:eastAsia="仿宋" w:cs="仿宋" w:hAnsi="仿宋" w:hint="eastAsia"/>
          <w:color w:val="000000"/>
          <w:sz w:val="32"/>
          <w:szCs w:val="32"/>
        </w:rPr>
        <w:t>（</w:t>
      </w:r>
      <w:r>
        <w:rPr>
          <w:rFonts w:ascii="仿宋" w:eastAsia="仿宋" w:cs="仿宋" w:hAnsi="仿宋"/>
          <w:color w:val="000000"/>
          <w:sz w:val="32"/>
          <w:szCs w:val="32"/>
          <w:lang w:eastAsia="zh-CN"/>
        </w:rPr>
        <w:t>10</w:t>
      </w:r>
      <w:r>
        <w:rPr>
          <w:rFonts w:ascii="仿宋" w:eastAsia="仿宋" w:cs="仿宋" w:hAnsi="仿宋" w:hint="eastAsia"/>
          <w:color w:val="000000"/>
          <w:sz w:val="32"/>
          <w:szCs w:val="32"/>
        </w:rPr>
        <w:t>）</w:t>
      </w:r>
      <w:r>
        <w:rPr>
          <w:rFonts w:ascii="仿宋" w:eastAsia="仿宋" w:cs="仿宋" w:hAnsi="仿宋"/>
          <w:color w:val="000000"/>
          <w:sz w:val="32"/>
          <w:szCs w:val="32"/>
        </w:rPr>
        <w:t>城乡居民医疗保险区级补助</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该项目预算为</w:t>
      </w:r>
      <w:r>
        <w:rPr>
          <w:rFonts w:ascii="仿宋" w:eastAsia="仿宋" w:cs="仿宋" w:hAnsi="仿宋"/>
          <w:color w:val="000000"/>
          <w:sz w:val="32"/>
          <w:szCs w:val="32"/>
        </w:rPr>
        <w:t>696.8</w:t>
      </w:r>
      <w:r>
        <w:rPr>
          <w:rFonts w:ascii="仿宋" w:eastAsia="仿宋" w:cs="黑体" w:hAnsi="仿宋" w:hint="eastAsia"/>
          <w:color w:val="000000"/>
          <w:sz w:val="32"/>
          <w:szCs w:val="32"/>
        </w:rPr>
        <w:t>万</w:t>
      </w:r>
      <w:r>
        <w:rPr>
          <w:rFonts w:ascii="仿宋" w:eastAsia="仿宋" w:cs="仿宋" w:hAnsi="仿宋" w:hint="eastAsia"/>
          <w:color w:val="000000"/>
          <w:sz w:val="32"/>
          <w:szCs w:val="32"/>
        </w:rPr>
        <w:t>元，支出</w:t>
      </w:r>
      <w:r>
        <w:rPr>
          <w:rFonts w:ascii="仿宋" w:eastAsia="仿宋" w:cs="仿宋" w:hAnsi="仿宋"/>
          <w:color w:val="000000"/>
          <w:sz w:val="32"/>
          <w:szCs w:val="32"/>
        </w:rPr>
        <w:t>656.6268</w:t>
      </w:r>
      <w:r>
        <w:rPr>
          <w:rFonts w:ascii="仿宋" w:eastAsia="仿宋" w:cs="仿宋" w:hAnsi="仿宋" w:hint="eastAsia"/>
          <w:color w:val="000000"/>
          <w:sz w:val="32"/>
          <w:szCs w:val="32"/>
        </w:rPr>
        <w:t>万元，总体支出进度为94.23%。</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spacing w:line="560" w:lineRule="exact"/>
        <w:ind w:firstLineChars="200" w:firstLine="640"/>
        <w:jc w:val="left"/>
        <w:rPr>
          <w:rFonts w:ascii="仿宋_GB2312" w:eastAsia="仿宋_GB2312" w:cs="仿宋_GB2312" w:hAnsi="仿宋_GB2312"/>
          <w:color w:val="000000"/>
          <w:sz w:val="32"/>
          <w:szCs w:val="32"/>
        </w:rPr>
      </w:pPr>
      <w:r>
        <w:rPr>
          <w:rFonts w:ascii="仿宋_GB2312" w:eastAsia="仿宋_GB2312" w:cs="黑体" w:hAnsi="仿宋" w:hint="eastAsia"/>
          <w:color w:val="000000"/>
          <w:sz w:val="32"/>
          <w:szCs w:val="32"/>
        </w:rPr>
        <w:t>用于</w:t>
      </w:r>
      <w:r>
        <w:rPr>
          <w:rFonts w:ascii="仿宋_GB2312" w:eastAsia="仿宋_GB2312" w:cs="仿宋_GB2312" w:hAnsi="仿宋_GB2312" w:hint="eastAsia"/>
          <w:color w:val="000000"/>
          <w:sz w:val="32"/>
          <w:szCs w:val="32"/>
        </w:rPr>
        <w:t>对城乡居民医疗保险区级补助，减轻参保人员的经济负担，提升城乡居民的参保率，</w:t>
      </w:r>
      <w:r>
        <w:rPr>
          <w:rFonts w:ascii="仿宋" w:eastAsia="仿宋" w:cs="黑体" w:hAnsi="仿宋" w:hint="eastAsia"/>
          <w:color w:val="000000"/>
          <w:sz w:val="32"/>
          <w:szCs w:val="32"/>
        </w:rPr>
        <w:t>保障医保工作顺利开展</w:t>
      </w:r>
      <w:r>
        <w:rPr>
          <w:rFonts w:ascii="仿宋_GB2312" w:eastAsia="仿宋_GB2312" w:cs="仿宋_GB2312" w:hAnsi="仿宋_GB2312" w:hint="eastAsia"/>
          <w:color w:val="000000"/>
          <w:sz w:val="32"/>
          <w:szCs w:val="32"/>
        </w:rPr>
        <w:t>。</w:t>
      </w:r>
    </w:p>
    <w:p>
      <w:pPr>
        <w:spacing w:line="560" w:lineRule="exact"/>
        <w:ind w:firstLineChars="200" w:firstLine="640"/>
        <w:rPr>
          <w:rFonts w:ascii="仿宋" w:eastAsia="仿宋" w:cs="仿宋" w:hAnsi="仿宋" w:hint="eastAsia"/>
          <w:color w:val="000000"/>
          <w:sz w:val="32"/>
          <w:szCs w:val="32"/>
        </w:rPr>
      </w:pPr>
      <w:r>
        <w:rPr>
          <w:rFonts w:ascii="仿宋" w:eastAsia="仿宋" w:cs="仿宋" w:hAnsi="仿宋" w:hint="eastAsia"/>
          <w:color w:val="000000"/>
          <w:sz w:val="32"/>
          <w:szCs w:val="32"/>
        </w:rPr>
        <w:t>绩效指标为4个，评价等级为优。</w:t>
      </w:r>
    </w:p>
    <w:p>
      <w:pPr>
        <w:adjustRightInd w:val="0"/>
        <w:snapToGrid w:val="0"/>
        <w:spacing w:line="560" w:lineRule="exact"/>
        <w:ind w:firstLineChars="100" w:firstLine="320"/>
        <w:rPr>
          <w:rFonts w:ascii="仿宋" w:eastAsia="仿宋" w:cs="仿宋" w:hAnsi="仿宋"/>
          <w:color w:val="000000"/>
          <w:sz w:val="32"/>
          <w:szCs w:val="32"/>
        </w:rPr>
      </w:pPr>
      <w:r>
        <w:rPr>
          <w:rFonts w:ascii="仿宋" w:eastAsia="仿宋" w:cs="仿宋" w:hAnsi="仿宋" w:hint="eastAsia"/>
          <w:color w:val="000000"/>
          <w:sz w:val="32"/>
          <w:szCs w:val="32"/>
        </w:rPr>
        <w:t>（</w:t>
      </w:r>
      <w:r>
        <w:rPr>
          <w:rFonts w:ascii="仿宋" w:eastAsia="仿宋" w:cs="仿宋" w:hAnsi="仿宋"/>
          <w:color w:val="000000"/>
          <w:sz w:val="32"/>
          <w:szCs w:val="32"/>
        </w:rPr>
        <w:t>11</w:t>
      </w:r>
      <w:r>
        <w:rPr>
          <w:rFonts w:ascii="仿宋" w:eastAsia="仿宋" w:cs="仿宋" w:hAnsi="仿宋" w:hint="eastAsia"/>
          <w:color w:val="000000"/>
          <w:sz w:val="32"/>
          <w:szCs w:val="32"/>
        </w:rPr>
        <w:t>）</w:t>
      </w:r>
      <w:r>
        <w:rPr>
          <w:rFonts w:ascii="仿宋" w:eastAsia="仿宋" w:cs="仿宋" w:hAnsi="仿宋"/>
          <w:color w:val="000000"/>
          <w:sz w:val="32"/>
          <w:szCs w:val="32"/>
        </w:rPr>
        <w:t>城乡居民医疗救助区级补助项目</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该项目预算为</w:t>
      </w:r>
      <w:r>
        <w:rPr>
          <w:rFonts w:ascii="仿宋" w:eastAsia="仿宋" w:cs="仿宋" w:hAnsi="仿宋"/>
          <w:color w:val="000000"/>
          <w:sz w:val="32"/>
          <w:szCs w:val="32"/>
        </w:rPr>
        <w:t>6.857201</w:t>
      </w:r>
      <w:r>
        <w:rPr>
          <w:rFonts w:ascii="仿宋" w:eastAsia="仿宋" w:cs="仿宋" w:hAnsi="仿宋" w:hint="eastAsia"/>
          <w:color w:val="000000"/>
          <w:sz w:val="32"/>
          <w:szCs w:val="32"/>
        </w:rPr>
        <w:t>万元，支出</w:t>
      </w:r>
      <w:r>
        <w:rPr>
          <w:rFonts w:ascii="仿宋" w:eastAsia="仿宋" w:cs="仿宋" w:hAnsi="仿宋"/>
          <w:color w:val="000000"/>
          <w:sz w:val="32"/>
          <w:szCs w:val="32"/>
        </w:rPr>
        <w:t>6.857201</w:t>
      </w:r>
      <w:r>
        <w:rPr>
          <w:rFonts w:ascii="仿宋" w:eastAsia="仿宋" w:cs="仿宋" w:hAnsi="仿宋" w:hint="eastAsia"/>
          <w:color w:val="000000"/>
          <w:sz w:val="32"/>
          <w:szCs w:val="32"/>
        </w:rPr>
        <w:t>万元，总体支出进度为100%。</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spacing w:line="560" w:lineRule="exact"/>
        <w:ind w:firstLineChars="200" w:firstLine="640"/>
        <w:rPr>
          <w:rFonts w:ascii="仿宋_GB2312" w:eastAsia="仿宋_GB2312" w:cs="仿宋_GB2312" w:hAnsi="仿宋_GB2312"/>
          <w:sz w:val="32"/>
          <w:szCs w:val="32"/>
        </w:rPr>
      </w:pPr>
      <w:r>
        <w:rPr>
          <w:rFonts w:ascii="仿宋_GB2312" w:eastAsia="仿宋_GB2312" w:cs="Times New Roman" w:hAnsi="宋体" w:hint="eastAsia"/>
          <w:bCs/>
          <w:sz w:val="32"/>
          <w:szCs w:val="32"/>
        </w:rPr>
        <w:t>为了推动全市医保重点工作的有序进行</w:t>
      </w:r>
      <w:r>
        <w:rPr>
          <w:rFonts w:ascii="仿宋_GB2312" w:eastAsia="仿宋_GB2312" w:cs="仿宋_GB2312" w:hAnsi="仿宋_GB2312" w:hint="eastAsia"/>
          <w:sz w:val="32"/>
          <w:szCs w:val="32"/>
        </w:rPr>
        <w:t>，我单位</w:t>
      </w:r>
      <w:r>
        <w:rPr>
          <w:rFonts w:ascii="仿宋" w:eastAsia="仿宋" w:cs="仿宋" w:hAnsi="仿宋"/>
          <w:color w:val="000000"/>
          <w:sz w:val="32"/>
          <w:szCs w:val="32"/>
        </w:rPr>
        <w:t>城乡居民医疗救助区级补助项目6.857201</w:t>
      </w:r>
      <w:r>
        <w:rPr>
          <w:rFonts w:ascii="仿宋" w:eastAsia="仿宋" w:cs="仿宋" w:hAnsi="仿宋" w:hint="eastAsia"/>
          <w:color w:val="000000"/>
          <w:sz w:val="32"/>
          <w:szCs w:val="32"/>
        </w:rPr>
        <w:t>万元</w:t>
      </w:r>
      <w:r>
        <w:rPr>
          <w:rFonts w:ascii="仿宋_GB2312" w:eastAsia="仿宋_GB2312" w:cs="仿宋_GB2312" w:hAnsi="仿宋_GB2312" w:hint="eastAsia"/>
          <w:sz w:val="32"/>
          <w:szCs w:val="32"/>
        </w:rPr>
        <w:t>，用于资助符合条件的贫困人口参加城乡居民医疗保险以及城乡困难群众医疗救助、重特大疾病医疗救助等方面的支出。</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绩效指标为4个，评价等级为优。</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w:t>
      </w:r>
      <w:r>
        <w:rPr>
          <w:rFonts w:ascii="仿宋" w:eastAsia="仿宋" w:cs="仿宋" w:hAnsi="仿宋"/>
          <w:color w:val="000000"/>
          <w:sz w:val="32"/>
          <w:szCs w:val="32"/>
          <w:lang w:val="en-US" w:eastAsia="zh-CN"/>
        </w:rPr>
        <w:t>12</w:t>
      </w:r>
      <w:r>
        <w:rPr>
          <w:rFonts w:ascii="仿宋" w:eastAsia="仿宋" w:cs="仿宋" w:hAnsi="仿宋" w:hint="eastAsia"/>
          <w:color w:val="000000"/>
          <w:sz w:val="32"/>
          <w:szCs w:val="32"/>
        </w:rPr>
        <w:t>）</w:t>
      </w:r>
      <w:r>
        <w:rPr>
          <w:rFonts w:ascii="仿宋" w:eastAsia="仿宋" w:cs="仿宋" w:hAnsi="仿宋"/>
          <w:color w:val="000000"/>
          <w:sz w:val="32"/>
          <w:szCs w:val="32"/>
        </w:rPr>
        <w:t>检查定点工作经费项目</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该项目预算为</w:t>
      </w:r>
      <w:r>
        <w:rPr>
          <w:rFonts w:ascii="仿宋" w:eastAsia="仿宋" w:cs="仿宋" w:hAnsi="仿宋"/>
          <w:color w:val="000000"/>
          <w:sz w:val="32"/>
          <w:szCs w:val="32"/>
        </w:rPr>
        <w:t>1</w:t>
      </w:r>
      <w:r>
        <w:rPr>
          <w:rFonts w:ascii="仿宋" w:eastAsia="仿宋" w:cs="仿宋" w:hAnsi="仿宋" w:hint="eastAsia"/>
          <w:color w:val="000000"/>
          <w:sz w:val="32"/>
          <w:szCs w:val="32"/>
        </w:rPr>
        <w:t>万元，支出</w:t>
      </w:r>
      <w:r>
        <w:rPr>
          <w:rFonts w:ascii="仿宋" w:eastAsia="仿宋" w:cs="仿宋" w:hAnsi="仿宋"/>
          <w:color w:val="000000"/>
          <w:sz w:val="32"/>
          <w:szCs w:val="32"/>
          <w:lang w:val="en-US" w:eastAsia="zh-CN"/>
        </w:rPr>
        <w:t>1</w:t>
      </w:r>
      <w:r>
        <w:rPr>
          <w:rFonts w:ascii="仿宋" w:eastAsia="仿宋" w:cs="仿宋" w:hAnsi="仿宋" w:hint="eastAsia"/>
          <w:color w:val="000000"/>
          <w:sz w:val="32"/>
          <w:szCs w:val="32"/>
        </w:rPr>
        <w:t>万元，总体支出进度为</w:t>
      </w:r>
      <w:r>
        <w:rPr>
          <w:rFonts w:ascii="仿宋" w:eastAsia="仿宋" w:cs="仿宋" w:hAnsi="仿宋"/>
          <w:color w:val="000000"/>
          <w:sz w:val="32"/>
          <w:szCs w:val="32"/>
          <w:lang w:val="en-US" w:eastAsia="zh-CN"/>
        </w:rPr>
        <w:t>0</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adjustRightInd w:val="0"/>
        <w:snapToGrid w:val="0"/>
        <w:spacing w:line="560" w:lineRule="exact"/>
        <w:ind w:left="0" w:firstLineChars="200" w:firstLine="640"/>
        <w:rPr>
          <w:rFonts w:ascii="仿宋" w:eastAsia="仿宋" w:cs="黑体" w:hAnsi="仿宋"/>
          <w:color w:val="000000"/>
          <w:sz w:val="32"/>
          <w:szCs w:val="32"/>
        </w:rPr>
      </w:pPr>
      <w:r>
        <w:rPr>
          <w:rFonts w:ascii="仿宋_GB2312" w:eastAsia="仿宋_GB2312" w:cs="Times New Roman" w:hAnsi="宋体" w:hint="eastAsia"/>
          <w:bCs/>
          <w:color w:val="000000"/>
          <w:sz w:val="32"/>
          <w:szCs w:val="32"/>
        </w:rPr>
        <w:t>为了推动单位工作的有序进行，根据区财政局</w:t>
      </w:r>
      <w:r>
        <w:rPr>
          <w:rFonts w:ascii="仿宋_GB2312" w:eastAsia="仿宋_GB2312" w:cs="仿宋_GB2312" w:hAnsi="仿宋_GB2312" w:hint="eastAsia"/>
          <w:color w:val="000000"/>
          <w:sz w:val="32"/>
          <w:szCs w:val="32"/>
        </w:rPr>
        <w:t>有关要求，</w:t>
      </w:r>
      <w:r>
        <w:rPr>
          <w:rFonts w:ascii="仿宋" w:eastAsia="仿宋" w:cs="仿宋" w:hAnsi="仿宋"/>
          <w:color w:val="000000"/>
          <w:sz w:val="32"/>
          <w:szCs w:val="32"/>
        </w:rPr>
        <w:t>检查定点工作经费项目</w:t>
      </w:r>
      <w:r>
        <w:rPr>
          <w:rFonts w:ascii="仿宋" w:eastAsia="仿宋" w:cs="黑体" w:hAnsi="仿宋"/>
          <w:color w:val="000000"/>
          <w:sz w:val="32"/>
          <w:szCs w:val="32"/>
          <w:lang w:val="en-US" w:eastAsia="zh-CN"/>
        </w:rPr>
        <w:t>1</w:t>
      </w:r>
      <w:r>
        <w:rPr>
          <w:rFonts w:ascii="仿宋" w:eastAsia="仿宋" w:cs="黑体" w:hAnsi="仿宋" w:hint="eastAsia"/>
          <w:color w:val="000000"/>
          <w:sz w:val="32"/>
          <w:szCs w:val="32"/>
          <w:lang w:val="en-US" w:eastAsia="zh-CN"/>
        </w:rPr>
        <w:t>万元，</w:t>
      </w:r>
      <w:r>
        <w:rPr>
          <w:rFonts w:ascii="仿宋" w:eastAsia="仿宋" w:cs="黑体" w:hAnsi="仿宋" w:hint="eastAsia"/>
          <w:color w:val="000000"/>
          <w:sz w:val="32"/>
          <w:szCs w:val="32"/>
        </w:rPr>
        <w:t>用于</w:t>
      </w:r>
      <w:r>
        <w:rPr>
          <w:rFonts w:ascii="仿宋" w:eastAsia="仿宋" w:cs="黑体" w:hAnsi="仿宋"/>
          <w:color w:val="000000"/>
          <w:sz w:val="32"/>
          <w:szCs w:val="32"/>
        </w:rPr>
        <w:t>检查定点医疗机构，更好的维护医保基金，</w:t>
      </w:r>
      <w:r>
        <w:rPr>
          <w:rFonts w:ascii="仿宋" w:eastAsia="仿宋" w:cs="黑体" w:hAnsi="仿宋" w:hint="eastAsia"/>
          <w:color w:val="000000"/>
          <w:sz w:val="32"/>
          <w:szCs w:val="32"/>
        </w:rPr>
        <w:t>保障医保工作顺利开展。</w:t>
      </w:r>
    </w:p>
    <w:p>
      <w:pPr>
        <w:pStyle w:val="15"/>
        <w:ind w:firstLineChars="200" w:firstLine="640"/>
        <w:rPr>
          <w:rFonts w:ascii="仿宋" w:eastAsia="仿宋" w:cs="仿宋" w:hAnsi="仿宋"/>
          <w:sz w:val="32"/>
          <w:szCs w:val="32"/>
        </w:rPr>
      </w:pPr>
      <w:r>
        <w:rPr>
          <w:rFonts w:ascii="仿宋" w:eastAsia="仿宋" w:cs="仿宋" w:hAnsi="仿宋" w:hint="eastAsia"/>
          <w:sz w:val="32"/>
          <w:szCs w:val="32"/>
        </w:rPr>
        <w:t>绩效指标为4个，评价等级为优</w:t>
      </w:r>
      <w:r>
        <w:rPr>
          <w:rFonts w:ascii="仿宋" w:eastAsia="仿宋" w:cs="仿宋" w:hAnsi="仿宋"/>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w:t>
      </w:r>
      <w:r>
        <w:rPr>
          <w:rFonts w:ascii="仿宋" w:eastAsia="仿宋" w:cs="仿宋" w:hAnsi="仿宋"/>
          <w:color w:val="000000"/>
          <w:sz w:val="32"/>
          <w:szCs w:val="32"/>
          <w:lang w:val="en-US" w:eastAsia="zh-CN"/>
        </w:rPr>
        <w:t>13</w:t>
      </w:r>
      <w:r>
        <w:rPr>
          <w:rFonts w:ascii="仿宋" w:eastAsia="仿宋" w:cs="仿宋" w:hAnsi="仿宋" w:hint="eastAsia"/>
          <w:color w:val="000000"/>
          <w:sz w:val="32"/>
          <w:szCs w:val="32"/>
        </w:rPr>
        <w:t>）</w:t>
      </w:r>
      <w:r>
        <w:rPr>
          <w:rFonts w:ascii="仿宋" w:eastAsia="仿宋" w:cs="黑体" w:hAnsi="仿宋" w:hint="eastAsia"/>
          <w:color w:val="000000"/>
          <w:sz w:val="32"/>
          <w:szCs w:val="32"/>
        </w:rPr>
        <w:t>劳务派遣经费</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该项目预算为23.52万元，支出</w:t>
      </w:r>
      <w:r>
        <w:rPr>
          <w:rFonts w:ascii="仿宋" w:eastAsia="仿宋" w:cs="仿宋" w:hAnsi="仿宋"/>
          <w:color w:val="000000"/>
          <w:sz w:val="32"/>
          <w:szCs w:val="32"/>
        </w:rPr>
        <w:t>19.571377</w:t>
      </w:r>
      <w:r>
        <w:rPr>
          <w:rFonts w:ascii="仿宋" w:eastAsia="仿宋" w:cs="仿宋" w:hAnsi="仿宋" w:hint="eastAsia"/>
          <w:color w:val="000000"/>
          <w:sz w:val="32"/>
          <w:szCs w:val="32"/>
        </w:rPr>
        <w:t>万元，总体支出进度为</w:t>
      </w:r>
      <w:r>
        <w:rPr>
          <w:rFonts w:ascii="仿宋" w:eastAsia="仿宋" w:cs="仿宋" w:hAnsi="仿宋"/>
          <w:color w:val="000000"/>
          <w:sz w:val="32"/>
          <w:szCs w:val="32"/>
          <w:lang w:val="en-US" w:eastAsia="zh-CN"/>
        </w:rPr>
        <w:t>83.21</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spacing w:line="560" w:lineRule="exact"/>
        <w:ind w:firstLineChars="200" w:firstLine="640"/>
        <w:rPr>
          <w:rFonts w:ascii="仿宋" w:eastAsia="仿宋" w:cs="黑体" w:hAnsi="仿宋"/>
          <w:b/>
          <w:bCs/>
          <w:color w:val="000000"/>
          <w:sz w:val="32"/>
          <w:szCs w:val="32"/>
        </w:rPr>
      </w:pPr>
      <w:r>
        <w:rPr>
          <w:rFonts w:ascii="仿宋" w:eastAsia="仿宋" w:cs="黑体" w:hAnsi="仿宋" w:hint="eastAsia"/>
          <w:color w:val="000000"/>
          <w:sz w:val="32"/>
          <w:szCs w:val="32"/>
        </w:rPr>
        <w:t>劳务派遣人员</w:t>
      </w:r>
      <w:r>
        <w:rPr>
          <w:rFonts w:ascii="仿宋" w:eastAsia="仿宋" w:cs="黑体" w:hAnsi="仿宋" w:hint="eastAsia"/>
          <w:color w:val="000000"/>
          <w:sz w:val="32"/>
          <w:szCs w:val="32"/>
          <w:lang w:eastAsia="zh-CN"/>
        </w:rPr>
        <w:t>用于</w:t>
      </w:r>
      <w:r>
        <w:rPr>
          <w:rFonts w:ascii="仿宋" w:eastAsia="仿宋" w:cs="黑体" w:hAnsi="仿宋" w:hint="eastAsia"/>
          <w:color w:val="000000"/>
          <w:sz w:val="32"/>
          <w:szCs w:val="32"/>
        </w:rPr>
        <w:t>弥补中心工作人员严重不足的情况，为顺利完成医保工作提供了有利保障。</w:t>
      </w:r>
    </w:p>
    <w:p>
      <w:pPr>
        <w:pStyle w:val="16"/>
        <w:ind w:firstLineChars="200" w:firstLine="640"/>
        <w:jc w:val="both"/>
        <w:rPr>
          <w:rFonts w:ascii="仿宋" w:eastAsia="仿宋" w:cs="黑体" w:hAnsi="仿宋"/>
          <w:b w:val="0"/>
          <w:color w:val="000000"/>
          <w:kern w:val="2"/>
          <w:sz w:val="32"/>
          <w:szCs w:val="32"/>
        </w:rPr>
      </w:pPr>
      <w:r>
        <w:rPr>
          <w:rFonts w:ascii="仿宋" w:eastAsia="仿宋" w:cs="黑体" w:hAnsi="仿宋" w:hint="eastAsia"/>
          <w:b w:val="0"/>
          <w:color w:val="000000"/>
          <w:kern w:val="2"/>
          <w:sz w:val="32"/>
          <w:szCs w:val="32"/>
        </w:rPr>
        <w:t>绩效指标为4个，评价等级为优。</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w:t>
      </w:r>
      <w:r>
        <w:rPr>
          <w:rFonts w:ascii="仿宋" w:eastAsia="仿宋" w:cs="仿宋" w:hAnsi="仿宋"/>
          <w:color w:val="000000"/>
          <w:sz w:val="32"/>
          <w:szCs w:val="32"/>
          <w:lang w:eastAsia="zh-CN"/>
        </w:rPr>
        <w:t>14</w:t>
      </w:r>
      <w:r>
        <w:rPr>
          <w:rFonts w:ascii="仿宋" w:eastAsia="仿宋" w:cs="仿宋" w:hAnsi="仿宋" w:hint="eastAsia"/>
          <w:color w:val="000000"/>
          <w:sz w:val="32"/>
          <w:szCs w:val="32"/>
        </w:rPr>
        <w:t>）</w:t>
      </w:r>
      <w:r>
        <w:rPr>
          <w:rFonts w:ascii="仿宋" w:eastAsia="仿宋" w:cs="黑体" w:hAnsi="仿宋" w:hint="eastAsia"/>
          <w:color w:val="000000"/>
          <w:sz w:val="32"/>
          <w:szCs w:val="32"/>
        </w:rPr>
        <w:t>离休人员医疗费</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该项目预算为</w:t>
      </w:r>
      <w:r>
        <w:rPr>
          <w:rFonts w:ascii="仿宋" w:eastAsia="仿宋" w:cs="仿宋" w:hAnsi="仿宋"/>
          <w:color w:val="000000"/>
          <w:sz w:val="32"/>
          <w:szCs w:val="32"/>
        </w:rPr>
        <w:t>10</w:t>
      </w:r>
      <w:r>
        <w:rPr>
          <w:rFonts w:ascii="仿宋" w:eastAsia="仿宋" w:cs="仿宋" w:hAnsi="仿宋" w:hint="eastAsia"/>
          <w:color w:val="000000"/>
          <w:sz w:val="32"/>
          <w:szCs w:val="32"/>
        </w:rPr>
        <w:t>万元，支出</w:t>
      </w:r>
      <w:r>
        <w:rPr>
          <w:rFonts w:ascii="仿宋" w:eastAsia="仿宋" w:cs="仿宋" w:hAnsi="仿宋"/>
          <w:color w:val="000000"/>
          <w:sz w:val="32"/>
          <w:szCs w:val="32"/>
        </w:rPr>
        <w:t>8.80768</w:t>
      </w:r>
      <w:r>
        <w:rPr>
          <w:rFonts w:ascii="仿宋" w:eastAsia="仿宋" w:cs="仿宋" w:hAnsi="仿宋" w:hint="eastAsia"/>
          <w:color w:val="000000"/>
          <w:sz w:val="32"/>
          <w:szCs w:val="32"/>
        </w:rPr>
        <w:t>万元，总体支出进度为</w:t>
      </w:r>
      <w:r>
        <w:rPr>
          <w:rFonts w:ascii="仿宋" w:eastAsia="仿宋" w:hAnsi="仿宋"/>
          <w:color w:val="000000"/>
          <w:sz w:val="32"/>
          <w:szCs w:val="32"/>
          <w:lang w:val="en-US" w:eastAsia="zh-CN"/>
        </w:rPr>
        <w:t>88.08</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spacing w:line="560" w:lineRule="exact"/>
        <w:ind w:firstLineChars="200" w:firstLine="640"/>
        <w:rPr>
          <w:rFonts w:ascii="仿宋" w:eastAsia="仿宋" w:cs="黑体" w:hAnsi="仿宋"/>
          <w:color w:val="000000"/>
          <w:sz w:val="32"/>
          <w:szCs w:val="32"/>
        </w:rPr>
      </w:pPr>
      <w:r>
        <w:rPr>
          <w:rFonts w:ascii="仿宋_GB2312" w:eastAsia="仿宋_GB2312" w:cs="Times New Roman" w:hAnsi="宋体" w:hint="eastAsia"/>
          <w:bCs/>
          <w:color w:val="000000"/>
          <w:sz w:val="32"/>
          <w:szCs w:val="32"/>
        </w:rPr>
        <w:t>为了推动单位工作的有序进行，根据区财政局</w:t>
      </w:r>
      <w:r>
        <w:rPr>
          <w:rFonts w:ascii="仿宋_GB2312" w:eastAsia="仿宋_GB2312" w:cs="仿宋_GB2312" w:hAnsi="仿宋_GB2312" w:hint="eastAsia"/>
          <w:color w:val="000000"/>
          <w:sz w:val="32"/>
          <w:szCs w:val="32"/>
        </w:rPr>
        <w:t>有关要求，</w:t>
      </w:r>
      <w:r>
        <w:rPr>
          <w:rFonts w:ascii="仿宋_GB2312" w:eastAsia="仿宋_GB2312" w:cs="仿宋_GB2312" w:hAnsi="仿宋_GB2312" w:hint="eastAsia"/>
          <w:color w:val="000000"/>
          <w:sz w:val="32"/>
          <w:szCs w:val="32"/>
          <w:lang w:eastAsia="zh-CN"/>
        </w:rPr>
        <w:t>离休人员医疗费</w:t>
      </w:r>
      <w:r>
        <w:rPr>
          <w:rFonts w:ascii="仿宋_GB2312" w:eastAsia="仿宋_GB2312" w:cs="仿宋_GB2312" w:hAnsi="仿宋_GB2312"/>
          <w:color w:val="000000"/>
          <w:sz w:val="32"/>
          <w:szCs w:val="32"/>
          <w:lang w:val="en-US" w:eastAsia="zh-CN"/>
        </w:rPr>
        <w:t>10</w:t>
      </w:r>
      <w:r>
        <w:rPr>
          <w:rFonts w:ascii="仿宋_GB2312" w:eastAsia="仿宋_GB2312" w:cs="仿宋_GB2312" w:hAnsi="仿宋_GB2312" w:hint="eastAsia"/>
          <w:color w:val="000000"/>
          <w:sz w:val="32"/>
          <w:szCs w:val="32"/>
          <w:lang w:val="en-US" w:eastAsia="zh-CN"/>
        </w:rPr>
        <w:t>万元，</w:t>
      </w:r>
      <w:r>
        <w:rPr>
          <w:rFonts w:ascii="仿宋_GB2312" w:eastAsia="仿宋_GB2312" w:cs="仿宋_GB2312" w:hAnsi="仿宋_GB2312" w:hint="eastAsia"/>
          <w:color w:val="000000"/>
          <w:sz w:val="32"/>
          <w:szCs w:val="32"/>
          <w:lang w:eastAsia="zh-CN"/>
        </w:rPr>
        <w:t>用于</w:t>
      </w:r>
      <w:r>
        <w:rPr>
          <w:rFonts w:ascii="仿宋_GB2312" w:eastAsia="仿宋_GB2312" w:cs="仿宋_GB2312" w:hAnsi="仿宋_GB2312" w:hint="eastAsia"/>
          <w:color w:val="000000"/>
          <w:sz w:val="32"/>
          <w:szCs w:val="32"/>
        </w:rPr>
        <w:t>全区离休人员医疗费的收取、审核、发放及离休人员医疗费下年度测算工作。</w:t>
      </w:r>
    </w:p>
    <w:p>
      <w:pPr>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绩效指标为4个，评价等级为优。</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w:t>
      </w:r>
      <w:r>
        <w:rPr>
          <w:rFonts w:ascii="仿宋" w:eastAsia="仿宋" w:cs="仿宋" w:hAnsi="仿宋"/>
          <w:color w:val="000000"/>
          <w:sz w:val="32"/>
          <w:szCs w:val="32"/>
          <w:lang w:val="en-US" w:eastAsia="zh-CN"/>
        </w:rPr>
        <w:t>15</w:t>
      </w:r>
      <w:r>
        <w:rPr>
          <w:rFonts w:ascii="仿宋" w:eastAsia="仿宋" w:cs="仿宋" w:hAnsi="仿宋" w:hint="eastAsia"/>
          <w:color w:val="000000"/>
          <w:sz w:val="32"/>
          <w:szCs w:val="32"/>
        </w:rPr>
        <w:t>）</w:t>
      </w:r>
      <w:r>
        <w:rPr>
          <w:rFonts w:ascii="仿宋" w:eastAsia="仿宋" w:cs="黑体" w:hAnsi="仿宋" w:hint="eastAsia"/>
          <w:color w:val="000000"/>
          <w:sz w:val="32"/>
          <w:szCs w:val="32"/>
        </w:rPr>
        <w:t>软件运行维修维护费</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该项目预算为1.5万元，支出</w:t>
      </w:r>
      <w:r>
        <w:rPr>
          <w:rFonts w:ascii="仿宋" w:eastAsia="仿宋" w:cs="仿宋" w:hAnsi="仿宋" w:hint="eastAsia"/>
          <w:color w:val="000000"/>
          <w:sz w:val="32"/>
          <w:szCs w:val="32"/>
          <w:lang w:val="en-US" w:eastAsia="zh-CN"/>
        </w:rPr>
        <w:t>0.24</w:t>
      </w:r>
      <w:r>
        <w:rPr>
          <w:rFonts w:ascii="仿宋" w:eastAsia="仿宋" w:cs="仿宋" w:hAnsi="仿宋" w:hint="eastAsia"/>
          <w:color w:val="000000"/>
          <w:sz w:val="32"/>
          <w:szCs w:val="32"/>
        </w:rPr>
        <w:t>万元，总体支出进度为</w:t>
      </w:r>
      <w:r>
        <w:rPr>
          <w:rFonts w:ascii="仿宋" w:eastAsia="仿宋" w:cs="仿宋" w:hAnsi="仿宋" w:hint="eastAsia"/>
          <w:color w:val="000000"/>
          <w:sz w:val="32"/>
          <w:szCs w:val="32"/>
          <w:lang w:val="en-US" w:eastAsia="zh-CN"/>
        </w:rPr>
        <w:t>16</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adjustRightInd w:val="0"/>
        <w:snapToGrid w:val="0"/>
        <w:spacing w:line="560" w:lineRule="exact"/>
        <w:ind w:left="0" w:firstLineChars="200" w:firstLine="640"/>
        <w:rPr>
          <w:rFonts w:ascii="仿宋" w:eastAsia="仿宋" w:cs="黑体" w:hAnsi="仿宋"/>
          <w:color w:val="000000"/>
          <w:sz w:val="32"/>
          <w:szCs w:val="32"/>
        </w:rPr>
      </w:pPr>
      <w:r>
        <w:rPr>
          <w:rFonts w:ascii="仿宋_GB2312" w:eastAsia="仿宋_GB2312" w:cs="Times New Roman" w:hAnsi="宋体" w:hint="eastAsia"/>
          <w:bCs/>
          <w:color w:val="000000"/>
          <w:sz w:val="32"/>
          <w:szCs w:val="32"/>
        </w:rPr>
        <w:t>为了推动单位工作的有序进行，根据区财政局</w:t>
      </w:r>
      <w:r>
        <w:rPr>
          <w:rFonts w:ascii="仿宋_GB2312" w:eastAsia="仿宋_GB2312" w:cs="仿宋_GB2312" w:hAnsi="仿宋_GB2312" w:hint="eastAsia"/>
          <w:color w:val="000000"/>
          <w:sz w:val="32"/>
          <w:szCs w:val="32"/>
        </w:rPr>
        <w:t>有关要求，</w:t>
      </w:r>
      <w:r>
        <w:rPr>
          <w:rFonts w:ascii="仿宋" w:eastAsia="仿宋" w:cs="黑体" w:hAnsi="仿宋" w:hint="eastAsia"/>
          <w:color w:val="000000"/>
          <w:sz w:val="32"/>
          <w:szCs w:val="32"/>
        </w:rPr>
        <w:t>软件运行维修维护费项目</w:t>
      </w:r>
      <w:r>
        <w:rPr>
          <w:rFonts w:ascii="仿宋" w:eastAsia="仿宋" w:cs="黑体" w:hAnsi="仿宋" w:hint="eastAsia"/>
          <w:color w:val="000000"/>
          <w:sz w:val="32"/>
          <w:szCs w:val="32"/>
          <w:lang w:val="en-US" w:eastAsia="zh-CN"/>
        </w:rPr>
        <w:t>1.5万元，</w:t>
      </w:r>
      <w:r>
        <w:rPr>
          <w:rFonts w:ascii="仿宋" w:eastAsia="仿宋" w:cs="黑体" w:hAnsi="仿宋" w:hint="eastAsia"/>
          <w:color w:val="000000"/>
          <w:sz w:val="32"/>
          <w:szCs w:val="32"/>
        </w:rPr>
        <w:t>用于</w:t>
      </w:r>
      <w:r>
        <w:rPr>
          <w:rFonts w:ascii="仿宋" w:eastAsia="仿宋" w:cs="黑体" w:hAnsi="仿宋"/>
          <w:color w:val="000000"/>
          <w:sz w:val="32"/>
          <w:szCs w:val="32"/>
        </w:rPr>
        <w:t>医保专网网络费</w:t>
      </w:r>
      <w:r>
        <w:rPr>
          <w:rFonts w:ascii="仿宋_GB2312" w:eastAsia="仿宋_GB2312" w:cs="仿宋_GB2312" w:hAnsi="仿宋_GB2312" w:hint="eastAsia"/>
          <w:color w:val="000000"/>
          <w:sz w:val="32"/>
          <w:szCs w:val="32"/>
        </w:rPr>
        <w:t>，</w:t>
      </w:r>
      <w:r>
        <w:rPr>
          <w:rFonts w:ascii="仿宋_GB2312" w:eastAsia="仿宋_GB2312" w:cs="仿宋_GB2312" w:hAnsi="仿宋_GB2312"/>
          <w:color w:val="000000"/>
          <w:sz w:val="32"/>
          <w:szCs w:val="32"/>
        </w:rPr>
        <w:t>保证医疗保险业务的正常运行</w:t>
      </w:r>
      <w:r>
        <w:rPr>
          <w:rFonts w:ascii="仿宋" w:eastAsia="仿宋" w:cs="黑体" w:hAnsi="仿宋" w:hint="eastAsia"/>
          <w:color w:val="000000"/>
          <w:sz w:val="32"/>
          <w:szCs w:val="32"/>
        </w:rPr>
        <w:t>。</w:t>
      </w:r>
    </w:p>
    <w:p>
      <w:pPr>
        <w:pStyle w:val="15"/>
        <w:ind w:firstLineChars="200" w:firstLine="640"/>
        <w:rPr>
          <w:rFonts w:hint="eastAsia"/>
        </w:rPr>
      </w:pPr>
      <w:r>
        <w:rPr>
          <w:rFonts w:ascii="仿宋" w:eastAsia="仿宋" w:cs="仿宋" w:hAnsi="仿宋" w:hint="eastAsia"/>
          <w:color w:val="000000"/>
          <w:sz w:val="32"/>
          <w:szCs w:val="32"/>
        </w:rPr>
        <w:t>绩效指标为4个，评价等级为优。</w:t>
      </w:r>
    </w:p>
    <w:p>
      <w:pPr>
        <w:adjustRightInd w:val="0"/>
        <w:snapToGrid w:val="0"/>
        <w:spacing w:line="560" w:lineRule="exact"/>
        <w:ind w:left="0" w:firstLineChars="100" w:firstLine="320"/>
        <w:rPr>
          <w:rFonts w:ascii="仿宋" w:eastAsia="仿宋" w:cs="仿宋" w:hAnsi="仿宋"/>
          <w:color w:val="000000"/>
          <w:sz w:val="32"/>
          <w:szCs w:val="32"/>
        </w:rPr>
      </w:pPr>
      <w:r>
        <w:rPr>
          <w:rFonts w:ascii="仿宋" w:eastAsia="仿宋" w:cs="仿宋" w:hAnsi="仿宋" w:hint="eastAsia"/>
          <w:color w:val="000000"/>
          <w:sz w:val="32"/>
          <w:szCs w:val="32"/>
        </w:rPr>
        <w:t>（</w:t>
      </w:r>
      <w:r>
        <w:rPr>
          <w:rFonts w:ascii="仿宋" w:eastAsia="仿宋" w:cs="仿宋" w:hAnsi="仿宋"/>
          <w:color w:val="000000"/>
          <w:sz w:val="32"/>
          <w:szCs w:val="32"/>
          <w:lang w:val="en-US" w:eastAsia="zh-CN"/>
        </w:rPr>
        <w:t>16</w:t>
      </w:r>
      <w:r>
        <w:rPr>
          <w:rFonts w:ascii="仿宋" w:eastAsia="仿宋" w:cs="仿宋" w:hAnsi="仿宋" w:hint="eastAsia"/>
          <w:color w:val="000000"/>
          <w:sz w:val="32"/>
          <w:szCs w:val="32"/>
        </w:rPr>
        <w:t>）</w:t>
      </w:r>
      <w:r>
        <w:rPr>
          <w:rFonts w:ascii="仿宋" w:eastAsia="仿宋" w:cs="楷体_GB2312" w:hAnsi="仿宋"/>
          <w:color w:val="000000"/>
          <w:sz w:val="32"/>
          <w:szCs w:val="32"/>
        </w:rPr>
        <w:t>综合业务工作经费</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该项目预算为</w:t>
      </w:r>
      <w:r>
        <w:rPr>
          <w:rFonts w:ascii="仿宋" w:eastAsia="仿宋" w:cs="仿宋" w:hAnsi="仿宋" w:hint="eastAsia"/>
          <w:color w:val="000000"/>
          <w:sz w:val="32"/>
          <w:szCs w:val="32"/>
          <w:lang w:val="en-US" w:eastAsia="zh-CN"/>
        </w:rPr>
        <w:t>1</w:t>
      </w:r>
      <w:r>
        <w:rPr>
          <w:rFonts w:ascii="仿宋" w:eastAsia="仿宋" w:cs="仿宋" w:hAnsi="仿宋" w:hint="eastAsia"/>
          <w:color w:val="000000"/>
          <w:sz w:val="32"/>
          <w:szCs w:val="32"/>
        </w:rPr>
        <w:t>万元，支出</w:t>
      </w:r>
      <w:r>
        <w:rPr>
          <w:rFonts w:ascii="仿宋" w:eastAsia="仿宋" w:hAnsi="仿宋"/>
          <w:color w:val="000000"/>
          <w:sz w:val="32"/>
          <w:szCs w:val="32"/>
        </w:rPr>
        <w:t>0</w:t>
      </w:r>
      <w:r>
        <w:rPr>
          <w:rFonts w:ascii="仿宋" w:eastAsia="仿宋" w:hAnsi="仿宋" w:hint="eastAsia"/>
          <w:color w:val="000000"/>
          <w:sz w:val="32"/>
          <w:szCs w:val="32"/>
        </w:rPr>
        <w:t>万元</w:t>
      </w:r>
      <w:r>
        <w:rPr>
          <w:rFonts w:ascii="仿宋" w:eastAsia="仿宋" w:cs="仿宋" w:hAnsi="仿宋" w:hint="eastAsia"/>
          <w:color w:val="000000"/>
          <w:sz w:val="32"/>
          <w:szCs w:val="32"/>
        </w:rPr>
        <w:t>，总体支出进度为</w:t>
      </w:r>
      <w:r>
        <w:rPr>
          <w:rFonts w:ascii="仿宋" w:eastAsia="仿宋" w:hAnsi="仿宋"/>
          <w:color w:val="000000"/>
          <w:sz w:val="32"/>
          <w:szCs w:val="32"/>
          <w:lang w:val="en-US" w:eastAsia="zh-CN"/>
        </w:rPr>
        <w:t>0</w:t>
      </w:r>
      <w:r>
        <w:rPr>
          <w:rFonts w:ascii="仿宋" w:eastAsia="仿宋" w:hAnsi="仿宋" w:hint="eastAsia"/>
          <w:color w:val="000000"/>
          <w:sz w:val="32"/>
          <w:szCs w:val="32"/>
        </w:rPr>
        <w:t>%</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adjustRightInd w:val="0"/>
        <w:snapToGrid w:val="0"/>
        <w:spacing w:line="560" w:lineRule="exact"/>
        <w:ind w:left="0" w:firstLineChars="200" w:firstLine="640"/>
        <w:rPr>
          <w:rFonts w:ascii="仿宋" w:eastAsia="仿宋" w:cs="黑体" w:hAnsi="仿宋"/>
          <w:color w:val="000000"/>
          <w:sz w:val="32"/>
          <w:szCs w:val="32"/>
        </w:rPr>
      </w:pPr>
      <w:r>
        <w:rPr>
          <w:rFonts w:ascii="仿宋_GB2312" w:eastAsia="仿宋_GB2312" w:cs="Times New Roman" w:hAnsi="宋体" w:hint="eastAsia"/>
          <w:bCs/>
          <w:color w:val="000000"/>
          <w:sz w:val="32"/>
          <w:szCs w:val="32"/>
        </w:rPr>
        <w:t>为了推动单位工作的有序进行，根据区财政局</w:t>
      </w:r>
      <w:r>
        <w:rPr>
          <w:rFonts w:ascii="仿宋_GB2312" w:eastAsia="仿宋_GB2312" w:cs="仿宋_GB2312" w:hAnsi="仿宋_GB2312" w:hint="eastAsia"/>
          <w:color w:val="000000"/>
          <w:sz w:val="32"/>
          <w:szCs w:val="32"/>
        </w:rPr>
        <w:t>有关要求，</w:t>
      </w:r>
      <w:r>
        <w:rPr>
          <w:rFonts w:ascii="仿宋" w:eastAsia="仿宋" w:cs="楷体_GB2312" w:hAnsi="仿宋"/>
          <w:color w:val="000000"/>
          <w:sz w:val="32"/>
          <w:szCs w:val="32"/>
        </w:rPr>
        <w:t>综合业务工作经费</w:t>
      </w:r>
      <w:r>
        <w:rPr>
          <w:rFonts w:ascii="仿宋" w:eastAsia="仿宋" w:cs="楷体_GB2312" w:hAnsi="仿宋" w:hint="eastAsia"/>
          <w:color w:val="000000"/>
          <w:sz w:val="32"/>
          <w:szCs w:val="32"/>
          <w:lang w:val="en-US" w:eastAsia="zh-CN"/>
        </w:rPr>
        <w:t>1万元，</w:t>
      </w:r>
      <w:r>
        <w:rPr>
          <w:rFonts w:ascii="仿宋_GB2312" w:eastAsia="仿宋_GB2312" w:cs="仿宋_GB2312" w:hAnsi="仿宋_GB2312" w:hint="eastAsia"/>
          <w:color w:val="000000"/>
          <w:sz w:val="32"/>
          <w:szCs w:val="32"/>
        </w:rPr>
        <w:t>负责全区城镇职工和城乡居民基本医疗保险的正常运行，</w:t>
      </w:r>
      <w:r>
        <w:rPr>
          <w:rFonts w:ascii="仿宋" w:eastAsia="仿宋" w:cs="黑体" w:hAnsi="仿宋" w:hint="eastAsia"/>
          <w:color w:val="000000"/>
          <w:sz w:val="32"/>
          <w:szCs w:val="32"/>
        </w:rPr>
        <w:t>保障医保工作顺利开展。</w:t>
      </w:r>
    </w:p>
    <w:p>
      <w:pPr>
        <w:adjustRightInd w:val="0"/>
        <w:snapToGrid w:val="0"/>
        <w:spacing w:line="560" w:lineRule="exact"/>
        <w:rPr>
          <w:rFonts w:ascii="仿宋" w:eastAsia="仿宋" w:cs="仿宋" w:hAnsi="仿宋"/>
          <w:color w:val="000000"/>
          <w:sz w:val="32"/>
          <w:szCs w:val="32"/>
        </w:rPr>
      </w:pPr>
      <w:r>
        <w:rPr>
          <w:rFonts w:ascii="仿宋" w:eastAsia="仿宋" w:cs="仿宋" w:hAnsi="仿宋" w:hint="eastAsia"/>
          <w:color w:val="000000"/>
          <w:sz w:val="32"/>
          <w:szCs w:val="32"/>
        </w:rPr>
        <w:t>绩效指标为4个，评价等级为优。</w:t>
      </w:r>
    </w:p>
    <w:p>
      <w:pPr>
        <w:pStyle w:val="15"/>
        <w:spacing w:line="560" w:lineRule="exact"/>
        <w:ind w:left="0" w:firstLineChars="200" w:firstLine="640"/>
        <w:rPr>
          <w:rFonts w:eastAsia="仿宋" w:hint="eastAsia"/>
          <w:color w:val="000000"/>
          <w:lang w:eastAsia="zh-CN"/>
        </w:rPr>
      </w:pPr>
      <w:r>
        <w:rPr>
          <w:rFonts w:ascii="仿宋" w:eastAsia="仿宋" w:cs="仿宋" w:hAnsi="仿宋" w:hint="eastAsia"/>
          <w:color w:val="000000"/>
          <w:sz w:val="32"/>
          <w:szCs w:val="32"/>
          <w:lang w:eastAsia="zh-CN"/>
        </w:rPr>
        <w:t>（</w:t>
      </w:r>
      <w:r>
        <w:rPr>
          <w:rFonts w:ascii="仿宋" w:eastAsia="仿宋" w:cs="仿宋" w:hAnsi="仿宋"/>
          <w:color w:val="000000"/>
          <w:sz w:val="32"/>
          <w:szCs w:val="32"/>
          <w:lang w:val="en-US" w:eastAsia="zh-CN"/>
        </w:rPr>
        <w:t>17</w:t>
      </w:r>
      <w:r>
        <w:rPr>
          <w:rFonts w:ascii="仿宋" w:eastAsia="仿宋" w:cs="仿宋" w:hAnsi="仿宋" w:hint="eastAsia"/>
          <w:color w:val="000000"/>
          <w:sz w:val="32"/>
          <w:szCs w:val="32"/>
          <w:lang w:eastAsia="zh-CN"/>
        </w:rPr>
        <w:t>）</w:t>
      </w:r>
      <w:r>
        <w:rPr>
          <w:rFonts w:ascii="仿宋" w:eastAsia="仿宋" w:cs="仿宋" w:hAnsi="仿宋" w:hint="eastAsia"/>
          <w:color w:val="000000"/>
          <w:sz w:val="32"/>
          <w:szCs w:val="32"/>
        </w:rPr>
        <w:t>提升经办服务能力工作经费（2023年医疗服务与保障能力提升补助资金第三批）</w:t>
      </w:r>
    </w:p>
    <w:p>
      <w:pPr>
        <w:adjustRightInd w:val="0"/>
        <w:snapToGrid w:val="0"/>
        <w:spacing w:line="560" w:lineRule="exact"/>
        <w:ind w:firstLineChars="200" w:firstLine="420"/>
        <w:rPr>
          <w:rFonts w:ascii="仿宋" w:eastAsia="仿宋" w:cs="仿宋" w:hAnsi="仿宋"/>
          <w:color w:val="000000"/>
          <w:sz w:val="32"/>
          <w:szCs w:val="32"/>
        </w:rPr>
      </w:pPr>
      <w:r>
        <w:rPr>
          <w:rFonts w:hint="eastAsia"/>
          <w:color w:val="000000"/>
          <w:lang w:val="en-US" w:eastAsia="zh-CN"/>
        </w:rPr>
        <w:t xml:space="preserve">   </w:t>
      </w: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该项目预算为</w:t>
      </w:r>
      <w:r>
        <w:rPr>
          <w:rFonts w:ascii="仿宋" w:eastAsia="仿宋" w:cs="仿宋" w:hAnsi="仿宋"/>
          <w:color w:val="000000"/>
          <w:sz w:val="32"/>
          <w:szCs w:val="32"/>
        </w:rPr>
        <w:t>0.0091</w:t>
      </w:r>
      <w:r>
        <w:rPr>
          <w:rFonts w:ascii="仿宋" w:eastAsia="仿宋" w:cs="仿宋" w:hAnsi="仿宋" w:hint="eastAsia"/>
          <w:color w:val="000000"/>
          <w:sz w:val="32"/>
          <w:szCs w:val="32"/>
        </w:rPr>
        <w:t>万元，支出</w:t>
      </w:r>
      <w:r>
        <w:rPr>
          <w:rFonts w:ascii="仿宋" w:eastAsia="仿宋" w:hAnsi="仿宋"/>
          <w:color w:val="000000"/>
          <w:sz w:val="32"/>
          <w:szCs w:val="32"/>
        </w:rPr>
        <w:t>0.0091</w:t>
      </w:r>
      <w:r>
        <w:rPr>
          <w:rFonts w:ascii="仿宋" w:eastAsia="仿宋" w:cs="仿宋" w:hAnsi="仿宋" w:hint="eastAsia"/>
          <w:color w:val="000000"/>
          <w:sz w:val="32"/>
          <w:szCs w:val="32"/>
        </w:rPr>
        <w:t>万元，总体支出进度为</w:t>
      </w:r>
      <w:r>
        <w:rPr>
          <w:rFonts w:ascii="仿宋" w:eastAsia="仿宋" w:hAnsi="仿宋"/>
          <w:color w:val="000000"/>
          <w:sz w:val="32"/>
          <w:szCs w:val="32"/>
          <w:lang w:val="en-US" w:eastAsia="zh-CN"/>
        </w:rPr>
        <w:t>100</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pStyle w:val="15"/>
        <w:spacing w:line="560" w:lineRule="exact"/>
        <w:ind w:left="0" w:firstLineChars="200" w:firstLine="640"/>
        <w:rPr>
          <w:rFonts w:ascii="仿宋" w:eastAsia="仿宋" w:hAnsi="仿宋"/>
          <w:color w:val="000000"/>
          <w:sz w:val="32"/>
          <w:szCs w:val="32"/>
        </w:rPr>
      </w:pPr>
      <w:r>
        <w:rPr>
          <w:rFonts w:ascii="仿宋_GB2312" w:eastAsia="仿宋_GB2312" w:cs="Times New Roman" w:hAnsi="宋体" w:hint="eastAsia"/>
          <w:bCs/>
          <w:color w:val="000000"/>
          <w:sz w:val="32"/>
          <w:szCs w:val="32"/>
        </w:rPr>
        <w:t>为了推动全市医保重点工作的有序进行，</w:t>
      </w:r>
      <w:r>
        <w:rPr>
          <w:rFonts w:ascii="仿宋_GB2312" w:eastAsia="仿宋_GB2312" w:hAnsi="宋体" w:hint="eastAsia"/>
          <w:bCs/>
          <w:color w:val="000000"/>
          <w:sz w:val="32"/>
          <w:szCs w:val="32"/>
        </w:rPr>
        <w:t>根据</w:t>
      </w:r>
      <w:r>
        <w:rPr>
          <w:rFonts w:ascii="仿宋_GB2312" w:eastAsia="仿宋_GB2312" w:cs="仿宋_GB2312" w:hAnsi="仿宋_GB2312" w:hint="eastAsia"/>
          <w:color w:val="000000"/>
          <w:sz w:val="32"/>
          <w:szCs w:val="32"/>
        </w:rPr>
        <w:t>冀财社</w:t>
      </w:r>
      <w:r>
        <w:rPr>
          <w:rFonts w:ascii="仿宋" w:eastAsia="仿宋" w:hAnsi="仿宋" w:hint="eastAsia"/>
          <w:color w:val="000000"/>
          <w:sz w:val="32"/>
          <w:szCs w:val="32"/>
        </w:rPr>
        <w:t>[202</w:t>
      </w:r>
      <w:r>
        <w:rPr>
          <w:rFonts w:ascii="仿宋" w:eastAsia="仿宋" w:hAnsi="仿宋"/>
          <w:color w:val="000000"/>
          <w:sz w:val="32"/>
          <w:szCs w:val="32"/>
        </w:rPr>
        <w:t>3</w:t>
      </w:r>
      <w:r>
        <w:rPr>
          <w:rFonts w:ascii="仿宋" w:eastAsia="仿宋" w:hAnsi="仿宋" w:hint="eastAsia"/>
          <w:color w:val="000000"/>
          <w:sz w:val="32"/>
          <w:szCs w:val="32"/>
        </w:rPr>
        <w:t>]</w:t>
      </w:r>
      <w:r>
        <w:rPr>
          <w:rFonts w:ascii="仿宋_GB2312" w:eastAsia="仿宋_GB2312" w:cs="仿宋_GB2312" w:hAnsi="仿宋_GB2312"/>
          <w:color w:val="000000"/>
          <w:sz w:val="32"/>
          <w:szCs w:val="32"/>
        </w:rPr>
        <w:t>91</w:t>
      </w:r>
      <w:r>
        <w:rPr>
          <w:rFonts w:ascii="仿宋_GB2312" w:eastAsia="仿宋_GB2312" w:cs="仿宋_GB2312" w:hAnsi="仿宋_GB2312" w:hint="eastAsia"/>
          <w:color w:val="000000"/>
          <w:sz w:val="32"/>
          <w:szCs w:val="32"/>
        </w:rPr>
        <w:t>号《</w:t>
      </w:r>
      <w:r>
        <w:rPr>
          <w:rFonts w:ascii="仿宋_GB2312" w:eastAsia="仿宋_GB2312" w:cs="仿宋_GB2312" w:hAnsi="仿宋_GB2312"/>
          <w:color w:val="000000"/>
          <w:sz w:val="32"/>
          <w:szCs w:val="32"/>
        </w:rPr>
        <w:t>河北省医保局关于下达2023年中央财政医疗服务与保障能力提升补助资金预算的通知</w:t>
      </w:r>
      <w:r>
        <w:rPr>
          <w:rFonts w:ascii="仿宋_GB2312" w:eastAsia="仿宋_GB2312" w:cs="仿宋_GB2312" w:hAnsi="仿宋_GB2312" w:hint="eastAsia"/>
          <w:color w:val="000000"/>
          <w:sz w:val="32"/>
          <w:szCs w:val="32"/>
        </w:rPr>
        <w:t>》的要求，</w:t>
      </w:r>
      <w:r>
        <w:rPr>
          <w:rFonts w:ascii="仿宋_GB2312" w:cs="仿宋_GB2312" w:hAnsi="仿宋_GB2312" w:hint="eastAsia"/>
          <w:color w:val="000000"/>
          <w:sz w:val="32"/>
          <w:szCs w:val="32"/>
          <w:lang w:eastAsia="zh-CN"/>
        </w:rPr>
        <w:t>我单位</w:t>
      </w:r>
      <w:r>
        <w:rPr>
          <w:rFonts w:ascii="仿宋" w:eastAsia="仿宋" w:cs="仿宋" w:hAnsi="仿宋" w:hint="eastAsia"/>
          <w:color w:val="000000"/>
          <w:sz w:val="32"/>
          <w:szCs w:val="32"/>
        </w:rPr>
        <w:t>提升经办服务能力工作经费（2023年医疗服务与保障能力提升补助资金第三批）</w:t>
      </w:r>
      <w:r>
        <w:rPr>
          <w:rFonts w:ascii="仿宋" w:eastAsia="仿宋" w:cs="仿宋" w:hAnsi="仿宋" w:hint="eastAsia"/>
          <w:color w:val="000000"/>
          <w:sz w:val="32"/>
          <w:szCs w:val="32"/>
          <w:lang w:eastAsia="zh-CN"/>
        </w:rPr>
        <w:t>项目资金</w:t>
      </w:r>
      <w:r>
        <w:rPr>
          <w:rFonts w:ascii="仿宋" w:eastAsia="仿宋" w:cs="仿宋" w:hAnsi="仿宋"/>
          <w:color w:val="000000"/>
          <w:sz w:val="32"/>
          <w:szCs w:val="32"/>
          <w:lang w:val="en-US" w:eastAsia="zh-CN"/>
        </w:rPr>
        <w:t>0.0091</w:t>
      </w:r>
      <w:r>
        <w:rPr>
          <w:rFonts w:ascii="仿宋" w:eastAsia="仿宋" w:cs="仿宋" w:hAnsi="仿宋" w:hint="eastAsia"/>
          <w:color w:val="000000"/>
          <w:sz w:val="32"/>
          <w:szCs w:val="32"/>
          <w:lang w:val="en-US" w:eastAsia="zh-CN"/>
        </w:rPr>
        <w:t>万元，</w:t>
      </w:r>
      <w:r>
        <w:rPr>
          <w:rFonts w:ascii="仿宋_GB2312" w:eastAsia="仿宋_GB2312" w:cs="仿宋_GB2312" w:hint="eastAsia"/>
          <w:color w:val="000000"/>
          <w:sz w:val="32"/>
          <w:szCs w:val="32"/>
          <w:lang w:val="en-US" w:eastAsia="zh-CN" w:bidi="ar-SA"/>
        </w:rPr>
        <w:t>用于配置智能电子宣传屏、好差评服务评价器等方面支出，提升经办管理服务体系建设</w:t>
      </w:r>
      <w:r>
        <w:rPr>
          <w:rFonts w:ascii="仿宋_GB2312" w:cs="仿宋_GB2312" w:hint="eastAsia"/>
          <w:color w:val="000000"/>
          <w:sz w:val="32"/>
          <w:szCs w:val="32"/>
          <w:lang w:val="en-US" w:eastAsia="zh-CN" w:bidi="ar-SA"/>
        </w:rPr>
        <w:t>，</w:t>
      </w:r>
      <w:r>
        <w:rPr>
          <w:rFonts w:ascii="仿宋_GB2312" w:eastAsia="仿宋_GB2312" w:cs="仿宋_GB2312" w:hint="eastAsia"/>
          <w:color w:val="000000"/>
          <w:sz w:val="32"/>
          <w:szCs w:val="32"/>
          <w:lang w:val="en-US" w:eastAsia="zh-CN" w:bidi="ar-SA"/>
        </w:rPr>
        <w:t>促进医保经办服务能力不断提升。</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绩效指标为4个，评价等级为优。</w:t>
      </w:r>
    </w:p>
    <w:p>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pPr>
        <w:spacing w:line="560" w:lineRule="exact"/>
        <w:ind w:firstLineChars="200" w:firstLine="640"/>
        <w:rPr>
          <w:rFonts w:ascii="仿宋" w:eastAsia="仿宋" w:hAnsi="仿宋"/>
          <w:sz w:val="32"/>
          <w:szCs w:val="32"/>
        </w:rPr>
      </w:pPr>
      <w:r>
        <w:rPr>
          <w:rFonts w:ascii="仿宋" w:eastAsia="仿宋" w:hAnsi="仿宋" w:hint="eastAsia"/>
          <w:sz w:val="32"/>
          <w:szCs w:val="32"/>
        </w:rPr>
        <w:t>根据部门职责定位和各项工作履职情况进行综合评价，给出总得分，满分100分，得出综合绩效评价等级。部门整体支出综合绩效评价分98分为优秀。</w:t>
      </w:r>
    </w:p>
    <w:p>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pPr>
        <w:spacing w:line="560" w:lineRule="exact"/>
        <w:ind w:firstLineChars="200" w:firstLine="640"/>
        <w:rPr>
          <w:rFonts w:ascii="仿宋" w:eastAsia="仿宋" w:hAnsi="仿宋"/>
          <w:b/>
          <w:bCs/>
          <w:sz w:val="32"/>
          <w:szCs w:val="32"/>
        </w:rPr>
      </w:pPr>
      <w:r>
        <w:rPr>
          <w:rFonts w:ascii="仿宋" w:eastAsia="仿宋" w:hAnsi="仿宋" w:hint="eastAsia"/>
          <w:b/>
          <w:bCs/>
          <w:sz w:val="32"/>
          <w:szCs w:val="32"/>
        </w:rPr>
        <w:t>（一）存在的主要问题</w:t>
      </w:r>
    </w:p>
    <w:p>
      <w:pPr>
        <w:spacing w:line="560" w:lineRule="exact"/>
        <w:ind w:firstLineChars="200" w:firstLine="640"/>
        <w:rPr>
          <w:rFonts w:ascii="仿宋" w:eastAsia="仿宋" w:hAnsi="仿宋"/>
          <w:b/>
          <w:bCs/>
          <w:sz w:val="32"/>
          <w:szCs w:val="32"/>
        </w:rPr>
      </w:pPr>
      <w:r>
        <w:rPr>
          <w:rFonts w:ascii="仿宋" w:eastAsia="仿宋" w:hAnsi="仿宋" w:hint="eastAsia"/>
          <w:sz w:val="32"/>
          <w:szCs w:val="32"/>
        </w:rPr>
        <w:t xml:space="preserve">绩效评价在目标设定上过于简单，对于绩效考核来讲，目标就是方向，如果在绩效考核目标设定上出现问题、或者是设计不合理势必要影响到绩效考核的全局。当前绩效考核在目标设定上不能实现多元化的目标。绩效评价在指标设定上存在偏离的现象。在当前绩效考核指标设定上，德能勤绩这种传统的固化思维模式依旧存在，不能紧紧围绕工作重点、偏离实际的现象依旧凸显。 </w:t>
      </w:r>
      <w:r>
        <w:rPr>
          <w:rFonts w:ascii="仿宋" w:eastAsia="仿宋" w:hAnsi="仿宋" w:hint="eastAsia"/>
          <w:b/>
          <w:bCs/>
          <w:sz w:val="32"/>
          <w:szCs w:val="32"/>
        </w:rPr>
        <w:t xml:space="preserve"> </w:t>
      </w:r>
    </w:p>
    <w:p>
      <w:pPr>
        <w:spacing w:line="560" w:lineRule="exact"/>
        <w:ind w:firstLineChars="200" w:firstLine="640"/>
        <w:rPr>
          <w:rFonts w:ascii="仿宋" w:eastAsia="仿宋" w:hAnsi="仿宋"/>
          <w:b/>
          <w:bCs/>
          <w:sz w:val="32"/>
          <w:szCs w:val="32"/>
        </w:rPr>
      </w:pPr>
      <w:r>
        <w:rPr>
          <w:rFonts w:ascii="仿宋" w:eastAsia="仿宋" w:hAnsi="仿宋" w:hint="eastAsia"/>
          <w:b/>
          <w:bCs/>
          <w:sz w:val="32"/>
          <w:szCs w:val="32"/>
        </w:rPr>
        <w:t>（二）针对问题提出具体的改进措施或建议</w:t>
      </w:r>
    </w:p>
    <w:p>
      <w:pPr>
        <w:adjustRightInd w:val="0"/>
        <w:snapToGrid w:val="0"/>
        <w:spacing w:line="560" w:lineRule="exact"/>
        <w:ind w:firstLineChars="200" w:firstLine="640"/>
      </w:pPr>
      <w:r>
        <w:rPr>
          <w:rFonts w:ascii="仿宋" w:eastAsia="仿宋" w:cs="仿宋" w:hAnsi="仿宋" w:hint="eastAsia"/>
          <w:sz w:val="32"/>
          <w:szCs w:val="32"/>
        </w:rPr>
        <w:t>针对绩效指标设定中存在的问题，从实际出发，在</w:t>
      </w:r>
      <w:r>
        <w:rPr>
          <w:rFonts w:ascii="仿宋" w:eastAsia="仿宋" w:cs="仿宋" w:hAnsi="仿宋"/>
          <w:sz w:val="32"/>
          <w:szCs w:val="32"/>
        </w:rPr>
        <w:t>2025</w:t>
      </w:r>
      <w:r>
        <w:rPr>
          <w:rFonts w:ascii="仿宋" w:eastAsia="仿宋" w:cs="仿宋" w:hAnsi="仿宋" w:hint="eastAsia"/>
          <w:sz w:val="32"/>
          <w:szCs w:val="32"/>
        </w:rPr>
        <w:t>年项目绩效目标填报中增强指标的可评价性和可量化性，合理如实的反映资金使用的绩效成果，审核</w:t>
      </w:r>
      <w:r>
        <w:rPr>
          <w:rFonts w:ascii="仿宋" w:eastAsia="仿宋" w:cs="仿宋" w:hAnsi="仿宋"/>
          <w:sz w:val="32"/>
          <w:szCs w:val="32"/>
        </w:rPr>
        <w:t>实现绩效目标所需资金的合理性以及填报的规范性、完整性</w:t>
      </w:r>
      <w:r>
        <w:rPr>
          <w:rFonts w:ascii="仿宋" w:eastAsia="仿宋" w:cs="仿宋" w:hAnsi="仿宋" w:hint="eastAsia"/>
          <w:sz w:val="32"/>
          <w:szCs w:val="32"/>
        </w:rPr>
        <w:t>，提高财政支出产生的社会效益和经济效益，重点考虑项目的外界因素对年度任务的影响。</w:t>
      </w:r>
    </w:p>
    <w:p>
      <w:pPr>
        <w:adjustRightInd w:val="0"/>
        <w:snapToGrid w:val="0"/>
        <w:spacing w:line="560" w:lineRule="exact"/>
        <w:ind w:firstLineChars="200" w:firstLine="640"/>
      </w:pPr>
      <w:r>
        <w:rPr>
          <w:rFonts w:ascii="仿宋" w:eastAsia="仿宋" w:cs="仿宋" w:hAnsi="仿宋" w:hint="eastAsia"/>
          <w:sz w:val="32"/>
          <w:szCs w:val="32"/>
        </w:rPr>
        <w:t>在以后的工作中，</w:t>
      </w:r>
      <w:r>
        <w:rPr>
          <w:rFonts w:ascii="仿宋" w:eastAsia="仿宋" w:cs="仿宋" w:hAnsi="仿宋"/>
          <w:sz w:val="32"/>
          <w:szCs w:val="32"/>
        </w:rPr>
        <w:t>要根据年度工作计划制定具体、可衡量、可实现的绩效目标，明确支出的必要性、可行性和有效性，并围绕绩效目标编制清晰、量化、便于考核的绩效指标。</w:t>
      </w:r>
      <w:r>
        <w:rPr>
          <w:rFonts w:ascii="仿宋" w:eastAsia="仿宋" w:cs="仿宋" w:hAnsi="仿宋" w:hint="eastAsia"/>
          <w:sz w:val="32"/>
          <w:szCs w:val="32"/>
        </w:rPr>
        <w:t>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pPr>
        <w:numPr>
          <w:ilvl w:val="0"/>
          <w:numId w:val="2"/>
        </w:numPr>
        <w:adjustRightInd w:val="0"/>
        <w:snapToGrid w:val="0"/>
        <w:spacing w:line="560" w:lineRule="exact"/>
        <w:ind w:left="0" w:firstLineChars="200" w:firstLine="640"/>
        <w:rPr>
          <w:rFonts w:ascii="黑体" w:eastAsia="黑体" w:hAnsi="黑体"/>
          <w:sz w:val="32"/>
          <w:szCs w:val="32"/>
        </w:rPr>
      </w:pPr>
      <w:r>
        <w:rPr>
          <w:rFonts w:ascii="黑体" w:eastAsia="黑体" w:hAnsi="黑体" w:hint="eastAsia"/>
          <w:sz w:val="32"/>
          <w:szCs w:val="32"/>
        </w:rPr>
        <w:t>评价工作组人员名单及签字</w:t>
      </w:r>
    </w:p>
    <w:p>
      <w:pPr>
        <w:spacing w:line="560" w:lineRule="exact"/>
        <w:jc w:val="center"/>
        <w:rPr>
          <w:rFonts w:ascii="宋体" w:cs="宋体" w:hAnsi="宋体"/>
          <w:sz w:val="44"/>
          <w:szCs w:val="44"/>
        </w:rPr>
      </w:pPr>
      <w:r>
        <w:rPr>
          <w:rFonts w:ascii="宋体" w:cs="宋体" w:hAnsi="宋体" w:hint="eastAsia"/>
          <w:sz w:val="44"/>
          <w:szCs w:val="44"/>
        </w:rPr>
        <w:t>评价工作组人员名单</w:t>
      </w:r>
    </w:p>
    <w:tbl>
      <w:tblPr>
        <w:jc w:val="lef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1951"/>
        <w:gridCol w:w="1843"/>
        <w:gridCol w:w="2268"/>
        <w:gridCol w:w="2693"/>
      </w:tblGrid>
      <w:tr>
        <w:trPr>
          <w:trHeight w:val="621"/>
        </w:trPr>
        <w:tc>
          <w:tcPr>
            <w:tcW w:w="1951" w:type="dxa"/>
            <w:vAlign w:val="center"/>
          </w:tcPr>
          <w:p>
            <w:pPr>
              <w:spacing w:line="560" w:lineRule="exact"/>
              <w:jc w:val="center"/>
              <w:rPr>
                <w:rFonts w:ascii="仿宋" w:eastAsia="仿宋" w:hAnsi="仿宋"/>
                <w:sz w:val="32"/>
                <w:szCs w:val="32"/>
              </w:rPr>
            </w:pPr>
            <w:r>
              <w:rPr>
                <w:rFonts w:ascii="仿宋" w:eastAsia="仿宋" w:hAnsi="仿宋" w:hint="eastAsia"/>
                <w:sz w:val="32"/>
                <w:szCs w:val="32"/>
              </w:rPr>
              <w:t>姓名</w:t>
            </w:r>
          </w:p>
        </w:tc>
        <w:tc>
          <w:tcPr>
            <w:tcW w:w="1843" w:type="dxa"/>
            <w:vAlign w:val="center"/>
          </w:tcPr>
          <w:p>
            <w:pPr>
              <w:spacing w:line="560" w:lineRule="exact"/>
              <w:jc w:val="center"/>
              <w:rPr>
                <w:rFonts w:ascii="仿宋" w:eastAsia="仿宋" w:hAnsi="仿宋"/>
                <w:sz w:val="32"/>
                <w:szCs w:val="32"/>
              </w:rPr>
            </w:pPr>
            <w:r>
              <w:rPr>
                <w:rFonts w:ascii="仿宋" w:eastAsia="仿宋" w:hAnsi="仿宋" w:hint="eastAsia"/>
                <w:sz w:val="32"/>
                <w:szCs w:val="32"/>
              </w:rPr>
              <w:t>工作单位</w:t>
            </w:r>
          </w:p>
        </w:tc>
        <w:tc>
          <w:tcPr>
            <w:tcW w:w="2268" w:type="dxa"/>
            <w:vAlign w:val="center"/>
          </w:tcPr>
          <w:p>
            <w:pPr>
              <w:spacing w:line="560" w:lineRule="exact"/>
              <w:jc w:val="center"/>
              <w:rPr>
                <w:rFonts w:ascii="仿宋" w:eastAsia="仿宋" w:hAnsi="仿宋"/>
                <w:sz w:val="32"/>
                <w:szCs w:val="32"/>
              </w:rPr>
            </w:pPr>
            <w:r>
              <w:rPr>
                <w:rFonts w:ascii="仿宋" w:eastAsia="仿宋" w:hAnsi="仿宋" w:hint="eastAsia"/>
                <w:sz w:val="32"/>
                <w:szCs w:val="32"/>
              </w:rPr>
              <w:t>职务</w:t>
            </w:r>
          </w:p>
        </w:tc>
        <w:tc>
          <w:tcPr>
            <w:tcW w:w="2693" w:type="dxa"/>
            <w:vAlign w:val="center"/>
          </w:tcPr>
          <w:p>
            <w:pPr>
              <w:spacing w:line="560" w:lineRule="exact"/>
              <w:jc w:val="center"/>
              <w:rPr>
                <w:rFonts w:ascii="仿宋" w:eastAsia="仿宋" w:hAnsi="仿宋"/>
                <w:sz w:val="32"/>
                <w:szCs w:val="32"/>
              </w:rPr>
            </w:pPr>
            <w:r>
              <w:rPr>
                <w:rFonts w:ascii="仿宋" w:eastAsia="仿宋" w:hAnsi="仿宋" w:hint="eastAsia"/>
                <w:sz w:val="32"/>
                <w:szCs w:val="32"/>
              </w:rPr>
              <w:t>签字</w:t>
            </w:r>
          </w:p>
        </w:tc>
      </w:tr>
      <w:tr>
        <w:trPr>
          <w:trHeight w:val="701"/>
        </w:trPr>
        <w:tc>
          <w:tcPr>
            <w:tcW w:w="1951" w:type="dxa"/>
            <w:vAlign w:val="center"/>
          </w:tcPr>
          <w:p>
            <w:pPr>
              <w:spacing w:line="560" w:lineRule="exact"/>
              <w:jc w:val="center"/>
              <w:rPr>
                <w:rFonts w:ascii="仿宋" w:eastAsia="仿宋" w:hAnsi="仿宋"/>
                <w:sz w:val="32"/>
                <w:szCs w:val="32"/>
              </w:rPr>
            </w:pPr>
            <w:r>
              <w:rPr>
                <w:rFonts w:ascii="仿宋" w:eastAsia="仿宋" w:hAnsi="仿宋"/>
                <w:sz w:val="32"/>
                <w:szCs w:val="32"/>
              </w:rPr>
              <w:t>刘志军</w:t>
            </w:r>
          </w:p>
        </w:tc>
        <w:tc>
          <w:tcPr>
            <w:tcW w:w="1843" w:type="dxa"/>
            <w:tcBorders>
              <w:left w:val="single" w:sz="4" w:space="0" w:color="auto"/>
              <w:right w:val="single" w:sz="4" w:space="0" w:color="auto"/>
            </w:tcBorders>
            <w:vAlign w:val="center"/>
          </w:tcPr>
          <w:p>
            <w:pPr>
              <w:spacing w:line="560" w:lineRule="exact"/>
              <w:jc w:val="center"/>
              <w:rPr>
                <w:rFonts w:ascii="仿宋" w:eastAsia="仿宋" w:hAnsi="仿宋"/>
                <w:sz w:val="32"/>
                <w:szCs w:val="32"/>
              </w:rPr>
            </w:pPr>
            <w:r>
              <w:rPr>
                <w:rFonts w:ascii="仿宋" w:eastAsia="仿宋" w:hAnsi="仿宋" w:hint="eastAsia"/>
                <w:sz w:val="32"/>
                <w:szCs w:val="32"/>
              </w:rPr>
              <w:t>医保局</w:t>
            </w:r>
          </w:p>
        </w:tc>
        <w:tc>
          <w:tcPr>
            <w:tcW w:w="2268" w:type="dxa"/>
            <w:tcBorders>
              <w:left w:val="single" w:sz="4" w:space="0" w:color="auto"/>
              <w:right w:val="single" w:sz="4" w:space="0" w:color="auto"/>
            </w:tcBorders>
            <w:vAlign w:val="center"/>
          </w:tcPr>
          <w:p>
            <w:pPr>
              <w:spacing w:line="560" w:lineRule="exact"/>
              <w:jc w:val="center"/>
              <w:rPr>
                <w:rFonts w:ascii="仿宋" w:eastAsia="仿宋" w:hAnsi="仿宋"/>
                <w:sz w:val="32"/>
                <w:szCs w:val="32"/>
              </w:rPr>
            </w:pPr>
            <w:r>
              <w:rPr>
                <w:rFonts w:ascii="仿宋" w:eastAsia="仿宋" w:hAnsi="仿宋" w:hint="eastAsia"/>
                <w:sz w:val="32"/>
                <w:szCs w:val="32"/>
              </w:rPr>
              <w:t>局长</w:t>
            </w:r>
          </w:p>
        </w:tc>
        <w:tc>
          <w:tcPr>
            <w:tcW w:w="2693" w:type="dxa"/>
            <w:tcBorders>
              <w:left w:val="single" w:sz="4" w:space="0" w:color="auto"/>
            </w:tcBorders>
            <w:vAlign w:val="center"/>
          </w:tcPr>
          <w:p>
            <w:pPr>
              <w:spacing w:line="560" w:lineRule="exact"/>
              <w:jc w:val="center"/>
              <w:rPr>
                <w:rFonts w:ascii="仿宋" w:eastAsia="仿宋" w:hAnsi="仿宋"/>
                <w:sz w:val="32"/>
                <w:szCs w:val="32"/>
              </w:rPr>
            </w:pPr>
          </w:p>
        </w:tc>
      </w:tr>
      <w:tr>
        <w:trPr>
          <w:trHeight w:val="696"/>
        </w:trPr>
        <w:tc>
          <w:tcPr>
            <w:tcW w:w="1951" w:type="dxa"/>
            <w:vAlign w:val="center"/>
          </w:tcPr>
          <w:p>
            <w:pPr>
              <w:spacing w:line="560" w:lineRule="exact"/>
              <w:jc w:val="center"/>
              <w:rPr>
                <w:rFonts w:ascii="仿宋" w:eastAsia="仿宋" w:hAnsi="仿宋"/>
                <w:sz w:val="32"/>
                <w:szCs w:val="32"/>
              </w:rPr>
            </w:pPr>
            <w:r>
              <w:rPr>
                <w:rFonts w:ascii="仿宋" w:eastAsia="仿宋" w:hAnsi="仿宋"/>
                <w:sz w:val="32"/>
                <w:szCs w:val="32"/>
              </w:rPr>
              <w:t>樊红玉</w:t>
            </w:r>
          </w:p>
        </w:tc>
        <w:tc>
          <w:tcPr>
            <w:tcW w:w="1843" w:type="dxa"/>
            <w:tcBorders>
              <w:left w:val="single" w:sz="4" w:space="0" w:color="auto"/>
              <w:right w:val="single" w:sz="4" w:space="0" w:color="auto"/>
            </w:tcBorders>
            <w:vAlign w:val="center"/>
          </w:tcPr>
          <w:p>
            <w:pPr>
              <w:spacing w:line="560" w:lineRule="exact"/>
              <w:jc w:val="center"/>
              <w:rPr>
                <w:rFonts w:ascii="仿宋" w:eastAsia="仿宋" w:hAnsi="仿宋"/>
                <w:sz w:val="32"/>
                <w:szCs w:val="32"/>
              </w:rPr>
            </w:pPr>
            <w:r>
              <w:rPr>
                <w:rFonts w:ascii="仿宋" w:eastAsia="仿宋" w:hAnsi="仿宋" w:hint="eastAsia"/>
                <w:sz w:val="32"/>
                <w:szCs w:val="32"/>
              </w:rPr>
              <w:t>医保局</w:t>
            </w:r>
          </w:p>
        </w:tc>
        <w:tc>
          <w:tcPr>
            <w:tcW w:w="2268" w:type="dxa"/>
            <w:tcBorders>
              <w:left w:val="single" w:sz="4" w:space="0" w:color="auto"/>
              <w:right w:val="single" w:sz="4" w:space="0" w:color="auto"/>
            </w:tcBorders>
            <w:vAlign w:val="center"/>
          </w:tcPr>
          <w:p>
            <w:pPr>
              <w:spacing w:line="560" w:lineRule="exact"/>
              <w:jc w:val="center"/>
              <w:rPr>
                <w:rFonts w:ascii="仿宋" w:eastAsia="仿宋" w:hAnsi="仿宋"/>
                <w:sz w:val="32"/>
                <w:szCs w:val="32"/>
              </w:rPr>
            </w:pPr>
            <w:r>
              <w:rPr>
                <w:rFonts w:ascii="仿宋" w:eastAsia="仿宋" w:hAnsi="仿宋"/>
                <w:sz w:val="32"/>
                <w:szCs w:val="32"/>
              </w:rPr>
              <w:t>二级主任科员</w:t>
            </w:r>
          </w:p>
        </w:tc>
        <w:tc>
          <w:tcPr>
            <w:tcW w:w="2693" w:type="dxa"/>
            <w:tcBorders>
              <w:left w:val="single" w:sz="4" w:space="0" w:color="auto"/>
            </w:tcBorders>
            <w:vAlign w:val="center"/>
          </w:tcPr>
          <w:p>
            <w:pPr>
              <w:spacing w:line="560" w:lineRule="exact"/>
              <w:jc w:val="center"/>
              <w:rPr>
                <w:rFonts w:ascii="仿宋" w:eastAsia="仿宋" w:hAnsi="仿宋"/>
                <w:sz w:val="32"/>
                <w:szCs w:val="32"/>
              </w:rPr>
            </w:pPr>
          </w:p>
        </w:tc>
      </w:tr>
      <w:tr>
        <w:trPr>
          <w:trHeight w:val="706"/>
        </w:trPr>
        <w:tc>
          <w:tcPr>
            <w:tcW w:w="1951" w:type="dxa"/>
            <w:vAlign w:val="center"/>
          </w:tcPr>
          <w:p>
            <w:pPr>
              <w:spacing w:line="560" w:lineRule="exact"/>
              <w:jc w:val="center"/>
              <w:rPr>
                <w:rFonts w:ascii="仿宋" w:eastAsia="仿宋" w:hAnsi="仿宋"/>
                <w:sz w:val="32"/>
                <w:szCs w:val="32"/>
              </w:rPr>
            </w:pPr>
            <w:r>
              <w:rPr>
                <w:rFonts w:ascii="仿宋" w:eastAsia="仿宋" w:hAnsi="仿宋" w:hint="eastAsia"/>
                <w:sz w:val="32"/>
                <w:szCs w:val="32"/>
              </w:rPr>
              <w:t>刘业宁</w:t>
            </w:r>
          </w:p>
        </w:tc>
        <w:tc>
          <w:tcPr>
            <w:tcW w:w="1843" w:type="dxa"/>
            <w:tcBorders>
              <w:left w:val="single" w:sz="4" w:space="0" w:color="auto"/>
              <w:right w:val="single" w:sz="4" w:space="0" w:color="auto"/>
            </w:tcBorders>
            <w:vAlign w:val="center"/>
          </w:tcPr>
          <w:p>
            <w:pPr>
              <w:spacing w:line="560" w:lineRule="exact"/>
              <w:jc w:val="center"/>
              <w:rPr>
                <w:rFonts w:ascii="仿宋" w:eastAsia="仿宋" w:hAnsi="仿宋"/>
                <w:sz w:val="32"/>
                <w:szCs w:val="32"/>
              </w:rPr>
            </w:pPr>
            <w:r>
              <w:rPr>
                <w:rFonts w:ascii="仿宋" w:eastAsia="仿宋" w:hAnsi="仿宋" w:hint="eastAsia"/>
                <w:sz w:val="32"/>
                <w:szCs w:val="32"/>
              </w:rPr>
              <w:t>医保局</w:t>
            </w:r>
          </w:p>
        </w:tc>
        <w:tc>
          <w:tcPr>
            <w:tcW w:w="2268" w:type="dxa"/>
            <w:tcBorders>
              <w:left w:val="single" w:sz="4" w:space="0" w:color="auto"/>
              <w:right w:val="single" w:sz="4" w:space="0" w:color="auto"/>
            </w:tcBorders>
            <w:vAlign w:val="center"/>
          </w:tcPr>
          <w:p>
            <w:pPr>
              <w:spacing w:line="560" w:lineRule="exact"/>
              <w:jc w:val="center"/>
              <w:rPr>
                <w:rFonts w:ascii="仿宋" w:eastAsia="仿宋" w:hAnsi="仿宋"/>
                <w:sz w:val="32"/>
                <w:szCs w:val="32"/>
              </w:rPr>
            </w:pPr>
            <w:r>
              <w:rPr>
                <w:rFonts w:ascii="仿宋" w:eastAsia="仿宋" w:hAnsi="仿宋" w:hint="eastAsia"/>
                <w:sz w:val="32"/>
                <w:szCs w:val="32"/>
              </w:rPr>
              <w:t>办公室负责人</w:t>
            </w:r>
          </w:p>
        </w:tc>
        <w:tc>
          <w:tcPr>
            <w:tcW w:w="2693" w:type="dxa"/>
            <w:tcBorders>
              <w:left w:val="single" w:sz="4" w:space="0" w:color="auto"/>
            </w:tcBorders>
            <w:vAlign w:val="center"/>
          </w:tcPr>
          <w:p>
            <w:pPr>
              <w:spacing w:line="560" w:lineRule="exact"/>
              <w:jc w:val="center"/>
              <w:rPr>
                <w:rFonts w:ascii="仿宋" w:eastAsia="仿宋" w:hAnsi="仿宋"/>
                <w:sz w:val="32"/>
                <w:szCs w:val="32"/>
              </w:rPr>
            </w:pPr>
          </w:p>
        </w:tc>
      </w:tr>
      <w:tr>
        <w:trPr>
          <w:trHeight w:val="688"/>
        </w:trPr>
        <w:tc>
          <w:tcPr>
            <w:tcW w:w="1951" w:type="dxa"/>
            <w:vAlign w:val="center"/>
          </w:tcPr>
          <w:p>
            <w:pPr>
              <w:spacing w:line="560" w:lineRule="exact"/>
              <w:jc w:val="center"/>
              <w:rPr>
                <w:rFonts w:ascii="仿宋" w:eastAsia="仿宋" w:hAnsi="仿宋"/>
                <w:sz w:val="32"/>
                <w:szCs w:val="32"/>
              </w:rPr>
            </w:pPr>
            <w:r>
              <w:rPr>
                <w:rFonts w:ascii="仿宋" w:eastAsia="仿宋" w:hAnsi="仿宋" w:hint="eastAsia"/>
                <w:sz w:val="32"/>
                <w:szCs w:val="32"/>
              </w:rPr>
              <w:t>刘谦</w:t>
            </w:r>
          </w:p>
        </w:tc>
        <w:tc>
          <w:tcPr>
            <w:tcW w:w="1843" w:type="dxa"/>
            <w:tcBorders>
              <w:left w:val="single" w:sz="4" w:space="0" w:color="auto"/>
              <w:right w:val="single" w:sz="4" w:space="0" w:color="auto"/>
            </w:tcBorders>
            <w:vAlign w:val="center"/>
          </w:tcPr>
          <w:p>
            <w:pPr>
              <w:spacing w:line="560" w:lineRule="exact"/>
              <w:jc w:val="center"/>
              <w:rPr>
                <w:rFonts w:ascii="仿宋" w:eastAsia="仿宋" w:hAnsi="仿宋"/>
                <w:sz w:val="32"/>
                <w:szCs w:val="32"/>
              </w:rPr>
            </w:pPr>
            <w:r>
              <w:rPr>
                <w:rFonts w:ascii="仿宋" w:eastAsia="仿宋" w:hAnsi="仿宋" w:hint="eastAsia"/>
                <w:sz w:val="32"/>
                <w:szCs w:val="32"/>
              </w:rPr>
              <w:t>医保局</w:t>
            </w:r>
          </w:p>
        </w:tc>
        <w:tc>
          <w:tcPr>
            <w:tcW w:w="2268" w:type="dxa"/>
            <w:tcBorders>
              <w:left w:val="single" w:sz="4" w:space="0" w:color="auto"/>
              <w:right w:val="single" w:sz="4" w:space="0" w:color="auto"/>
            </w:tcBorders>
            <w:vAlign w:val="center"/>
          </w:tcPr>
          <w:p>
            <w:pPr>
              <w:spacing w:line="560" w:lineRule="exact"/>
              <w:jc w:val="center"/>
              <w:rPr>
                <w:rFonts w:ascii="仿宋" w:eastAsia="仿宋" w:hAnsi="仿宋"/>
                <w:sz w:val="32"/>
                <w:szCs w:val="32"/>
              </w:rPr>
            </w:pPr>
            <w:r>
              <w:rPr>
                <w:rFonts w:ascii="仿宋" w:eastAsia="仿宋" w:hAnsi="仿宋" w:hint="eastAsia"/>
                <w:sz w:val="32"/>
                <w:szCs w:val="32"/>
              </w:rPr>
              <w:t>财务人员</w:t>
            </w:r>
          </w:p>
        </w:tc>
        <w:tc>
          <w:tcPr>
            <w:tcW w:w="2693" w:type="dxa"/>
            <w:tcBorders>
              <w:left w:val="single" w:sz="4" w:space="0" w:color="auto"/>
            </w:tcBorders>
            <w:vAlign w:val="center"/>
          </w:tcPr>
          <w:p>
            <w:pPr>
              <w:spacing w:line="560" w:lineRule="exact"/>
              <w:jc w:val="center"/>
              <w:rPr>
                <w:rFonts w:ascii="仿宋" w:eastAsia="仿宋" w:hAnsi="仿宋"/>
                <w:sz w:val="32"/>
                <w:szCs w:val="32"/>
              </w:rPr>
            </w:pPr>
          </w:p>
        </w:tc>
      </w:tr>
    </w:tbl>
    <w:p>
      <w:pPr>
        <w:spacing w:line="560" w:lineRule="exact"/>
        <w:rPr>
          <w:rFonts w:ascii="仿宋" w:eastAsia="仿宋" w:hAnsi="仿宋"/>
        </w:rPr>
      </w:pPr>
    </w:p>
    <w:sectPr>
      <w:footerReference w:type="default" r:id="rId2"/>
      <w:pgSz w:w="11906" w:h="16838"/>
      <w:pgMar w:top="1440" w:right="1474" w:bottom="1440" w:left="1587" w:header="851" w:footer="992" w:gutter="0"/>
      <w:pgNumType w:fmt="numberInDash"/>
      <w:cols w:num="1" w:space="720"/>
      <w:docGrid w:type="lines" w:linePitch="312" w:charSpace="0"/>
    </w:sectPr>
  </w:body>
</w:document>
</file>

<file path=word/fontTable.xml><?xml version="1.0" encoding="utf-8"?>
<w:fonts xmlns:w="http://schemas.openxmlformats.org/wordprocessingml/2006/main" xmlns:r="http://schemas.openxmlformats.org/officeDocument/2006/relationships">
  <w:font w:name="仿宋_GB2312">
    <w:altName w:val="仿宋"/>
    <w:panose1 w:val="02010609030101010101"/>
    <w:charset w:val="86"/>
    <w:family w:val="modern"/>
    <w:pitch w:val="variable"/>
    <w:sig w:usb0="00000000" w:usb1="00000000" w:usb2="00000010" w:usb3="00000000" w:csb0="00040000" w:csb1="00000000"/>
  </w:font>
  <w:font w:name="宋体">
    <w:panose1 w:val="02010600030101010101"/>
    <w:charset w:val="86"/>
    <w:family w:val="auto"/>
    <w:pitch w:val="variable"/>
    <w:sig w:usb0="00000003" w:usb1="288F0000" w:usb2="00000006" w:usb3="00000000" w:csb0="00040001" w:csb1="00000000"/>
  </w:font>
  <w:font w:name="华文楷体">
    <w:panose1 w:val="02010600040101010101"/>
    <w:charset w:val="86"/>
    <w:family w:val="auto"/>
    <w:pitch w:val="variable"/>
    <w:sig w:usb0="00000287" w:usb1="080F0000" w:usb2="00000000" w:usb3="00000000" w:csb0="0004009F" w:csb1="DFD70000"/>
  </w:font>
  <w:font w:name="仿宋">
    <w:panose1 w:val="02010609060101010101"/>
    <w:charset w:val="86"/>
    <w:family w:val="modern"/>
    <w:pitch w:val="variable"/>
    <w:sig w:usb0="800002BF" w:usb1="38CF7CFA" w:usb2="00000016" w:usb3="00000000" w:csb0="00040001" w:csb1="00000000"/>
  </w:font>
  <w:font w:name="黑体">
    <w:panose1 w:val="02010609060101010101"/>
    <w:charset w:val="86"/>
    <w:family w:val="auto"/>
    <w:pitch w:val="variable"/>
    <w:sig w:usb0="800002BF" w:usb1="38CF7CFA" w:usb2="00000016" w:usb3="00000000" w:csb0="00040001" w:csb1="00000000"/>
  </w:font>
  <w:font w:name="楷体_GB2312">
    <w:altName w:val="楷体"/>
    <w:panose1 w:val="02010609030101010101"/>
    <w:charset w:val="86"/>
    <w:family w:val="modern"/>
    <w:pitch w:val="variable"/>
    <w:sig w:usb0="00000000" w:usb1="00000000" w:usb2="00000010" w:usb3="00000000" w:csb0="00040000" w:csb1="00000000"/>
  </w:font>
  <w:font w:name="Times New Roman">
    <w:panose1 w:val="02020603050405020304"/>
    <w:charset w:val="00"/>
    <w:family w:val="roman"/>
    <w:pitch w:val="variable"/>
    <w:sig w:usb0="20007A87" w:usb1="80000000" w:usb2="00000008" w:usb3="00000000" w:csb0="000001FF" w:csb1="00000000"/>
  </w:font>
  <w:font w:name="Arial">
    <w:panose1 w:val="020B0604020202020204"/>
    <w:charset w:val="01"/>
    <w:family w:val="swiss"/>
    <w:pitch w:val="variable"/>
    <w:sig w:usb0="E0002AFF" w:usb1="C0007843" w:usb2="00000009" w:usb3="00000000" w:csb0="400001FF" w:csb1="FFFF0000"/>
  </w:font>
  <w:font w:name="Calibri">
    <w:panose1 w:val="020F0502020204030204"/>
    <w:charset w:val="00"/>
    <w:family w:val="swiss"/>
    <w:pitch w:val="variable"/>
    <w:sig w:usb0="E10002FF" w:usb1="4000ACFF" w:usb2="00000009" w:usb3="00000000" w:csb0="2000019F" w:csb1="00000000"/>
  </w:font>
  <w:font w:name="方正小标宋简体">
    <w:altName w:val="Arial Unicode MS"/>
    <w:panose1 w:val="02010601030101010101"/>
    <w:charset w:val="86"/>
    <w:family w:val="auto"/>
    <w:pitch w:val="variable"/>
    <w:sig w:usb0="00000000" w:usb1="00000000" w:usb2="00000010" w:usb3="00000000" w:csb0="00040000" w:csb1="00000000"/>
  </w:font>
  <w:font w:name="方正仿宋_GBK">
    <w:panose1 w:val="02000000000000000000"/>
    <w:charset w:val="86"/>
    <w:family w:val="roman"/>
    <w:pitch w:val="variable"/>
    <w:sig w:usb0="A00002BF" w:usb1="38CF7CFA" w:usb2="00082016" w:usb3="00000000" w:csb0="00040001" w:csb1="00000000"/>
  </w:font>
  <w:font w:name="方正书宋_GBK">
    <w:panose1 w:val="02000000000000000000"/>
    <w:charset w:val="86"/>
    <w:family w:val="auto"/>
    <w:pitch w:val="variable"/>
    <w:sig w:usb0="A00002BF" w:usb1="38CF7CFA" w:usb2="00082016"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pPr>
    <w:r>
      <mc:AlternateContent>
        <mc:Choice Requires="wps">
          <w:drawing>
            <wp:anchor distT="0" distB="0" distL="103505" distR="103505" simplePos="0" relativeHeight="12" behindDoc="0" locked="0" layoutInCell="1" hidden="0" allowOverlap="1">
              <wp:simplePos x="0" y="0"/>
              <wp:positionH relativeFrom="margin">
                <wp:align>center</wp:align>
              </wp:positionH>
              <wp:positionV relativeFrom="paragraph">
                <wp:posOffset>0</wp:posOffset>
              </wp:positionV>
              <wp:extent cx="209531" cy="162780"/>
              <wp:effectExtent l="0" t="0" r="0" b="0"/>
              <wp:wrapNone/>
              <wp:docPr id="1" name="Quad Arrow 3073"/>
              <wp:cNvGraphicFramePr>
                <a:graphicFrameLocks noChangeAspect="0"/>
              </wp:cNvGraphicFramePr>
              <a:graphic>
                <a:graphicData uri="http://schemas.microsoft.com/office/word/2010/wordprocessingShape">
                  <wps:wsp>
                    <wps:cNvSpPr/>
                    <wps:spPr>
                      <a:xfrm rot="0">
                        <a:off x="0" y="0"/>
                        <a:ext cx="209531" cy="162780"/>
                      </a:xfrm>
                      <a:prstGeom prst="rect"/>
                      <a:noFill/>
                      <a:ln w="9525" cmpd="sng" cap="flat">
                        <a:noFill/>
                        <a:prstDash val="solid"/>
                        <a:round/>
                      </a:ln>
                    </wps:spPr>
                    <wps:txbx id="1">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- 7 -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type="#_x0000_t1" id="Quad Arrow 3073" o:spid="_x0000_s2" filled="f" stroked="f" style="position:absolute;margin-left:0.0pt;margin-top:0.0pt;width:16.498535pt;height:12.817383pt;z-index:12;mso-position-horizontal:center;mso-position-horizontal-relative:margin;mso-position-vertical:absolute;mso-wrap-distance-left:8.15pt;mso-wrap-distance-right:8.15pt;mso-wrap-style:none;">
              <v:stroke/>
              <v:textbox id="848" inset="0mm,0mm,0mm,0mm" o:insetmode="custom" style="layout-flow:horizontal;v-text-anchor:top;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- 7 -</w:t>
                    </w:r>
                    <w:r>
                      <w:rPr>
                        <w:rFonts w:hint="eastAsia"/>
                        <w:sz w:val="18"/>
                      </w:rPr>
                      <w:fldChar w:fldCharType="end"/>
                    </w:r>
                  </w:p>
                </w:txbxContent>
              </v:textbox>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5E68489B"/>
    <w:multiLevelType w:val="singleLevel"/>
    <w:tmpl w:val="5E68489B"/>
    <w:lvl w:ilvl="0">
      <w:start w:val="1"/>
      <w:numFmt w:val="chineseCounting"/>
      <w:lvlRestart w:val="0"/>
      <w:suff w:val="nothing"/>
      <w:lvlText w:val="（%1）"/>
      <w:lvlJc w:val="left"/>
      <w:pPr>
        <w:ind w:left="0" w:hanging="0"/>
      </w:pPr>
    </w:lvl>
  </w:abstractNum>
  <w:abstractNum w:abstractNumId="1">
    <w:nsid w:val="62329866"/>
    <w:multiLevelType w:val="singleLevel"/>
    <w:tmpl w:val="62329866"/>
    <w:lvl w:ilvl="0">
      <w:start w:val="6"/>
      <w:numFmt w:val="chineseCounting"/>
      <w:lvlRestart w:val="0"/>
      <w:suff w:val="nothing"/>
      <w:lvlText w:val="%1、"/>
      <w:lvlJc w:val="left"/>
      <w:pPr>
        <w:ind w:left="0" w:hanging="0"/>
      </w:pPr>
    </w:lvl>
  </w:abstractNum>
  <w:num w:numId="1">
    <w:abstractNumId w:val="0"/>
  </w:num>
  <w:num w:numId="2">
    <w:abstractNumId w:val="1"/>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0"/>
  <w:bordersDoNotSurroundHeader/>
  <w:bordersDoNotSurroundFooter/>
  <w:defaultTabStop w:val="420"/>
  <w:drawingGridHorizontalSpacing w:val="105"/>
  <w:drawingGridVerticalSpacing w:val="156"/>
  <w:displayHorizontalDrawingGridEvery w:val="0"/>
  <w:displayVerticalDrawingGridEvery w:val="1"/>
  <w:noPunctuationKerning/>
  <w:characterSpacingControl w:val="compressPunctuation"/>
  <w:compat>
    <w:spaceForUL/>
    <w:balanceSingleByteDoubleByteWidth/>
    <w:doNotExpandShiftReturn/>
    <w:adjustLineHeightInTable/>
    <w:doNotUseIndentAsNumberingTabStop/>
    <w:useAltKinsokuLineBreakRules/>
    <w:compatSetting w:name="compatibilityMode" w:uri="http://schemas.microsoft.com/office/word" w:val="14"/>
  </w:compat>
  <w:docVars>
    <w:docVar w:name="commondata" w:val="eyJoZGlkIjoiMTgxY2M5OTY5NjQzYWI4ZjNjMGUyNTc4YmQ5YTk2YmQifQ=="/>
  </w:docVars>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next w:val="15"/>
    <w:pPr>
      <w:widowControl w:val="0"/>
      <w:jc w:val="both"/>
    </w:pPr>
    <w:rPr>
      <w:rFonts w:ascii="Calibri" w:eastAsia="宋体" w:cs="黑体" w:hAnsi="Calibri"/>
      <w:kern w:val="2"/>
      <w:sz w:val="21"/>
      <w:szCs w:val="22"/>
      <w:lang w:val="en-US" w:eastAsia="zh-CN" w:bidi="ar-SA"/>
    </w:rPr>
  </w:style>
  <w:style w:type="paragraph" w:styleId="1">
    <w:name w:val="heading 1"/>
    <w:qFormat/>
    <w:basedOn w:val="0"/>
    <w:next w:val="0"/>
    <w:link w:val="1Char"/>
    <w:pPr>
      <w:keepNext/>
      <w:keepLines/>
      <w:widowControl w:val="0"/>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黑体" w:hAnsi="Calibri"/>
      <w:b/>
      <w:bCs/>
      <w:kern w:val="44"/>
      <w:sz w:val="44"/>
      <w:szCs w:val="44"/>
      <w:lang w:val="en-US" w:eastAsia="zh-CN" w:bidi="ar-SA"/>
    </w:rPr>
  </w:style>
  <w:style w:type="paragraph" w:styleId="2">
    <w:name w:val="heading 2"/>
    <w:qFormat/>
    <w:basedOn w:val="0"/>
    <w:next w:val="0"/>
    <w:link w:val="2Char"/>
    <w:pPr>
      <w:keepNext/>
      <w:keepLines/>
      <w:widowControl w:val="0"/>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黑体" w:hAnsi="Times New Roman"/>
      <w:b/>
      <w:bCs/>
      <w:kern w:val="2"/>
      <w:sz w:val="32"/>
      <w:szCs w:val="32"/>
      <w:lang w:val="en-US" w:eastAsia="zh-CN" w:bidi="ar-SA"/>
    </w:rPr>
  </w:style>
  <w:style w:type="paragraph" w:styleId="3">
    <w:name w:val="heading 3"/>
    <w:qFormat/>
    <w:basedOn w:val="0"/>
    <w:next w:val="0"/>
    <w:link w:val="3Char"/>
    <w:pPr>
      <w:keepNext/>
      <w:keepLines/>
      <w:widowControl w:val="0"/>
      <w:spacing w:before="260" w:after="260" w:line="415" w:lineRule="auto"/>
      <w:outlineLvl w:val="2"/>
    </w:pPr>
    <w:rPr>
      <w:b/>
      <w:bCs/>
      <w:sz w:val="32"/>
      <w:szCs w:val="32"/>
    </w:rPr>
  </w:style>
  <w:style w:type="character" w:customStyle="1" w:styleId="3Char">
    <w:name w:val="heading 3 Char"/>
    <w:basedOn w:val="10"/>
    <w:link w:val="3"/>
    <w:rPr>
      <w:rFonts w:ascii="Calibri" w:eastAsia="宋体" w:cs="黑体" w:hAnsi="Calibri"/>
      <w:b/>
      <w:bCs/>
      <w:kern w:val="2"/>
      <w:sz w:val="32"/>
      <w:szCs w:val="32"/>
      <w:lang w:val="en-US" w:eastAsia="zh-CN" w:bidi="ar-SA"/>
    </w:rPr>
  </w:style>
  <w:style w:type="character" w:default="1" w:styleId="10">
    <w:name w:val="Default Paragraph Font"/>
    <w:qFormat/>
  </w:style>
  <w:style w:type="paragraph" w:styleId="15">
    <w:name w:val="Normal Indent"/>
    <w:qFormat/>
    <w:basedOn w:val="0"/>
    <w:next w:val="16"/>
    <w:pPr>
      <w:ind w:firstLineChars="200" w:firstLine="200"/>
    </w:pPr>
    <w:rPr>
      <w:rFonts w:eastAsia="仿宋_GB2312"/>
      <w:sz w:val="30"/>
    </w:rPr>
  </w:style>
  <w:style w:type="paragraph" w:styleId="16">
    <w:name w:val="Subtitle"/>
    <w:qFormat/>
    <w:basedOn w:val="0"/>
    <w:pPr>
      <w:spacing w:line="700" w:lineRule="exact"/>
      <w:jc w:val="center"/>
      <w:outlineLvl w:val="1"/>
    </w:pPr>
    <w:rPr>
      <w:rFonts w:ascii="Arial" w:eastAsia="方正小标宋简体" w:cs="Arial" w:hAnsi="Arial"/>
      <w:b/>
      <w:bCs/>
      <w:kern w:val="28"/>
      <w:sz w:val="44"/>
      <w:szCs w:val="44"/>
    </w:rPr>
  </w:style>
  <w:style w:type="paragraph" w:styleId="17">
    <w:name w:val="footer"/>
    <w:qFormat/>
    <w:basedOn w:val="0"/>
    <w:pPr>
      <w:tabs>
        <w:tab w:val="center" w:pos="4153"/>
        <w:tab w:val="right" w:pos="8306"/>
      </w:tabs>
      <w:snapToGrid w:val="0"/>
      <w:jc w:val="left"/>
    </w:pPr>
    <w:rPr>
      <w:sz w:val="18"/>
    </w:rPr>
  </w:style>
  <w:style w:type="paragraph" w:styleId="18">
    <w:name w:val="header"/>
    <w:qFormat/>
    <w:basedOn w:val="0"/>
    <w:pPr>
      <w:pBdr>
        <w:top w:val="none" w:sz="0" w:space="0" w:color="auto"/>
        <w:left w:val="none" w:sz="0" w:space="0" w:color="auto"/>
        <w:bottom w:val="none" w:sz="0" w:space="0" w:color="auto"/>
        <w:right w:val="none" w:sz="0" w:space="0" w:color="auto"/>
      </w:pBdr>
      <w:tabs>
        <w:tab w:val="center" w:pos="4153"/>
        <w:tab w:val="right" w:pos="8306"/>
      </w:tabs>
      <w:snapToGrid w:val="0"/>
    </w:pPr>
    <w:rPr>
      <w:rFonts w:ascii="Times New Roman" w:hAnsi="Times New Roman"/>
      <w:sz w:val="18"/>
    </w:rPr>
  </w:style>
  <w:style w:type="paragraph" w:customStyle="1" w:styleId="19">
    <w:name w:val="插入文本样式-插入部门职责文件"/>
    <w:qFormat/>
    <w:basedOn w:val="0"/>
    <w:pPr>
      <w:widowControl/>
      <w:spacing w:line="500" w:lineRule="exact"/>
      <w:ind w:firstLine="560"/>
      <w:jc w:val="left"/>
    </w:pPr>
    <w:rPr>
      <w:rFonts w:ascii="Times New Roman" w:eastAsia="方正仿宋_GBK" w:cs="Times New Roman" w:hAnsi="Times New Roman"/>
      <w:kern w:val="0"/>
      <w:sz w:val="28"/>
      <w:szCs w:val="24"/>
      <w:lang w:eastAsia="uk-UA"/>
    </w:rPr>
  </w:style>
  <w:style w:type="paragraph" w:customStyle="1" w:styleId="20">
    <w:name w:val="插入文本样式-插入总体目标文件"/>
    <w:qFormat/>
    <w:basedOn w:val="0"/>
    <w:pPr>
      <w:widowControl/>
      <w:spacing w:line="500" w:lineRule="exact"/>
      <w:ind w:firstLine="560"/>
      <w:jc w:val="left"/>
    </w:pPr>
    <w:rPr>
      <w:rFonts w:ascii="Times New Roman" w:eastAsia="方正仿宋_GBK" w:cs="Times New Roman" w:hAnsi="Times New Roman"/>
      <w:kern w:val="0"/>
      <w:sz w:val="28"/>
      <w:szCs w:val="24"/>
      <w:lang w:eastAsia="uk-UA"/>
    </w:rPr>
  </w:style>
  <w:style w:type="paragraph" w:customStyle="1" w:styleId="21">
    <w:name w:val="插入文本样式-插入职责分类绩效目标文件"/>
    <w:qFormat/>
    <w:basedOn w:val="0"/>
    <w:pPr>
      <w:widowControl/>
      <w:spacing w:line="500" w:lineRule="exact"/>
      <w:ind w:firstLine="560"/>
      <w:jc w:val="left"/>
    </w:pPr>
    <w:rPr>
      <w:rFonts w:ascii="Times New Roman" w:eastAsia="方正仿宋_GBK" w:cs="Times New Roman" w:hAnsi="Times New Roman"/>
      <w:kern w:val="0"/>
      <w:sz w:val="28"/>
      <w:szCs w:val="24"/>
      <w:lang w:eastAsia="uk-UA"/>
    </w:rPr>
  </w:style>
  <w:style w:type="paragraph" w:customStyle="1" w:styleId="22">
    <w:name w:val="插入文本样式-插入实现年度发展规划目标的保障措施文件"/>
    <w:qFormat/>
    <w:basedOn w:val="0"/>
    <w:pPr>
      <w:widowControl/>
      <w:spacing w:line="500" w:lineRule="exact"/>
      <w:ind w:firstLine="560"/>
      <w:jc w:val="left"/>
    </w:pPr>
    <w:rPr>
      <w:rFonts w:ascii="Times New Roman" w:eastAsia="方正仿宋_GBK" w:cs="Times New Roman" w:hAnsi="Times New Roman"/>
      <w:kern w:val="0"/>
      <w:sz w:val="28"/>
      <w:szCs w:val="24"/>
      <w:lang w:eastAsia="uk-UA"/>
    </w:rPr>
  </w:style>
  <w:style w:type="paragraph" w:customStyle="1" w:styleId="23">
    <w:name w:val="单元格样式2"/>
    <w:qFormat/>
    <w:basedOn w:val="0"/>
    <w:pPr>
      <w:spacing w:before="0" w:after="0"/>
      <w:ind w:firstLine="0"/>
      <w:jc w:val="left"/>
      <w:outlineLvl w:val="9"/>
    </w:pPr>
    <w:rPr>
      <w:rFonts w:ascii="方正书宋_GBK" w:eastAsia="方正书宋_GBK" w:cs="方正书宋_GBK" w:hAnsi="方正书宋_GBK"/>
      <w:sz w:val="21"/>
      <w:szCs w:val="24"/>
      <w:lang w:val="en-US" w:eastAsia="uk-UA"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E8630BC9-0232-4440-A775-B211B96E637C}">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555</TotalTime>
  <Application>WPS_Yozo_Office9.0.4819.102ZH</Application>
  <Pages>15</Pages>
  <Words>0</Words>
  <Characters>5495</Characters>
  <Lines>0</Lines>
  <Paragraphs>154</Paragraphs>
  <CharactersWithSpaces>7327</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title>附件3：</dc:title>
  <dc:creator>欣欣大人</dc:creator>
  <cp:lastModifiedBy>Administrator</cp:lastModifiedBy>
  <cp:revision>3</cp:revision>
  <cp:lastPrinted>2022-01-19T07:24:00Z</cp:lastPrinted>
  <dcterms:created xsi:type="dcterms:W3CDTF">2023-05-04T00:58:00Z</dcterms:created>
  <dcterms:modified xsi:type="dcterms:W3CDTF">2025-09-28T06:20:57Z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2052-12.1.0.21915</vt:lpwstr>
  </property>
  <property fmtid="{D5CDD505-2E9C-101B-9397-08002B2CF9AE}" pid="3" name="ICV">
    <vt:lpwstr>14C5DA8972104B84949AD7A7467302EC</vt:lpwstr>
  </property>
  <property fmtid="{D5CDD505-2E9C-101B-9397-08002B2CF9AE}" pid="4" name="KSOTemplateDocerSaveRecord">
    <vt:lpwstr>eyJoZGlkIjoiZTM0YjkzNTQ1M2Y4MzAwZjdiZDRkZGE0ZTliZTM0MDUifQ==</vt:lpwstr>
  </property>
</Properties>
</file>