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区信访局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both"/>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信访局</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（一）研究提出全区信访工作思路，贯彻落实中央和省市信访工作法规、规章，研究起草信访工作地方性规章制度。</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（二）办理人民群众来信，接待群众来访，受理群众网上投诉，查办信访案件，承办区领导电子信箱日常工作，负责人民群众建议征集工作。</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（三）调查研究和综合分析全区信访形势及信访工作状况，总结推广各地各部门信访工作经验，提出改进和加强信访工作的意见和建议。</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（四）参与组织、协调、指导全区社会治安综合治理和维护社会政治稳定工作，协助保障国家、省、市、区重大政治活动顺利进行，参与处理影响社会政治稳定的突发性、群体性事件。</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督促检查和指导各乡镇（街道）、区直部门的信访工作。对各乡镇（街道）党委、政府和区直有关部门信访工作年度责任目标进行考核，对全区社会治安综合治理和维护社会政治稳定年度责任目标中有关信访工作进行考核。</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（六）协助国家、省、市信访局处理井陉矿区群众进京、赴省市上访工作，综合协调处理跨地区、跨部门、跨行业的重要信访问题，协助公安机关维护区委、区政府机关正常工作秩序。</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（七）负责省、市、区领导公开接访和包联案件的组织协调工作。</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（八）承担井陉矿区信访工作联席会议的日常工作，督促落实联席会议决定的事项。</w:t>
      </w:r>
    </w:p>
    <w:p>
      <w:pPr>
        <w:keepNext w:val="0"/>
        <w:keepLines w:val="0"/>
        <w:pageBreakBefore w:val="0"/>
        <w:widowControl w:val="0"/>
        <w:kinsoku/>
        <w:wordWrap/>
        <w:overflowPunct/>
        <w:topLinePunct w:val="0"/>
        <w:autoSpaceDE/>
        <w:autoSpaceDN/>
        <w:bidi w:val="0"/>
        <w:adjustRightInd/>
        <w:snapToGrid/>
        <w:spacing w:line="540" w:lineRule="exact"/>
        <w:ind w:left="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（九）完成区委、区政府以及国家、省、市信访局交办的其他任务。</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tbl>
      <w:tblPr>
        <w:tblStyle w:val="9"/>
        <w:tblW w:w="889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59"/>
        <w:gridCol w:w="2001"/>
        <w:gridCol w:w="2131"/>
        <w:gridCol w:w="250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vAlign w:val="center"/>
          </w:tcPr>
          <w:p>
            <w:pPr>
              <w:jc w:val="center"/>
              <w:rPr>
                <w:rFonts w:ascii="仿宋" w:hAnsi="仿宋" w:eastAsia="仿宋"/>
                <w:sz w:val="32"/>
                <w:szCs w:val="32"/>
              </w:rPr>
            </w:pPr>
            <w:r>
              <w:rPr>
                <w:rFonts w:hint="eastAsia" w:ascii="仿宋" w:hAnsi="仿宋" w:eastAsia="仿宋"/>
                <w:sz w:val="32"/>
                <w:szCs w:val="32"/>
              </w:rPr>
              <w:t>单位名称</w:t>
            </w:r>
          </w:p>
        </w:tc>
        <w:tc>
          <w:tcPr>
            <w:tcW w:w="2001" w:type="dxa"/>
            <w:vAlign w:val="center"/>
          </w:tcPr>
          <w:p>
            <w:pPr>
              <w:jc w:val="center"/>
              <w:rPr>
                <w:rFonts w:ascii="仿宋" w:hAnsi="仿宋" w:eastAsia="仿宋"/>
                <w:sz w:val="32"/>
                <w:szCs w:val="32"/>
              </w:rPr>
            </w:pPr>
            <w:r>
              <w:rPr>
                <w:rFonts w:hint="eastAsia" w:ascii="仿宋" w:hAnsi="仿宋" w:eastAsia="仿宋"/>
                <w:sz w:val="32"/>
                <w:szCs w:val="32"/>
              </w:rPr>
              <w:t>单位性质</w:t>
            </w:r>
          </w:p>
        </w:tc>
        <w:tc>
          <w:tcPr>
            <w:tcW w:w="2131" w:type="dxa"/>
            <w:vAlign w:val="center"/>
          </w:tcPr>
          <w:p>
            <w:pPr>
              <w:jc w:val="center"/>
              <w:rPr>
                <w:rFonts w:ascii="仿宋" w:hAnsi="仿宋" w:eastAsia="仿宋"/>
                <w:sz w:val="32"/>
                <w:szCs w:val="32"/>
              </w:rPr>
            </w:pPr>
            <w:r>
              <w:rPr>
                <w:rFonts w:hint="eastAsia" w:ascii="仿宋" w:hAnsi="仿宋" w:eastAsia="仿宋"/>
                <w:sz w:val="32"/>
                <w:szCs w:val="32"/>
              </w:rPr>
              <w:t>单位规格</w:t>
            </w:r>
          </w:p>
        </w:tc>
        <w:tc>
          <w:tcPr>
            <w:tcW w:w="2506" w:type="dxa"/>
            <w:vAlign w:val="center"/>
          </w:tcPr>
          <w:p>
            <w:pPr>
              <w:jc w:val="center"/>
              <w:rPr>
                <w:rFonts w:ascii="仿宋" w:hAnsi="仿宋" w:eastAsia="仿宋"/>
                <w:sz w:val="32"/>
                <w:szCs w:val="32"/>
              </w:rPr>
            </w:pPr>
            <w:r>
              <w:rPr>
                <w:rFonts w:hint="eastAsia" w:ascii="仿宋" w:hAnsi="仿宋" w:eastAsia="仿宋"/>
                <w:sz w:val="32"/>
                <w:szCs w:val="32"/>
              </w:rPr>
              <w:t>经费保障形势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tcBorders>
              <w:top w:val="single" w:color="000000" w:sz="4" w:space="0"/>
              <w:left w:val="single" w:color="000000" w:sz="4" w:space="0"/>
              <w:right w:val="single" w:color="000000" w:sz="4" w:space="0"/>
            </w:tcBorders>
          </w:tcPr>
          <w:p>
            <w:pPr>
              <w:rPr>
                <w:rFonts w:ascii="仿宋" w:hAnsi="仿宋" w:eastAsia="仿宋"/>
                <w:sz w:val="32"/>
                <w:szCs w:val="32"/>
              </w:rPr>
            </w:pPr>
            <w:r>
              <w:rPr>
                <w:rFonts w:hint="eastAsia" w:ascii="仿宋" w:hAnsi="仿宋" w:eastAsia="仿宋"/>
                <w:sz w:val="32"/>
                <w:szCs w:val="32"/>
              </w:rPr>
              <w:t>石家庄市井陉矿区</w:t>
            </w:r>
            <w:r>
              <w:rPr>
                <w:rFonts w:hint="eastAsia" w:ascii="仿宋" w:hAnsi="仿宋" w:eastAsia="仿宋"/>
                <w:sz w:val="32"/>
                <w:szCs w:val="32"/>
                <w:lang w:eastAsia="zh-CN"/>
              </w:rPr>
              <w:t>信访</w:t>
            </w:r>
            <w:r>
              <w:rPr>
                <w:rFonts w:hint="eastAsia" w:ascii="仿宋" w:hAnsi="仿宋" w:eastAsia="仿宋"/>
                <w:sz w:val="32"/>
                <w:szCs w:val="32"/>
              </w:rPr>
              <w:t>局</w:t>
            </w:r>
          </w:p>
        </w:tc>
        <w:tc>
          <w:tcPr>
            <w:tcW w:w="2001" w:type="dxa"/>
            <w:tcBorders>
              <w:top w:val="single" w:color="000000" w:sz="4" w:space="0"/>
              <w:left w:val="single" w:color="000000" w:sz="4" w:space="0"/>
              <w:right w:val="single" w:color="000000" w:sz="4" w:space="0"/>
            </w:tcBorders>
            <w:vAlign w:val="center"/>
          </w:tcPr>
          <w:p>
            <w:pPr>
              <w:jc w:val="center"/>
              <w:rPr>
                <w:rFonts w:ascii="仿宋" w:hAnsi="仿宋" w:eastAsia="仿宋"/>
                <w:sz w:val="32"/>
                <w:szCs w:val="32"/>
              </w:rPr>
            </w:pPr>
            <w:r>
              <w:rPr>
                <w:rFonts w:hint="eastAsia" w:ascii="仿宋" w:hAnsi="仿宋" w:eastAsia="仿宋"/>
                <w:sz w:val="32"/>
                <w:szCs w:val="32"/>
              </w:rPr>
              <w:t>行政</w:t>
            </w:r>
          </w:p>
        </w:tc>
        <w:tc>
          <w:tcPr>
            <w:tcW w:w="2131" w:type="dxa"/>
            <w:tcBorders>
              <w:top w:val="single" w:color="000000" w:sz="4" w:space="0"/>
              <w:left w:val="single" w:color="000000" w:sz="4" w:space="0"/>
              <w:right w:val="single" w:color="000000" w:sz="4" w:space="0"/>
            </w:tcBorders>
            <w:vAlign w:val="center"/>
          </w:tcPr>
          <w:p>
            <w:pPr>
              <w:jc w:val="center"/>
              <w:rPr>
                <w:rFonts w:ascii="仿宋" w:hAnsi="仿宋" w:eastAsia="仿宋"/>
                <w:sz w:val="32"/>
                <w:szCs w:val="32"/>
              </w:rPr>
            </w:pPr>
            <w:r>
              <w:rPr>
                <w:rFonts w:hint="eastAsia" w:ascii="仿宋" w:hAnsi="仿宋" w:eastAsia="仿宋"/>
                <w:sz w:val="32"/>
                <w:szCs w:val="32"/>
              </w:rPr>
              <w:t>正科级</w:t>
            </w:r>
          </w:p>
        </w:tc>
        <w:tc>
          <w:tcPr>
            <w:tcW w:w="2506" w:type="dxa"/>
            <w:tcBorders>
              <w:top w:val="single" w:color="000000" w:sz="4" w:space="0"/>
              <w:left w:val="single" w:color="000000" w:sz="4" w:space="0"/>
              <w:right w:val="single" w:color="000000" w:sz="4" w:space="0"/>
            </w:tcBorders>
            <w:vAlign w:val="center"/>
          </w:tcPr>
          <w:p>
            <w:pPr>
              <w:jc w:val="center"/>
              <w:rPr>
                <w:rFonts w:ascii="仿宋" w:hAnsi="仿宋" w:eastAsia="仿宋"/>
                <w:sz w:val="32"/>
                <w:szCs w:val="32"/>
              </w:rPr>
            </w:pPr>
            <w:r>
              <w:rPr>
                <w:rFonts w:hint="eastAsia" w:ascii="仿宋" w:hAnsi="仿宋" w:eastAsia="仿宋"/>
                <w:sz w:val="32"/>
                <w:szCs w:val="32"/>
              </w:rPr>
              <w:t>财政拨款</w:t>
            </w:r>
          </w:p>
        </w:tc>
      </w:tr>
    </w:tbl>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3．人员情况，包括当年变动情况及原因。</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仿宋"/>
          <w:sz w:val="32"/>
          <w:szCs w:val="32"/>
        </w:rPr>
        <w:t>截止到202</w:t>
      </w:r>
      <w:r>
        <w:rPr>
          <w:rFonts w:hint="eastAsia" w:ascii="仿宋" w:hAnsi="仿宋" w:eastAsia="仿宋" w:cs="仿宋"/>
          <w:sz w:val="32"/>
          <w:szCs w:val="32"/>
          <w:lang w:val="en-US" w:eastAsia="zh-CN"/>
        </w:rPr>
        <w:t>4</w:t>
      </w:r>
      <w:r>
        <w:rPr>
          <w:rFonts w:hint="eastAsia" w:ascii="仿宋" w:hAnsi="仿宋" w:eastAsia="仿宋" w:cs="仿宋"/>
          <w:sz w:val="32"/>
          <w:szCs w:val="32"/>
        </w:rPr>
        <w:t>年12月在职</w:t>
      </w:r>
      <w:r>
        <w:rPr>
          <w:rFonts w:hint="eastAsia" w:ascii="仿宋" w:hAnsi="仿宋" w:eastAsia="仿宋" w:cs="仿宋"/>
          <w:sz w:val="32"/>
          <w:szCs w:val="32"/>
          <w:lang w:val="en-US" w:eastAsia="zh-CN"/>
        </w:rPr>
        <w:t>6</w:t>
      </w:r>
      <w:r>
        <w:rPr>
          <w:rFonts w:hint="eastAsia" w:ascii="仿宋" w:hAnsi="仿宋" w:eastAsia="仿宋" w:cs="仿宋"/>
          <w:sz w:val="32"/>
          <w:szCs w:val="32"/>
        </w:rPr>
        <w:t>人</w:t>
      </w:r>
      <w:r>
        <w:rPr>
          <w:rFonts w:hint="eastAsia" w:ascii="仿宋" w:hAnsi="仿宋" w:eastAsia="仿宋" w:cs="仿宋"/>
          <w:sz w:val="32"/>
          <w:szCs w:val="32"/>
          <w:lang w:eastAsia="zh-CN"/>
        </w:rPr>
        <w:t>。</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楷体_GB2312"/>
          <w:b w:val="0"/>
          <w:bCs w:val="0"/>
          <w:sz w:val="32"/>
          <w:szCs w:val="32"/>
          <w:lang w:val="en-US" w:eastAsia="zh-CN"/>
        </w:rPr>
        <w:t>4、资产情况</w:t>
      </w:r>
      <w:r>
        <w:rPr>
          <w:rFonts w:hint="eastAsia" w:ascii="仿宋_GB2312" w:hAnsi="仿宋" w:eastAsia="仿宋_GB2312"/>
          <w:sz w:val="32"/>
          <w:szCs w:val="32"/>
        </w:rPr>
        <w:t>，包括当年变动情况及原因。</w:t>
      </w:r>
    </w:p>
    <w:p>
      <w:pPr>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年年初资产</w:t>
      </w:r>
      <w:r>
        <w:rPr>
          <w:rFonts w:hint="eastAsia" w:ascii="仿宋" w:hAnsi="仿宋" w:eastAsia="仿宋" w:cs="仿宋"/>
          <w:sz w:val="32"/>
          <w:szCs w:val="32"/>
          <w:lang w:val="en-US" w:eastAsia="zh-CN"/>
        </w:rPr>
        <w:t>75.35</w:t>
      </w:r>
      <w:r>
        <w:rPr>
          <w:rFonts w:hint="eastAsia" w:ascii="仿宋" w:hAnsi="仿宋" w:eastAsia="仿宋" w:cs="仿宋"/>
          <w:sz w:val="32"/>
          <w:szCs w:val="32"/>
        </w:rPr>
        <w:t>万元，年末</w:t>
      </w:r>
      <w:r>
        <w:rPr>
          <w:rFonts w:hint="eastAsia" w:ascii="仿宋" w:hAnsi="仿宋" w:eastAsia="仿宋" w:cs="仿宋"/>
          <w:sz w:val="32"/>
          <w:szCs w:val="32"/>
          <w:lang w:val="en-US" w:eastAsia="zh-CN"/>
        </w:rPr>
        <w:t>75.35</w:t>
      </w:r>
      <w:r>
        <w:rPr>
          <w:rFonts w:hint="eastAsia" w:ascii="仿宋" w:hAnsi="仿宋" w:eastAsia="仿宋" w:cs="仿宋"/>
          <w:sz w:val="32"/>
          <w:szCs w:val="32"/>
        </w:rPr>
        <w:t>万元</w:t>
      </w:r>
      <w:r>
        <w:rPr>
          <w:rFonts w:hint="eastAsia" w:ascii="仿宋" w:hAnsi="仿宋" w:eastAsia="仿宋" w:cs="仿宋"/>
          <w:sz w:val="32"/>
          <w:szCs w:val="32"/>
          <w:lang w:eastAsia="zh-CN"/>
        </w:rPr>
        <w:t>。</w:t>
      </w:r>
    </w:p>
    <w:p>
      <w:pPr>
        <w:widowControl w:val="0"/>
        <w:wordWrap/>
        <w:adjustRightInd w:val="0"/>
        <w:snapToGrid w:val="0"/>
        <w:spacing w:line="560" w:lineRule="exact"/>
        <w:ind w:left="0" w:right="0" w:firstLine="640" w:firstLineChars="200"/>
        <w:textAlignment w:val="auto"/>
        <w:outlineLvl w:val="9"/>
        <w:rPr>
          <w:rFonts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pPr>
        <w:widowControl w:val="0"/>
        <w:wordWrap/>
        <w:adjustRightInd w:val="0"/>
        <w:snapToGrid w:val="0"/>
        <w:spacing w:line="560" w:lineRule="exact"/>
        <w:ind w:left="0" w:right="0" w:firstLine="640"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年部门年初预算收入</w:t>
      </w:r>
      <w:r>
        <w:rPr>
          <w:rFonts w:hint="eastAsia" w:ascii="仿宋" w:hAnsi="仿宋" w:eastAsia="仿宋" w:cs="仿宋"/>
          <w:sz w:val="32"/>
          <w:szCs w:val="32"/>
          <w:lang w:val="en-US" w:eastAsia="zh-CN"/>
        </w:rPr>
        <w:t>243.8</w:t>
      </w:r>
      <w:r>
        <w:rPr>
          <w:rFonts w:hint="eastAsia" w:ascii="仿宋" w:hAnsi="仿宋" w:eastAsia="仿宋" w:cs="仿宋"/>
          <w:sz w:val="32"/>
          <w:szCs w:val="32"/>
        </w:rPr>
        <w:t>万元，202</w:t>
      </w:r>
      <w:r>
        <w:rPr>
          <w:rFonts w:hint="eastAsia" w:ascii="仿宋" w:hAnsi="仿宋" w:eastAsia="仿宋" w:cs="仿宋"/>
          <w:sz w:val="32"/>
          <w:szCs w:val="32"/>
          <w:lang w:val="en-US" w:eastAsia="zh-CN"/>
        </w:rPr>
        <w:t>4</w:t>
      </w:r>
      <w:r>
        <w:rPr>
          <w:rFonts w:hint="eastAsia" w:ascii="仿宋" w:hAnsi="仿宋" w:eastAsia="仿宋" w:cs="仿宋"/>
          <w:sz w:val="32"/>
          <w:szCs w:val="32"/>
        </w:rPr>
        <w:t>年部门预算支出</w:t>
      </w:r>
      <w:r>
        <w:rPr>
          <w:rFonts w:hint="eastAsia" w:ascii="仿宋" w:hAnsi="仿宋" w:eastAsia="仿宋" w:cs="仿宋"/>
          <w:sz w:val="32"/>
          <w:szCs w:val="32"/>
          <w:lang w:val="en-US" w:eastAsia="zh-CN"/>
        </w:rPr>
        <w:t>243.8</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96.64</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147.16</w:t>
      </w:r>
      <w:r>
        <w:rPr>
          <w:rFonts w:hint="eastAsia" w:ascii="仿宋" w:hAnsi="仿宋" w:eastAsia="仿宋" w:cs="仿宋"/>
          <w:sz w:val="32"/>
          <w:szCs w:val="32"/>
        </w:rPr>
        <w:t>万元。202</w:t>
      </w:r>
      <w:r>
        <w:rPr>
          <w:rFonts w:hint="eastAsia" w:ascii="仿宋" w:hAnsi="仿宋" w:eastAsia="仿宋" w:cs="仿宋"/>
          <w:sz w:val="32"/>
          <w:szCs w:val="32"/>
          <w:lang w:val="en-US" w:eastAsia="zh-CN"/>
        </w:rPr>
        <w:t>4</w:t>
      </w:r>
      <w:r>
        <w:rPr>
          <w:rFonts w:hint="eastAsia" w:ascii="仿宋" w:hAnsi="仿宋" w:eastAsia="仿宋" w:cs="仿宋"/>
          <w:sz w:val="32"/>
          <w:szCs w:val="32"/>
        </w:rPr>
        <w:t>年实际收入</w:t>
      </w:r>
      <w:r>
        <w:rPr>
          <w:rFonts w:hint="eastAsia" w:ascii="仿宋" w:hAnsi="仿宋" w:eastAsia="仿宋" w:cs="仿宋"/>
          <w:sz w:val="32"/>
          <w:szCs w:val="32"/>
          <w:lang w:val="en-US" w:eastAsia="zh-CN"/>
        </w:rPr>
        <w:t>193.2</w:t>
      </w:r>
      <w:r>
        <w:rPr>
          <w:rFonts w:hint="eastAsia" w:ascii="仿宋" w:hAnsi="仿宋" w:eastAsia="仿宋" w:cs="仿宋"/>
          <w:sz w:val="32"/>
          <w:szCs w:val="32"/>
        </w:rPr>
        <w:t>万元,实际支出</w:t>
      </w:r>
      <w:r>
        <w:rPr>
          <w:rFonts w:hint="eastAsia" w:ascii="仿宋" w:hAnsi="仿宋" w:eastAsia="仿宋" w:cs="仿宋"/>
          <w:sz w:val="32"/>
          <w:szCs w:val="32"/>
          <w:lang w:val="en-US" w:eastAsia="zh-CN"/>
        </w:rPr>
        <w:t>193.2</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其中：基本支出</w:t>
      </w:r>
      <w:r>
        <w:rPr>
          <w:rFonts w:hint="eastAsia" w:ascii="仿宋" w:hAnsi="仿宋" w:eastAsia="仿宋" w:cs="仿宋"/>
          <w:sz w:val="32"/>
          <w:szCs w:val="32"/>
          <w:lang w:val="en-US" w:eastAsia="zh-CN"/>
        </w:rPr>
        <w:t>106.66</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86.54</w:t>
      </w:r>
      <w:r>
        <w:rPr>
          <w:rFonts w:hint="eastAsia" w:ascii="仿宋" w:hAnsi="仿宋" w:eastAsia="仿宋" w:cs="仿宋"/>
          <w:sz w:val="32"/>
          <w:szCs w:val="32"/>
        </w:rPr>
        <w:t>万元</w:t>
      </w:r>
      <w:r>
        <w:rPr>
          <w:rFonts w:hint="eastAsia" w:ascii="仿宋_GB2312" w:hAnsi="仿宋" w:eastAsia="仿宋_GB2312"/>
          <w:sz w:val="32"/>
          <w:szCs w:val="32"/>
        </w:rPr>
        <w:t>。</w:t>
      </w:r>
    </w:p>
    <w:p>
      <w:pPr>
        <w:widowControl w:val="0"/>
        <w:wordWrap/>
        <w:adjustRightInd w:val="0"/>
        <w:snapToGrid w:val="0"/>
        <w:spacing w:line="560" w:lineRule="exact"/>
        <w:ind w:left="0" w:right="0" w:firstLine="640"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Fonts w:ascii="仿宋_GB2312" w:hAnsi="仿宋_GB2312" w:eastAsia="仿宋_GB2312" w:cs="仿宋_GB2312"/>
          <w:b w:val="0"/>
          <w:bCs w:val="0"/>
          <w:sz w:val="32"/>
          <w:szCs w:val="32"/>
          <w:lang w:val="en-US" w:eastAsia="zh-CN"/>
        </w:rPr>
      </w:pPr>
      <w:r>
        <w:rPr>
          <w:rFonts w:hint="eastAsia" w:ascii="楷体_GB2312" w:hAnsi="楷体_GB2312" w:eastAsia="楷体_GB2312" w:cs="楷体_GB2312"/>
          <w:sz w:val="32"/>
          <w:szCs w:val="32"/>
          <w:lang w:val="en-US" w:eastAsia="zh-CN"/>
        </w:rPr>
        <w:t>1.进京访治理成效明显。</w:t>
      </w:r>
      <w:r>
        <w:rPr>
          <w:rFonts w:hint="eastAsia" w:ascii="仿宋_GB2312" w:hAnsi="仿宋_GB2312" w:eastAsia="仿宋_GB2312" w:cs="仿宋_GB2312"/>
          <w:b w:val="0"/>
          <w:bCs w:val="0"/>
          <w:kern w:val="2"/>
          <w:sz w:val="32"/>
          <w:szCs w:val="32"/>
          <w:u w:val="none"/>
          <w:lang w:val="en-US" w:eastAsia="zh-CN" w:bidi="ar-SA"/>
        </w:rPr>
        <w:t>今年以来，我区发生进京个访4批6人次，与去年同期11批11人次相比，批次同比下降63.6%，人次同比下降45.4%。6月份以来未发生进京访。9月份作为全省17个、全市2个进京访治理成效明显县（市、区）之一，受到省联席办通报表扬，并上报典型经验材料</w:t>
      </w:r>
      <w:r>
        <w:rPr>
          <w:rFonts w:hint="eastAsia" w:ascii="仿宋_GB2312" w:hAnsi="仿宋_GB2312" w:eastAsia="仿宋_GB2312" w:cs="仿宋_GB2312"/>
          <w:b w:val="0"/>
          <w:bCs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2.圆满完成重要时期信访保障工作。</w:t>
      </w:r>
      <w:r>
        <w:rPr>
          <w:rFonts w:hint="eastAsia" w:ascii="仿宋_GB2312" w:hAnsi="仿宋_GB2312" w:eastAsia="仿宋_GB2312" w:cs="仿宋_GB2312"/>
          <w:sz w:val="32"/>
          <w:szCs w:val="32"/>
          <w:lang w:val="en-US" w:eastAsia="zh-CN"/>
        </w:rPr>
        <w:t>今年以来，圆满完成了全国“两会”、暑期安保、二十届三中全会等重要时期信访保障任务。</w:t>
      </w:r>
    </w:p>
    <w:p>
      <w:pPr>
        <w:keepNext w:val="0"/>
        <w:keepLines w:val="0"/>
        <w:pageBreakBefore w:val="0"/>
        <w:widowControl w:val="0"/>
        <w:kinsoku/>
        <w:wordWrap/>
        <w:overflowPunct/>
        <w:topLinePunct w:val="0"/>
        <w:autoSpaceDE/>
        <w:autoSpaceDN/>
        <w:adjustRightInd/>
        <w:snapToGrid/>
        <w:spacing w:line="600" w:lineRule="exact"/>
        <w:ind w:left="0"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3.考核评分成绩较好。</w:t>
      </w:r>
      <w:r>
        <w:rPr>
          <w:rFonts w:hint="eastAsia" w:ascii="仿宋_GB2312" w:hAnsi="仿宋_GB2312" w:eastAsia="仿宋_GB2312" w:cs="仿宋_GB2312"/>
          <w:sz w:val="32"/>
          <w:szCs w:val="32"/>
          <w:lang w:val="en-US" w:eastAsia="zh-CN"/>
        </w:rPr>
        <w:t>国家、省、市转送交办信访事项183件，已全部按期办解，及时受理率、按期办结率均为100%，群众满意率为98.94%，群众参评率为100%。</w:t>
      </w:r>
    </w:p>
    <w:p>
      <w:pPr>
        <w:keepNext w:val="0"/>
        <w:keepLines w:val="0"/>
        <w:pageBreakBefore w:val="0"/>
        <w:widowControl w:val="0"/>
        <w:kinsoku/>
        <w:wordWrap/>
        <w:overflowPunct/>
        <w:topLinePunct w:val="0"/>
        <w:autoSpaceDE/>
        <w:autoSpaceDN/>
        <w:adjustRightInd/>
        <w:snapToGrid/>
        <w:spacing w:line="600" w:lineRule="exact"/>
        <w:ind w:firstLine="640" w:firstLineChars="200"/>
        <w:rPr>
          <w:rFonts w:hint="eastAsia" w:ascii="仿宋_GB2312" w:hAnsi="仿宋_GB2312" w:eastAsia="仿宋_GB2312" w:cs="仿宋_GB2312"/>
          <w:color w:val="000000"/>
          <w:sz w:val="36"/>
          <w:szCs w:val="36"/>
          <w:lang w:val="en-US" w:eastAsia="zh-CN"/>
        </w:rPr>
      </w:pPr>
      <w:r>
        <w:rPr>
          <w:rFonts w:hint="eastAsia" w:ascii="仿宋_GB2312" w:hAnsi="仿宋_GB2312" w:eastAsia="仿宋_GB2312" w:cs="仿宋_GB2312"/>
          <w:sz w:val="32"/>
          <w:szCs w:val="32"/>
          <w:lang w:val="en-US" w:eastAsia="zh-CN"/>
        </w:rPr>
        <w:t>4.</w:t>
      </w:r>
      <w:r>
        <w:rPr>
          <w:rFonts w:hint="eastAsia" w:ascii="楷体_GB2312" w:hAnsi="楷体_GB2312" w:eastAsia="楷体_GB2312" w:cs="楷体_GB2312"/>
          <w:sz w:val="32"/>
          <w:szCs w:val="32"/>
          <w:lang w:val="en-US" w:eastAsia="zh-CN"/>
        </w:rPr>
        <w:t>攻坚行动取得良好成效。</w:t>
      </w:r>
      <w:r>
        <w:rPr>
          <w:rFonts w:hint="eastAsia" w:ascii="仿宋_GB2312" w:hAnsi="仿宋_GB2312" w:eastAsia="仿宋_GB2312" w:cs="仿宋_GB2312"/>
          <w:color w:val="000000"/>
          <w:sz w:val="32"/>
          <w:szCs w:val="32"/>
          <w:lang w:val="en-US" w:eastAsia="zh-CN"/>
        </w:rPr>
        <w:t>信访局和省信访局分两批交办的</w:t>
      </w:r>
      <w:r>
        <w:rPr>
          <w:rFonts w:ascii="仿宋_GB2312" w:hAnsi="仿宋_GB2312" w:eastAsia="仿宋_GB2312" w:cs="仿宋_GB2312"/>
          <w:color w:val="000000"/>
          <w:sz w:val="32"/>
          <w:szCs w:val="32"/>
          <w:lang w:val="en-US" w:eastAsia="zh-CN"/>
        </w:rPr>
        <w:t>17</w:t>
      </w:r>
      <w:r>
        <w:rPr>
          <w:rFonts w:hint="eastAsia" w:ascii="仿宋_GB2312" w:hAnsi="仿宋_GB2312" w:eastAsia="仿宋_GB2312" w:cs="仿宋_GB2312"/>
          <w:color w:val="000000"/>
          <w:sz w:val="32"/>
          <w:szCs w:val="32"/>
          <w:lang w:val="en-US" w:eastAsia="zh-CN"/>
        </w:rPr>
        <w:t>件重复信访事项全部按期办结上报。</w:t>
      </w:r>
    </w:p>
    <w:tbl>
      <w:tblPr>
        <w:tblStyle w:val="9"/>
        <w:tblpPr w:leftFromText="180" w:rightFromText="180" w:vertAnchor="text" w:horzAnchor="page" w:tblpX="1239" w:tblpY="202"/>
        <w:tblOverlap w:val="never"/>
        <w:tblW w:w="99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371"/>
        <w:gridCol w:w="1245"/>
        <w:gridCol w:w="1440"/>
        <w:gridCol w:w="1160"/>
        <w:gridCol w:w="659"/>
        <w:gridCol w:w="939"/>
        <w:gridCol w:w="792"/>
        <w:gridCol w:w="1045"/>
        <w:gridCol w:w="13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50" w:hRule="atLeast"/>
        </w:trPr>
        <w:tc>
          <w:tcPr>
            <w:tcW w:w="9970" w:type="dxa"/>
            <w:gridSpan w:val="9"/>
            <w:shd w:val="clear" w:color="auto" w:fill="D3DCE9"/>
            <w:vAlign w:val="center"/>
          </w:tcPr>
          <w:p>
            <w:pPr>
              <w:keepNext w:val="0"/>
              <w:keepLines w:val="0"/>
              <w:widowControl/>
              <w:suppressLineNumbers w:val="0"/>
              <w:jc w:val="center"/>
              <w:textAlignment w:val="center"/>
              <w:rPr>
                <w:rFonts w:hint="eastAsia" w:ascii="宋体" w:hAnsi="宋体" w:eastAsia="宋体" w:cs="宋体"/>
                <w:i w:val="0"/>
                <w:color w:val="000000"/>
                <w:sz w:val="43"/>
                <w:szCs w:val="43"/>
                <w:u w:val="none"/>
              </w:rPr>
            </w:pPr>
            <w:r>
              <w:rPr>
                <w:rFonts w:hint="eastAsia" w:ascii="宋体" w:hAnsi="宋体" w:eastAsia="宋体" w:cs="宋体"/>
                <w:i w:val="0"/>
                <w:color w:val="000000"/>
                <w:kern w:val="0"/>
                <w:sz w:val="43"/>
                <w:szCs w:val="43"/>
                <w:u w:val="none"/>
                <w:lang w:val="en-US" w:eastAsia="zh-CN"/>
              </w:rPr>
              <w:t>预算项目绩效信息表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一级指标</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二级指标</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三级指标</w:t>
            </w:r>
          </w:p>
        </w:tc>
        <w:tc>
          <w:tcPr>
            <w:tcW w:w="11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绩效指标描述</w:t>
            </w:r>
          </w:p>
        </w:tc>
        <w:tc>
          <w:tcPr>
            <w:tcW w:w="6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评（扣）分标准</w:t>
            </w:r>
          </w:p>
        </w:tc>
        <w:tc>
          <w:tcPr>
            <w:tcW w:w="2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指标值</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c>
          <w:tcPr>
            <w:tcW w:w="11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c>
          <w:tcPr>
            <w:tcW w:w="6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c>
          <w:tcPr>
            <w:tcW w:w="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符号</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值</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单位（文字描述）</w:t>
            </w: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45" w:hRule="atLeast"/>
        </w:trPr>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产出指标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数量指标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开展培训次数</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开展培训次数</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无</w:t>
            </w:r>
          </w:p>
        </w:tc>
        <w:tc>
          <w:tcPr>
            <w:tcW w:w="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5.00</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次</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工作要求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质量指标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信访事项按期结案率</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信访事项按期结案率</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无</w:t>
            </w:r>
          </w:p>
        </w:tc>
        <w:tc>
          <w:tcPr>
            <w:tcW w:w="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90.00</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工作要求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75" w:hRule="atLeast"/>
        </w:trPr>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时效指标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工作任务完成及时</w:t>
            </w:r>
            <w:r>
              <w:rPr>
                <w:rFonts w:hint="eastAsia" w:ascii="宋体" w:hAnsi="宋体" w:eastAsia="宋体" w:cs="宋体"/>
                <w:i w:val="0"/>
                <w:color w:val="000000"/>
                <w:kern w:val="0"/>
                <w:sz w:val="18"/>
                <w:szCs w:val="18"/>
                <w:u w:val="none"/>
                <w:lang w:val="en-US" w:eastAsia="zh-CN"/>
              </w:rPr>
              <w:t>率</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工作任务完成及时</w:t>
            </w:r>
            <w:r>
              <w:rPr>
                <w:rFonts w:hint="eastAsia" w:ascii="宋体" w:hAnsi="宋体" w:eastAsia="宋体" w:cs="宋体"/>
                <w:i w:val="0"/>
                <w:color w:val="000000"/>
                <w:kern w:val="0"/>
                <w:sz w:val="18"/>
                <w:szCs w:val="18"/>
                <w:u w:val="none"/>
                <w:lang w:val="en-US" w:eastAsia="zh-CN"/>
              </w:rPr>
              <w:t>率</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无</w:t>
            </w:r>
          </w:p>
        </w:tc>
        <w:tc>
          <w:tcPr>
            <w:tcW w:w="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90.00</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工作要求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050" w:hRule="atLeast"/>
        </w:trPr>
        <w:tc>
          <w:tcPr>
            <w:tcW w:w="13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效益指标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社会效益指标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社会稳定水平</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社会稳定水平</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无</w:t>
            </w:r>
          </w:p>
        </w:tc>
        <w:tc>
          <w:tcPr>
            <w:tcW w:w="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文字描述</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化解社会矛盾</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rPr>
              <w:t>工作要求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40" w:hRule="atLeast"/>
        </w:trPr>
        <w:tc>
          <w:tcPr>
            <w:tcW w:w="13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满意度指标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服务对象满意度指标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受益对象的满意度</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受益对象的满意度</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无</w:t>
            </w:r>
          </w:p>
        </w:tc>
        <w:tc>
          <w:tcPr>
            <w:tcW w:w="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90.00</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问卷调查</w:t>
            </w:r>
          </w:p>
        </w:tc>
      </w:tr>
    </w:tbl>
    <w:p>
      <w:pPr>
        <w:pStyle w:val="2"/>
        <w:keepNext w:val="0"/>
        <w:keepLines w:val="0"/>
        <w:pageBreakBefore w:val="0"/>
        <w:widowControl w:val="0"/>
        <w:kinsoku/>
        <w:wordWrap/>
        <w:overflowPunct/>
        <w:topLinePunct w:val="0"/>
        <w:autoSpaceDE/>
        <w:autoSpaceDN/>
        <w:bidi w:val="0"/>
        <w:adjustRightInd/>
        <w:snapToGrid w:val="0"/>
        <w:spacing w:before="0" w:beforeAutospacing="0" w:after="0" w:afterAutospacing="0" w:line="560" w:lineRule="exact"/>
        <w:ind w:firstLine="640" w:firstLineChars="200"/>
        <w:textAlignment w:val="auto"/>
        <w:rPr>
          <w:rFonts w:hint="eastAsia" w:ascii="仿宋_GB2312" w:hAnsi="仿宋_GB2312" w:eastAsia="仿宋_GB2312" w:cs="仿宋_GB2312"/>
          <w:b w:val="0"/>
          <w:bCs w:val="0"/>
          <w:kern w:val="2"/>
          <w:sz w:val="32"/>
          <w:szCs w:val="32"/>
          <w:lang w:val="en-US" w:eastAsia="zh-CN" w:bidi="ar-SA"/>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为进一步提高我局绩效预算管理工作，根据《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号）要求，成立绩效评价工作组，对我局所有的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w:t>
      </w:r>
      <w:r>
        <w:rPr>
          <w:rFonts w:ascii="仿宋" w:hAnsi="仿宋" w:eastAsia="仿宋" w:cs="仿宋"/>
          <w:sz w:val="32"/>
          <w:szCs w:val="32"/>
          <w:lang w:val="en-US" w:eastAsia="zh-CN"/>
        </w:rPr>
        <w:t>2</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24</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2024年</w:t>
      </w:r>
      <w:r>
        <w:rPr>
          <w:rFonts w:hint="eastAsia" w:ascii="仿宋" w:hAnsi="仿宋" w:eastAsia="仿宋" w:cs="仿宋"/>
          <w:sz w:val="32"/>
          <w:szCs w:val="32"/>
          <w:lang w:eastAsia="zh-CN"/>
        </w:rPr>
        <w:t>区级</w:t>
      </w:r>
      <w:r>
        <w:rPr>
          <w:rFonts w:hint="eastAsia" w:ascii="仿宋" w:hAnsi="仿宋" w:eastAsia="仿宋" w:cs="仿宋"/>
          <w:sz w:val="32"/>
          <w:szCs w:val="32"/>
        </w:rPr>
        <w:t>项目绩效自评表》，并撰写绩效自评报告。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矿区信访</w:t>
      </w:r>
      <w:r>
        <w:rPr>
          <w:rFonts w:hint="eastAsia" w:ascii="仿宋" w:hAnsi="仿宋" w:eastAsia="仿宋" w:cs="仿宋"/>
          <w:sz w:val="32"/>
          <w:szCs w:val="32"/>
        </w:rPr>
        <w:t>局20</w:t>
      </w:r>
      <w:r>
        <w:rPr>
          <w:rFonts w:hint="eastAsia" w:ascii="仿宋" w:hAnsi="仿宋" w:eastAsia="仿宋" w:cs="仿宋"/>
          <w:sz w:val="32"/>
          <w:szCs w:val="32"/>
          <w:lang w:val="en-US" w:eastAsia="zh-CN"/>
        </w:rPr>
        <w:t>24</w:t>
      </w:r>
      <w:r>
        <w:rPr>
          <w:rFonts w:hint="eastAsia" w:ascii="仿宋" w:hAnsi="仿宋" w:eastAsia="仿宋" w:cs="仿宋"/>
          <w:sz w:val="32"/>
          <w:szCs w:val="32"/>
        </w:rPr>
        <w:t>年度</w:t>
      </w:r>
      <w:r>
        <w:rPr>
          <w:rFonts w:hint="eastAsia" w:ascii="仿宋" w:hAnsi="仿宋" w:eastAsia="仿宋" w:cs="仿宋"/>
          <w:sz w:val="32"/>
          <w:szCs w:val="32"/>
          <w:lang w:eastAsia="zh-CN"/>
        </w:rPr>
        <w:t>年初</w:t>
      </w:r>
      <w:r>
        <w:rPr>
          <w:rFonts w:hint="eastAsia" w:ascii="仿宋" w:hAnsi="仿宋" w:eastAsia="仿宋" w:cs="仿宋"/>
          <w:sz w:val="32"/>
          <w:szCs w:val="32"/>
        </w:rPr>
        <w:t>预算共</w:t>
      </w:r>
      <w:r>
        <w:rPr>
          <w:rFonts w:hint="eastAsia" w:ascii="仿宋" w:hAnsi="仿宋" w:eastAsia="仿宋" w:cs="仿宋"/>
          <w:sz w:val="32"/>
          <w:szCs w:val="32"/>
          <w:lang w:val="en-US" w:eastAsia="zh-CN"/>
        </w:rPr>
        <w:t>243.8万元：人员预算91.67万元，日常公用经费预算4.97万元，项目</w:t>
      </w:r>
      <w:r>
        <w:rPr>
          <w:rFonts w:hint="eastAsia" w:ascii="仿宋" w:hAnsi="仿宋" w:eastAsia="仿宋" w:cs="仿宋"/>
          <w:sz w:val="32"/>
          <w:szCs w:val="32"/>
          <w:lang w:eastAsia="zh-CN"/>
        </w:rPr>
        <w:t>（七个）</w:t>
      </w:r>
      <w:r>
        <w:rPr>
          <w:rFonts w:hint="eastAsia" w:ascii="仿宋" w:hAnsi="仿宋" w:eastAsia="仿宋" w:cs="仿宋"/>
          <w:sz w:val="32"/>
          <w:szCs w:val="32"/>
          <w:lang w:val="en-US" w:eastAsia="zh-CN"/>
        </w:rPr>
        <w:t>预算</w:t>
      </w:r>
      <w:r>
        <w:rPr>
          <w:rFonts w:hint="eastAsia" w:ascii="仿宋" w:hAnsi="仿宋" w:eastAsia="仿宋" w:cs="仿宋"/>
          <w:sz w:val="32"/>
          <w:szCs w:val="32"/>
        </w:rPr>
        <w:t>涉及资金</w:t>
      </w:r>
      <w:r>
        <w:rPr>
          <w:rFonts w:hint="eastAsia" w:ascii="仿宋" w:hAnsi="仿宋" w:eastAsia="仿宋" w:cs="仿宋"/>
          <w:sz w:val="32"/>
          <w:szCs w:val="32"/>
          <w:lang w:val="en-US" w:eastAsia="zh-CN"/>
        </w:rPr>
        <w:t>147.16</w:t>
      </w:r>
      <w:r>
        <w:rPr>
          <w:rFonts w:hint="eastAsia" w:ascii="仿宋" w:eastAsia="仿宋" w:cs="仿宋"/>
          <w:sz w:val="32"/>
          <w:szCs w:val="32"/>
        </w:rPr>
        <w:t>万元</w:t>
      </w:r>
      <w:r>
        <w:rPr>
          <w:rFonts w:hint="eastAsia" w:ascii="仿宋" w:eastAsia="仿宋" w:cs="仿宋"/>
          <w:sz w:val="32"/>
          <w:szCs w:val="32"/>
          <w:lang w:eastAsia="zh-CN"/>
        </w:rPr>
        <w:t>。</w:t>
      </w:r>
      <w:r>
        <w:rPr>
          <w:rFonts w:hint="eastAsia" w:ascii="仿宋" w:hAnsi="仿宋" w:eastAsia="仿宋" w:cs="仿宋"/>
          <w:sz w:val="32"/>
          <w:szCs w:val="32"/>
        </w:rPr>
        <w:t>信访工作经费支出100万元，多元化解中心经费支出3万元，劳务派遣支出27.35万元，保安经费1.78万元，党建工作经费支出0.03万元；政务外网网经费支出5万元，2023年</w:t>
      </w:r>
      <w:r>
        <w:rPr>
          <w:rFonts w:hint="eastAsia" w:ascii="仿宋" w:hAnsi="仿宋" w:eastAsia="仿宋" w:cs="仿宋"/>
          <w:sz w:val="32"/>
          <w:szCs w:val="32"/>
          <w:lang w:eastAsia="zh-CN"/>
        </w:rPr>
        <w:t>中央及</w:t>
      </w:r>
      <w:r>
        <w:rPr>
          <w:rFonts w:hint="eastAsia" w:ascii="仿宋" w:hAnsi="仿宋" w:eastAsia="仿宋" w:cs="仿宋"/>
          <w:sz w:val="32"/>
          <w:szCs w:val="32"/>
        </w:rPr>
        <w:t>市级解决特殊疑难信访问题资金10万元。</w:t>
      </w:r>
      <w:r>
        <w:rPr>
          <w:rFonts w:hint="eastAsia" w:ascii="仿宋" w:hAnsi="仿宋" w:eastAsia="仿宋" w:cs="仿宋"/>
          <w:sz w:val="32"/>
          <w:szCs w:val="32"/>
          <w:lang w:eastAsia="zh-CN"/>
        </w:rPr>
        <w:t>专项资金项目（二个）</w:t>
      </w:r>
      <w:r>
        <w:rPr>
          <w:rFonts w:hint="eastAsia" w:ascii="仿宋" w:hAnsi="仿宋" w:eastAsia="仿宋" w:cs="仿宋"/>
          <w:sz w:val="32"/>
          <w:szCs w:val="32"/>
        </w:rPr>
        <w:t>涉及资金</w:t>
      </w:r>
      <w:r>
        <w:rPr>
          <w:rFonts w:hint="eastAsia" w:ascii="仿宋" w:hAnsi="仿宋" w:eastAsia="仿宋" w:cs="仿宋"/>
          <w:sz w:val="32"/>
          <w:szCs w:val="32"/>
          <w:lang w:val="en-US" w:eastAsia="zh-CN"/>
        </w:rPr>
        <w:t>5.7</w:t>
      </w:r>
      <w:r>
        <w:rPr>
          <w:rFonts w:hint="eastAsia" w:ascii="仿宋" w:eastAsia="仿宋" w:cs="仿宋"/>
          <w:sz w:val="32"/>
          <w:szCs w:val="32"/>
        </w:rPr>
        <w:t>万元</w:t>
      </w:r>
      <w:r>
        <w:rPr>
          <w:rFonts w:hint="eastAsia" w:ascii="仿宋" w:eastAsia="仿宋" w:cs="仿宋"/>
          <w:sz w:val="32"/>
          <w:szCs w:val="32"/>
          <w:lang w:eastAsia="zh-CN"/>
        </w:rPr>
        <w:t>，</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年解决特殊疑难信访问题</w:t>
      </w:r>
      <w:r>
        <w:rPr>
          <w:rFonts w:hint="eastAsia" w:ascii="仿宋" w:hAnsi="仿宋" w:eastAsia="仿宋" w:cs="仿宋"/>
          <w:sz w:val="32"/>
          <w:szCs w:val="32"/>
          <w:lang w:eastAsia="zh-CN"/>
        </w:rPr>
        <w:t>中央</w:t>
      </w:r>
      <w:r>
        <w:rPr>
          <w:rFonts w:hint="eastAsia" w:ascii="仿宋" w:hAnsi="仿宋" w:eastAsia="仿宋" w:cs="仿宋"/>
          <w:sz w:val="32"/>
          <w:szCs w:val="32"/>
        </w:rPr>
        <w:t>补助资金</w:t>
      </w:r>
      <w:r>
        <w:rPr>
          <w:rFonts w:hint="eastAsia" w:ascii="仿宋" w:hAnsi="仿宋" w:eastAsia="仿宋" w:cs="仿宋"/>
          <w:sz w:val="32"/>
          <w:szCs w:val="32"/>
          <w:lang w:val="en-US" w:eastAsia="zh-CN"/>
        </w:rPr>
        <w:t>0.8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eastAsia="zh-CN"/>
        </w:rPr>
        <w:t>市级</w:t>
      </w:r>
      <w:r>
        <w:rPr>
          <w:rFonts w:hint="eastAsia" w:ascii="仿宋" w:hAnsi="仿宋" w:eastAsia="仿宋" w:cs="仿宋"/>
          <w:sz w:val="32"/>
          <w:szCs w:val="32"/>
        </w:rPr>
        <w:t>解决特殊疑难信访问题补助资金</w:t>
      </w:r>
      <w:r>
        <w:rPr>
          <w:rFonts w:hint="eastAsia" w:ascii="仿宋" w:hAnsi="仿宋" w:eastAsia="仿宋" w:cs="仿宋"/>
          <w:sz w:val="32"/>
          <w:szCs w:val="32"/>
          <w:lang w:val="en-US" w:eastAsia="zh-CN"/>
        </w:rPr>
        <w:t>4.9</w:t>
      </w:r>
      <w:r>
        <w:rPr>
          <w:rFonts w:hint="eastAsia" w:ascii="仿宋" w:hAnsi="仿宋" w:eastAsia="仿宋" w:cs="仿宋"/>
          <w:sz w:val="32"/>
          <w:szCs w:val="32"/>
        </w:rPr>
        <w:t>万元</w:t>
      </w:r>
      <w:r>
        <w:rPr>
          <w:rFonts w:hint="eastAsia" w:ascii="仿宋" w:hAnsi="仿宋" w:eastAsia="仿宋" w:cs="仿宋"/>
          <w:sz w:val="32"/>
          <w:szCs w:val="32"/>
          <w:lang w:eastAsia="zh-CN"/>
        </w:rPr>
        <w:t>。</w:t>
      </w:r>
    </w:p>
    <w:p>
      <w:pPr>
        <w:widowControl w:val="0"/>
        <w:numPr>
          <w:ilvl w:val="0"/>
          <w:numId w:val="1"/>
        </w:numPr>
        <w:wordWrap/>
        <w:spacing w:line="560" w:lineRule="exact"/>
        <w:ind w:left="642" w:right="0" w:firstLine="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pStyle w:val="5"/>
        <w:rPr>
          <w:rFonts w:ascii="楷体" w:hAnsi="楷体" w:eastAsia="楷体" w:cs="楷体_GB2312"/>
          <w:bCs/>
          <w:sz w:val="32"/>
          <w:szCs w:val="32"/>
        </w:rPr>
      </w:pPr>
      <w:r>
        <w:rPr>
          <w:rFonts w:hint="eastAsia" w:ascii="仿宋" w:hAnsi="仿宋" w:eastAsia="仿宋" w:cs="楷体_GB2312"/>
          <w:b w:val="0"/>
          <w:bCs w:val="0"/>
          <w:sz w:val="32"/>
          <w:szCs w:val="32"/>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局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sz w:val="32"/>
          <w:szCs w:val="32"/>
          <w:lang w:eastAsia="zh-CN"/>
        </w:rPr>
        <w:t>政务外网经</w:t>
      </w:r>
      <w:r>
        <w:rPr>
          <w:rFonts w:hint="eastAsia" w:ascii="仿宋" w:hAnsi="仿宋" w:eastAsia="仿宋" w:cs="仿宋"/>
          <w:sz w:val="32"/>
          <w:szCs w:val="32"/>
        </w:rPr>
        <w:t>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5</w:t>
      </w:r>
      <w:r>
        <w:rPr>
          <w:rFonts w:hint="eastAsia" w:ascii="仿宋" w:hAnsi="仿宋" w:eastAsia="仿宋" w:cs="仿宋"/>
          <w:sz w:val="32"/>
          <w:szCs w:val="32"/>
        </w:rPr>
        <w:t>万元，支出</w:t>
      </w:r>
      <w:r>
        <w:rPr>
          <w:rFonts w:hint="eastAsia" w:ascii="仿宋" w:hAnsi="仿宋" w:eastAsia="仿宋" w:cs="仿宋"/>
          <w:sz w:val="32"/>
          <w:szCs w:val="32"/>
          <w:lang w:val="en-US" w:eastAsia="zh-CN"/>
        </w:rPr>
        <w:t>2</w:t>
      </w:r>
      <w:r>
        <w:rPr>
          <w:rFonts w:ascii="仿宋" w:hAnsi="仿宋" w:eastAsia="仿宋" w:cs="仿宋"/>
          <w:sz w:val="32"/>
          <w:szCs w:val="32"/>
        </w:rPr>
        <w:t>万元，</w:t>
      </w:r>
      <w:r>
        <w:rPr>
          <w:rFonts w:hint="eastAsia" w:ascii="仿宋" w:hAnsi="仿宋" w:eastAsia="仿宋" w:cs="仿宋"/>
          <w:sz w:val="32"/>
          <w:szCs w:val="32"/>
        </w:rPr>
        <w:t>总体支出进度为</w:t>
      </w:r>
      <w:r>
        <w:rPr>
          <w:rFonts w:hint="eastAsia" w:ascii="仿宋" w:hAnsi="仿宋" w:eastAsia="仿宋" w:cs="仿宋"/>
          <w:sz w:val="32"/>
          <w:szCs w:val="32"/>
          <w:lang w:val="en-US" w:eastAsia="zh-CN"/>
        </w:rPr>
        <w:t>40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产出指标和效果指标完成情况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国家、省、市转送交办信访事项183件，已全部按期办解，及时受理率、按期办结率均为100%，群众满意率为98.94%，群众参评率为100%。</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w:t>
      </w:r>
      <w:r>
        <w:rPr>
          <w:rFonts w:hint="eastAsia" w:ascii="仿宋" w:hAnsi="仿宋" w:eastAsia="仿宋" w:cs="仿宋"/>
          <w:sz w:val="32"/>
          <w:szCs w:val="32"/>
        </w:rPr>
        <w:t>）</w:t>
      </w:r>
      <w:r>
        <w:rPr>
          <w:rFonts w:ascii="仿宋" w:hAnsi="仿宋" w:eastAsia="仿宋" w:cs="仿宋"/>
          <w:sz w:val="32"/>
          <w:szCs w:val="32"/>
          <w:lang w:eastAsia="zh-CN"/>
        </w:rPr>
        <w:t>多元化解中心</w:t>
      </w:r>
      <w:r>
        <w:rPr>
          <w:rFonts w:hint="eastAsia" w:ascii="仿宋" w:hAnsi="仿宋" w:eastAsia="仿宋" w:cs="仿宋"/>
          <w:sz w:val="32"/>
          <w:szCs w:val="32"/>
        </w:rPr>
        <w:t>经费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3</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outlineLvl w:val="9"/>
        <w:rPr>
          <w:rFonts w:hint="eastAsia" w:ascii="仿宋" w:hAnsi="仿宋" w:eastAsia="仿宋" w:cs="仿宋"/>
          <w:sz w:val="32"/>
          <w:szCs w:val="32"/>
          <w:lang w:eastAsia="zh-CN"/>
        </w:rPr>
      </w:pPr>
      <w:r>
        <w:rPr>
          <w:rFonts w:hint="eastAsia" w:ascii="仿宋_GB2312" w:hAnsi="仿宋_GB2312" w:eastAsia="仿宋_GB2312" w:cs="仿宋_GB2312"/>
          <w:sz w:val="32"/>
          <w:szCs w:val="32"/>
          <w:lang w:val="en-US" w:eastAsia="zh-CN"/>
        </w:rPr>
        <w:t>制定并印发了《信访工作法治化工作手册》《信访法治化工作指南》，进一步筑牢信访维稳的基础防线，发挥好基层排头兵作用，压实基层信访责任，使压力层层传导不衰减。</w:t>
      </w:r>
      <w:r>
        <w:rPr>
          <w:rFonts w:hint="eastAsia" w:ascii="仿宋" w:hAnsi="仿宋" w:eastAsia="仿宋" w:cs="仿宋"/>
          <w:sz w:val="32"/>
          <w:szCs w:val="32"/>
          <w:lang w:eastAsia="zh-CN"/>
        </w:rPr>
        <w:t>入驻部门按照谁主管、谁负责和依法分类受理的原则，及时接待受理来访事项，对跨部门、跨行业和人事分离的来访事项要组织协调有关部门及时联合接待，建立“一站式接待、一条龙办理、一揽子解决”的工作机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w:t>
      </w:r>
      <w:r>
        <w:rPr>
          <w:rFonts w:hint="eastAsia" w:ascii="仿宋" w:hAnsi="仿宋" w:eastAsia="仿宋" w:cs="仿宋"/>
          <w:sz w:val="32"/>
          <w:szCs w:val="32"/>
          <w:lang w:eastAsia="zh-CN"/>
        </w:rPr>
        <w:t>优</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w:t>
      </w:r>
      <w:r>
        <w:rPr>
          <w:rFonts w:hint="eastAsia" w:ascii="仿宋" w:hAnsi="仿宋" w:eastAsia="仿宋" w:cs="仿宋"/>
          <w:sz w:val="32"/>
          <w:szCs w:val="32"/>
          <w:lang w:eastAsia="zh-CN"/>
        </w:rPr>
        <w:t>党建工作</w:t>
      </w:r>
      <w:r>
        <w:rPr>
          <w:rFonts w:hint="eastAsia" w:ascii="仿宋" w:hAnsi="仿宋" w:eastAsia="仿宋" w:cs="仿宋"/>
          <w:sz w:val="32"/>
          <w:szCs w:val="32"/>
        </w:rPr>
        <w:t>经费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0.03</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rPr>
        <w:t>局党组</w:t>
      </w:r>
      <w:r>
        <w:rPr>
          <w:rFonts w:hint="eastAsia" w:ascii="仿宋_GB2312" w:hAnsi="仿宋_GB2312" w:eastAsia="仿宋_GB2312" w:cs="仿宋_GB2312"/>
          <w:sz w:val="32"/>
          <w:szCs w:val="32"/>
          <w:lang w:val="en-US" w:eastAsia="zh-CN"/>
        </w:rPr>
        <w:t>认真抓好党建工作，按时完成党课、“三会一课”等学习任务，在思想上始终与中央和省市区保持一致，以党建工作为引领，促进信访工作有效开展</w:t>
      </w:r>
      <w:r>
        <w:rPr>
          <w:rFonts w:hint="eastAsia" w:ascii="仿宋" w:hAnsi="仿宋" w:eastAsia="仿宋" w:cs="仿宋"/>
          <w:bCs/>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（四）信访工作经费</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100</w:t>
      </w:r>
      <w:r>
        <w:rPr>
          <w:rFonts w:hint="eastAsia" w:ascii="仿宋" w:hAnsi="仿宋" w:eastAsia="仿宋" w:cs="仿宋"/>
          <w:sz w:val="32"/>
          <w:szCs w:val="32"/>
        </w:rPr>
        <w:t>万元，支出</w:t>
      </w:r>
      <w:r>
        <w:rPr>
          <w:rFonts w:hint="eastAsia" w:ascii="仿宋" w:hAnsi="仿宋" w:eastAsia="仿宋" w:cs="仿宋"/>
          <w:sz w:val="32"/>
          <w:szCs w:val="32"/>
          <w:lang w:val="en-US" w:eastAsia="zh-CN"/>
        </w:rPr>
        <w:t>44.3</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44.3</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圆满完成了全国“两会”、暑期安保、二十届三中全会等重要时期信访保障任务，未发生进京访和赴省集体访，实现了重要时期“三个确保”和进京访“零登记”工作目标。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五</w:t>
      </w:r>
      <w:r>
        <w:rPr>
          <w:rFonts w:hint="eastAsia" w:ascii="仿宋" w:hAnsi="仿宋" w:eastAsia="仿宋" w:cs="仿宋"/>
          <w:sz w:val="32"/>
          <w:szCs w:val="32"/>
        </w:rPr>
        <w:t>）</w:t>
      </w:r>
      <w:r>
        <w:rPr>
          <w:rFonts w:ascii="仿宋" w:hAnsi="仿宋" w:eastAsia="仿宋" w:cs="仿宋"/>
          <w:sz w:val="32"/>
          <w:szCs w:val="32"/>
          <w:lang w:val="en-US" w:eastAsia="zh-CN"/>
        </w:rPr>
        <w:t>劳务派遣</w:t>
      </w:r>
      <w:r>
        <w:rPr>
          <w:rFonts w:hint="eastAsia" w:ascii="仿宋" w:hAnsi="仿宋" w:eastAsia="仿宋" w:cs="仿宋"/>
          <w:sz w:val="32"/>
          <w:szCs w:val="32"/>
          <w:lang w:val="en-US" w:eastAsia="zh-CN"/>
        </w:rPr>
        <w:t>劳务</w:t>
      </w:r>
      <w:r>
        <w:rPr>
          <w:rFonts w:hint="eastAsia" w:ascii="仿宋" w:hAnsi="仿宋" w:eastAsia="仿宋" w:cs="仿宋"/>
          <w:sz w:val="32"/>
          <w:szCs w:val="32"/>
        </w:rPr>
        <w:t>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27.35</w:t>
      </w:r>
      <w:r>
        <w:rPr>
          <w:rFonts w:hint="eastAsia" w:ascii="仿宋" w:hAnsi="仿宋" w:eastAsia="仿宋" w:cs="仿宋"/>
          <w:sz w:val="32"/>
          <w:szCs w:val="32"/>
        </w:rPr>
        <w:t>万元，支出</w:t>
      </w:r>
      <w:r>
        <w:rPr>
          <w:rFonts w:hint="eastAsia" w:ascii="仿宋" w:hAnsi="仿宋" w:eastAsia="仿宋" w:cs="仿宋"/>
          <w:sz w:val="32"/>
          <w:szCs w:val="32"/>
          <w:lang w:val="en-US" w:eastAsia="zh-CN"/>
        </w:rPr>
        <w:t>23.07</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84</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adjustRightInd w:val="0"/>
        <w:snapToGri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由于</w:t>
      </w:r>
      <w:r>
        <w:rPr>
          <w:rFonts w:hint="eastAsia" w:ascii="仿宋" w:hAnsi="仿宋" w:eastAsia="仿宋" w:cs="仿宋"/>
          <w:color w:val="000000"/>
          <w:sz w:val="32"/>
          <w:szCs w:val="32"/>
        </w:rPr>
        <w:t>劳务派遣工作人员的增加，弥补统计工作人员严重不足的现状，保障了</w:t>
      </w:r>
      <w:r>
        <w:rPr>
          <w:rFonts w:hint="eastAsia" w:ascii="仿宋" w:hAnsi="仿宋" w:eastAsia="仿宋" w:cs="仿宋"/>
          <w:color w:val="000000"/>
          <w:sz w:val="32"/>
          <w:szCs w:val="32"/>
          <w:lang w:eastAsia="zh-CN"/>
        </w:rPr>
        <w:t>信访</w:t>
      </w:r>
      <w:r>
        <w:rPr>
          <w:rFonts w:hint="eastAsia" w:ascii="仿宋" w:hAnsi="仿宋" w:eastAsia="仿宋" w:cs="仿宋"/>
          <w:color w:val="000000"/>
          <w:sz w:val="32"/>
          <w:szCs w:val="32"/>
        </w:rPr>
        <w:t>工作圆满完成。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六</w:t>
      </w:r>
      <w:r>
        <w:rPr>
          <w:rFonts w:hint="eastAsia" w:ascii="仿宋" w:hAnsi="仿宋" w:eastAsia="仿宋" w:cs="仿宋"/>
          <w:sz w:val="32"/>
          <w:szCs w:val="32"/>
        </w:rPr>
        <w:t>）</w:t>
      </w:r>
      <w:r>
        <w:rPr>
          <w:rFonts w:hint="eastAsia" w:ascii="仿宋" w:hAnsi="仿宋" w:eastAsia="仿宋" w:cs="仿宋"/>
          <w:sz w:val="32"/>
          <w:szCs w:val="32"/>
          <w:lang w:val="en-US" w:eastAsia="zh-CN"/>
        </w:rPr>
        <w:t>保安劳务</w:t>
      </w:r>
      <w:r>
        <w:rPr>
          <w:rFonts w:hint="eastAsia" w:ascii="仿宋" w:hAnsi="仿宋" w:eastAsia="仿宋" w:cs="仿宋"/>
          <w:sz w:val="32"/>
          <w:szCs w:val="32"/>
        </w:rPr>
        <w:t>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1.78</w:t>
      </w:r>
      <w:r>
        <w:rPr>
          <w:rFonts w:hint="eastAsia" w:ascii="仿宋" w:hAnsi="仿宋" w:eastAsia="仿宋" w:cs="仿宋"/>
          <w:sz w:val="32"/>
          <w:szCs w:val="32"/>
        </w:rPr>
        <w:t>万元，支出</w:t>
      </w:r>
      <w:r>
        <w:rPr>
          <w:rFonts w:hint="eastAsia" w:ascii="仿宋" w:hAnsi="仿宋" w:eastAsia="仿宋" w:cs="仿宋"/>
          <w:sz w:val="32"/>
          <w:szCs w:val="32"/>
          <w:lang w:val="en-US" w:eastAsia="zh-CN"/>
        </w:rPr>
        <w:t>1.48</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83</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adjustRightInd w:val="0"/>
        <w:snapToGri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由于保安工作人员</w:t>
      </w:r>
      <w:r>
        <w:rPr>
          <w:rFonts w:hint="eastAsia" w:ascii="仿宋" w:hAnsi="仿宋" w:eastAsia="仿宋" w:cs="仿宋"/>
          <w:color w:val="000000"/>
          <w:sz w:val="32"/>
          <w:szCs w:val="32"/>
        </w:rPr>
        <w:t>增加，弥补统计工作人员严重不足的现状，保障了</w:t>
      </w:r>
      <w:r>
        <w:rPr>
          <w:rFonts w:hint="eastAsia" w:ascii="仿宋" w:hAnsi="仿宋" w:eastAsia="仿宋" w:cs="仿宋"/>
          <w:color w:val="000000"/>
          <w:sz w:val="32"/>
          <w:szCs w:val="32"/>
          <w:lang w:eastAsia="zh-CN"/>
        </w:rPr>
        <w:t>信访</w:t>
      </w:r>
      <w:r>
        <w:rPr>
          <w:rFonts w:hint="eastAsia" w:ascii="仿宋" w:hAnsi="仿宋" w:eastAsia="仿宋" w:cs="仿宋"/>
          <w:color w:val="000000"/>
          <w:sz w:val="32"/>
          <w:szCs w:val="32"/>
        </w:rPr>
        <w:t>工作圆满完成。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七</w:t>
      </w:r>
      <w:r>
        <w:rPr>
          <w:rFonts w:hint="eastAsia" w:ascii="仿宋" w:hAnsi="仿宋" w:eastAsia="仿宋" w:cs="仿宋"/>
          <w:sz w:val="32"/>
          <w:szCs w:val="32"/>
        </w:rPr>
        <w:t>）</w:t>
      </w:r>
      <w:r>
        <w:rPr>
          <w:rFonts w:hint="eastAsia" w:ascii="仿宋" w:hAnsi="仿宋" w:eastAsia="仿宋" w:cs="仿宋"/>
          <w:sz w:val="32"/>
          <w:szCs w:val="32"/>
          <w:lang w:val="en-US" w:eastAsia="zh-CN"/>
        </w:rPr>
        <w:t>2023年中央及市级解决特殊疑难信访问题资金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10</w:t>
      </w:r>
      <w:r>
        <w:rPr>
          <w:rFonts w:hint="eastAsia" w:ascii="仿宋" w:hAnsi="仿宋" w:eastAsia="仿宋" w:cs="仿宋"/>
          <w:sz w:val="32"/>
          <w:szCs w:val="32"/>
        </w:rPr>
        <w:t>万元，支出</w:t>
      </w:r>
      <w:r>
        <w:rPr>
          <w:rFonts w:hint="eastAsia" w:ascii="仿宋" w:hAnsi="仿宋" w:eastAsia="仿宋" w:cs="仿宋"/>
          <w:sz w:val="32"/>
          <w:szCs w:val="32"/>
          <w:lang w:val="en-US" w:eastAsia="zh-CN"/>
        </w:rPr>
        <w:t>10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adjustRightInd w:val="0"/>
        <w:snapToGri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解决一批信访疑难案件</w:t>
      </w:r>
      <w:r>
        <w:rPr>
          <w:rFonts w:hint="eastAsia" w:ascii="仿宋" w:hAnsi="仿宋" w:eastAsia="仿宋" w:cs="仿宋"/>
          <w:color w:val="000000"/>
          <w:sz w:val="32"/>
          <w:szCs w:val="32"/>
        </w:rPr>
        <w:t>，</w:t>
      </w:r>
      <w:r>
        <w:rPr>
          <w:rFonts w:hint="eastAsia" w:ascii="仿宋" w:hAnsi="仿宋" w:eastAsia="仿宋" w:cs="仿宋"/>
          <w:color w:val="000000"/>
          <w:sz w:val="32"/>
          <w:szCs w:val="32"/>
          <w:lang w:eastAsia="zh-CN"/>
        </w:rPr>
        <w:t>确保案件处理到位</w:t>
      </w:r>
      <w:r>
        <w:rPr>
          <w:rFonts w:hint="eastAsia" w:ascii="仿宋" w:hAnsi="仿宋" w:eastAsia="仿宋" w:cs="仿宋"/>
          <w:color w:val="000000"/>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八</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年解决特殊疑难信访问题</w:t>
      </w:r>
      <w:r>
        <w:rPr>
          <w:rFonts w:hint="eastAsia" w:ascii="仿宋" w:hAnsi="仿宋" w:eastAsia="仿宋" w:cs="仿宋"/>
          <w:sz w:val="32"/>
          <w:szCs w:val="32"/>
          <w:lang w:eastAsia="zh-CN"/>
        </w:rPr>
        <w:t>中央</w:t>
      </w:r>
      <w:r>
        <w:rPr>
          <w:rFonts w:hint="eastAsia" w:ascii="仿宋" w:hAnsi="仿宋" w:eastAsia="仿宋" w:cs="仿宋"/>
          <w:sz w:val="32"/>
          <w:szCs w:val="32"/>
        </w:rPr>
        <w:t>补助资金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0.8</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0.8</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adjustRightInd w:val="0"/>
        <w:snapToGri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解决一批信访疑难案件</w:t>
      </w:r>
      <w:r>
        <w:rPr>
          <w:rFonts w:hint="eastAsia" w:ascii="仿宋" w:hAnsi="仿宋" w:eastAsia="仿宋" w:cs="仿宋"/>
          <w:color w:val="000000"/>
          <w:sz w:val="32"/>
          <w:szCs w:val="32"/>
        </w:rPr>
        <w:t>，</w:t>
      </w:r>
      <w:r>
        <w:rPr>
          <w:rFonts w:hint="eastAsia" w:ascii="仿宋" w:hAnsi="仿宋" w:eastAsia="仿宋" w:cs="仿宋"/>
          <w:color w:val="000000"/>
          <w:sz w:val="32"/>
          <w:szCs w:val="32"/>
          <w:lang w:eastAsia="zh-CN"/>
        </w:rPr>
        <w:t>确保案件处理到位</w:t>
      </w:r>
      <w:r>
        <w:rPr>
          <w:rFonts w:hint="eastAsia" w:ascii="仿宋" w:hAnsi="仿宋" w:eastAsia="仿宋" w:cs="仿宋"/>
          <w:color w:val="000000"/>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九</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eastAsia="zh-CN"/>
        </w:rPr>
        <w:t>市级</w:t>
      </w:r>
      <w:r>
        <w:rPr>
          <w:rFonts w:hint="eastAsia" w:ascii="仿宋" w:hAnsi="仿宋" w:eastAsia="仿宋" w:cs="仿宋"/>
          <w:sz w:val="32"/>
          <w:szCs w:val="32"/>
        </w:rPr>
        <w:t>解决特殊疑难信访问题</w:t>
      </w:r>
      <w:r>
        <w:rPr>
          <w:rFonts w:hint="eastAsia" w:ascii="仿宋" w:hAnsi="仿宋" w:eastAsia="仿宋" w:cs="仿宋"/>
          <w:sz w:val="32"/>
          <w:szCs w:val="32"/>
          <w:lang w:eastAsia="zh-CN"/>
        </w:rPr>
        <w:t>中央</w:t>
      </w:r>
      <w:r>
        <w:rPr>
          <w:rFonts w:hint="eastAsia" w:ascii="仿宋" w:hAnsi="仿宋" w:eastAsia="仿宋" w:cs="仿宋"/>
          <w:sz w:val="32"/>
          <w:szCs w:val="32"/>
        </w:rPr>
        <w:t>补助资金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4.9</w:t>
      </w:r>
      <w:r>
        <w:rPr>
          <w:rFonts w:hint="eastAsia" w:ascii="仿宋" w:hAnsi="仿宋" w:eastAsia="仿宋" w:cs="仿宋"/>
          <w:sz w:val="32"/>
          <w:szCs w:val="32"/>
        </w:rPr>
        <w:t>万元，支出</w:t>
      </w:r>
      <w:r>
        <w:rPr>
          <w:rFonts w:hint="eastAsia" w:ascii="仿宋" w:hAnsi="仿宋" w:eastAsia="仿宋" w:cs="仿宋"/>
          <w:sz w:val="32"/>
          <w:szCs w:val="32"/>
          <w:lang w:val="en-US" w:eastAsia="zh-CN"/>
        </w:rPr>
        <w:t>4.9</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pPr>
        <w:adjustRightInd w:val="0"/>
        <w:snapToGri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解决一批信访疑难案件</w:t>
      </w:r>
      <w:r>
        <w:rPr>
          <w:rFonts w:hint="eastAsia" w:ascii="仿宋" w:hAnsi="仿宋" w:eastAsia="仿宋" w:cs="仿宋"/>
          <w:color w:val="000000"/>
          <w:sz w:val="32"/>
          <w:szCs w:val="32"/>
        </w:rPr>
        <w:t>，</w:t>
      </w:r>
      <w:r>
        <w:rPr>
          <w:rFonts w:hint="eastAsia" w:ascii="仿宋" w:hAnsi="仿宋" w:eastAsia="仿宋" w:cs="仿宋"/>
          <w:color w:val="000000"/>
          <w:sz w:val="32"/>
          <w:szCs w:val="32"/>
          <w:lang w:eastAsia="zh-CN"/>
        </w:rPr>
        <w:t>确保案件处理到位</w:t>
      </w:r>
      <w:r>
        <w:rPr>
          <w:rFonts w:hint="eastAsia" w:ascii="仿宋" w:hAnsi="仿宋" w:eastAsia="仿宋" w:cs="仿宋"/>
          <w:color w:val="000000"/>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w:t>
      </w:r>
      <w:r>
        <w:rPr>
          <w:rFonts w:hint="eastAsia" w:ascii="仿宋" w:hAnsi="仿宋" w:eastAsia="仿宋"/>
          <w:color w:val="auto"/>
          <w:sz w:val="32"/>
          <w:szCs w:val="32"/>
          <w:highlight w:val="none"/>
        </w:rPr>
        <w:t>分</w:t>
      </w:r>
      <w:r>
        <w:rPr>
          <w:rFonts w:hint="eastAsia" w:ascii="仿宋" w:hAnsi="仿宋" w:eastAsia="仿宋"/>
          <w:color w:val="auto"/>
          <w:sz w:val="32"/>
          <w:szCs w:val="32"/>
          <w:highlight w:val="none"/>
          <w:lang w:val="en-US" w:eastAsia="zh-CN"/>
        </w:rPr>
        <w:t>98</w:t>
      </w:r>
      <w:r>
        <w:rPr>
          <w:rFonts w:hint="eastAsia" w:ascii="仿宋" w:hAnsi="仿宋" w:eastAsia="仿宋"/>
          <w:color w:val="auto"/>
          <w:sz w:val="32"/>
          <w:szCs w:val="32"/>
          <w:highlight w:val="none"/>
        </w:rPr>
        <w:t>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right="0" w:firstLine="640"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right="0" w:firstLine="640" w:firstLineChars="200"/>
        <w:textAlignment w:val="auto"/>
        <w:outlineLvl w:val="9"/>
        <w:rPr>
          <w:rFonts w:hint="eastAsia" w:ascii="仿宋" w:hAnsi="仿宋" w:eastAsia="仿宋"/>
          <w:b/>
          <w:bCs/>
          <w:sz w:val="32"/>
          <w:szCs w:val="32"/>
        </w:rPr>
      </w:pPr>
      <w:r>
        <w:rPr>
          <w:rFonts w:hint="eastAsia" w:ascii="仿宋" w:hAnsi="仿宋" w:eastAsia="仿宋"/>
          <w:b w:val="0"/>
          <w:bCs w:val="0"/>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w:t>
      </w:r>
      <w:r>
        <w:rPr>
          <w:rFonts w:hint="eastAsia" w:ascii="仿宋" w:hAnsi="仿宋" w:eastAsia="仿宋"/>
          <w:b w:val="0"/>
          <w:bCs w:val="0"/>
          <w:sz w:val="32"/>
          <w:szCs w:val="32"/>
          <w:lang w:eastAsia="zh-CN"/>
        </w:rPr>
        <w:t>职工</w:t>
      </w:r>
      <w:r>
        <w:rPr>
          <w:rFonts w:hint="eastAsia" w:ascii="仿宋" w:hAnsi="仿宋" w:eastAsia="仿宋"/>
          <w:b w:val="0"/>
          <w:bCs w:val="0"/>
          <w:sz w:val="32"/>
          <w:szCs w:val="32"/>
        </w:rPr>
        <w:t xml:space="preserve">发展的标杆。绩效评价在指标设定上存在偏离的现象。在当前绩效考核指标设定上，德能勤绩这种传统的固化思维模式依旧存在，不能紧紧围绕工作重点、偏离实际的现象依旧凸显。 </w:t>
      </w:r>
      <w:r>
        <w:rPr>
          <w:rFonts w:hint="eastAsia" w:ascii="仿宋" w:hAnsi="仿宋" w:eastAsia="仿宋"/>
          <w:b/>
          <w:bCs/>
          <w:sz w:val="32"/>
          <w:szCs w:val="32"/>
        </w:rPr>
        <w:t xml:space="preserve"> </w:t>
      </w:r>
    </w:p>
    <w:p>
      <w:pPr>
        <w:widowControl w:val="0"/>
        <w:wordWrap/>
        <w:spacing w:line="560" w:lineRule="exact"/>
        <w:ind w:left="0" w:right="0" w:firstLine="640"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adjustRightInd w:val="0"/>
        <w:snapToGrid w:val="0"/>
        <w:spacing w:line="560" w:lineRule="exact"/>
        <w:ind w:firstLine="640" w:firstLineChars="200"/>
      </w:pPr>
      <w:r>
        <w:rPr>
          <w:rFonts w:hint="eastAsia" w:ascii="仿宋" w:hAnsi="仿宋" w:eastAsia="仿宋" w:cs="仿宋"/>
          <w:sz w:val="32"/>
          <w:szCs w:val="32"/>
        </w:rPr>
        <w:t>针对绩效指标设定中存在的问题，从实际出发，在202</w:t>
      </w:r>
      <w:r>
        <w:rPr>
          <w:rFonts w:hint="eastAsia" w:ascii="仿宋" w:hAnsi="仿宋" w:eastAsia="仿宋" w:cs="仿宋"/>
          <w:sz w:val="32"/>
          <w:szCs w:val="32"/>
          <w:lang w:val="en-US" w:eastAsia="zh-CN"/>
        </w:rPr>
        <w:t>4</w:t>
      </w:r>
      <w:bookmarkStart w:id="0" w:name="_GoBack"/>
      <w:bookmarkEnd w:id="0"/>
      <w:r>
        <w:rPr>
          <w:rFonts w:hint="eastAsia" w:ascii="仿宋" w:hAnsi="仿宋" w:eastAsia="仿宋" w:cs="仿宋"/>
          <w:sz w:val="32"/>
          <w:szCs w:val="32"/>
        </w:rPr>
        <w:t>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pPr>
        <w:adjustRightInd w:val="0"/>
        <w:snapToGrid w:val="0"/>
        <w:spacing w:line="560" w:lineRule="exact"/>
        <w:ind w:firstLine="640" w:firstLineChars="200"/>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numPr>
          <w:ilvl w:val="0"/>
          <w:numId w:val="3"/>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w:t>
      </w:r>
    </w:p>
    <w:p>
      <w:pPr>
        <w:numPr>
          <w:ilvl w:val="0"/>
          <w:numId w:val="0"/>
        </w:numPr>
        <w:adjustRightInd w:val="0"/>
        <w:snapToGrid w:val="0"/>
        <w:spacing w:line="560" w:lineRule="exact"/>
        <w:rPr>
          <w:rFonts w:hint="eastAsia" w:ascii="黑体" w:hAnsi="黑体" w:eastAsia="黑体"/>
          <w:sz w:val="32"/>
          <w:szCs w:val="32"/>
        </w:rPr>
      </w:pPr>
    </w:p>
    <w:p>
      <w:pPr>
        <w:widowControl w:val="0"/>
        <w:wordWrap/>
        <w:spacing w:line="560" w:lineRule="exact"/>
        <w:ind w:left="0" w:right="0"/>
        <w:jc w:val="center"/>
        <w:textAlignment w:val="auto"/>
        <w:outlineLvl w:val="9"/>
        <w:rPr>
          <w:rFonts w:hint="eastAsia" w:ascii="宋体" w:hAnsi="宋体" w:eastAsia="宋体" w:cs="宋体"/>
          <w:sz w:val="44"/>
          <w:szCs w:val="44"/>
          <w:lang w:eastAsia="zh-CN"/>
        </w:rPr>
      </w:pPr>
      <w:r>
        <w:rPr>
          <w:rFonts w:hint="eastAsia" w:ascii="宋体" w:hAnsi="宋体" w:eastAsia="宋体" w:cs="宋体"/>
          <w:sz w:val="44"/>
          <w:szCs w:val="44"/>
          <w:lang w:eastAsia="zh-CN"/>
        </w:rPr>
        <w:t>评价工作组人员名单</w:t>
      </w:r>
    </w:p>
    <w:tbl>
      <w:tblPr>
        <w:tblStyle w:val="9"/>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Pr>
          <w:p>
            <w:pPr>
              <w:pStyle w:val="5"/>
              <w:ind w:left="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tcPr>
          <w:p>
            <w:pPr>
              <w:pStyle w:val="5"/>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tcPr>
          <w:p>
            <w:pPr>
              <w:pStyle w:val="5"/>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tcPr>
          <w:p>
            <w:pPr>
              <w:pStyle w:val="5"/>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职务</w:t>
            </w:r>
          </w:p>
        </w:tc>
        <w:tc>
          <w:tcPr>
            <w:tcW w:w="1813" w:type="dxa"/>
          </w:tcPr>
          <w:p>
            <w:pPr>
              <w:pStyle w:val="5"/>
              <w:jc w:val="both"/>
              <w:rPr>
                <w:rFonts w:hint="eastAsia"/>
                <w:vertAlign w:val="baseline"/>
                <w:lang w:eastAsia="zh-CN"/>
              </w:rPr>
            </w:pPr>
            <w:r>
              <w:rPr>
                <w:rFonts w:hint="eastAsia"/>
                <w:vertAlign w:val="baseline"/>
                <w:lang w:eastAsia="zh-CN"/>
              </w:rPr>
              <w:t>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ind w:left="0" w:firstLine="0" w:firstLineChars="0"/>
              <w:jc w:val="both"/>
              <w:rPr>
                <w:rFonts w:hint="eastAsia"/>
                <w:vertAlign w:val="baseline"/>
                <w:lang w:val="en-US" w:eastAsia="zh-CN"/>
              </w:rPr>
            </w:pPr>
            <w:r>
              <w:rPr>
                <w:rFonts w:hint="eastAsia"/>
                <w:vertAlign w:val="baseline"/>
                <w:lang w:val="en-US" w:eastAsia="zh-CN"/>
              </w:rPr>
              <w:t xml:space="preserve">  1</w:t>
            </w:r>
          </w:p>
        </w:tc>
        <w:tc>
          <w:tcPr>
            <w:tcW w:w="1172" w:type="dxa"/>
            <w:tcBorders>
              <w:top w:val="single" w:color="auto" w:sz="4" w:space="0"/>
              <w:left w:val="single" w:color="auto" w:sz="4" w:space="0"/>
              <w:right w:val="single" w:color="auto" w:sz="4" w:space="0"/>
            </w:tcBorders>
          </w:tcPr>
          <w:p>
            <w:pPr>
              <w:pStyle w:val="5"/>
              <w:ind w:left="0" w:firstLine="0" w:firstLineChars="0"/>
              <w:jc w:val="both"/>
              <w:rPr>
                <w:rFonts w:hint="eastAsia"/>
                <w:vertAlign w:val="baseline"/>
                <w:lang w:eastAsia="zh-CN"/>
              </w:rPr>
            </w:pPr>
            <w:r>
              <w:rPr>
                <w:rFonts w:hint="eastAsia"/>
                <w:vertAlign w:val="baseline"/>
                <w:lang w:eastAsia="zh-CN"/>
              </w:rPr>
              <w:t>朱永革</w:t>
            </w:r>
          </w:p>
        </w:tc>
        <w:tc>
          <w:tcPr>
            <w:tcW w:w="1856" w:type="dxa"/>
            <w:tcBorders>
              <w:top w:val="single" w:color="auto" w:sz="4" w:space="0"/>
              <w:left w:val="single" w:color="auto" w:sz="4" w:space="0"/>
              <w:right w:val="single" w:color="auto" w:sz="4" w:space="0"/>
            </w:tcBorders>
            <w:vAlign w:val="center"/>
          </w:tcPr>
          <w:p>
            <w:pPr>
              <w:pStyle w:val="5"/>
              <w:ind w:left="0" w:firstLine="0" w:firstLineChars="0"/>
              <w:jc w:val="center"/>
              <w:rPr>
                <w:rFonts w:hint="eastAsia"/>
                <w:vertAlign w:val="baseline"/>
                <w:lang w:eastAsia="zh-CN"/>
              </w:rPr>
            </w:pPr>
            <w:r>
              <w:rPr>
                <w:rFonts w:hint="eastAsia"/>
                <w:vertAlign w:val="baseline"/>
                <w:lang w:eastAsia="zh-CN"/>
              </w:rPr>
              <w:t>区信访局</w:t>
            </w:r>
          </w:p>
        </w:tc>
        <w:tc>
          <w:tcPr>
            <w:tcW w:w="3071" w:type="dxa"/>
            <w:tcBorders>
              <w:top w:val="single" w:color="auto" w:sz="4" w:space="0"/>
              <w:left w:val="single" w:color="auto" w:sz="4" w:space="0"/>
              <w:right w:val="single" w:color="auto" w:sz="4" w:space="0"/>
            </w:tcBorders>
          </w:tcPr>
          <w:p>
            <w:pPr>
              <w:pStyle w:val="5"/>
              <w:ind w:left="0" w:firstLine="0" w:firstLineChars="0"/>
              <w:jc w:val="both"/>
              <w:rPr>
                <w:rFonts w:hint="eastAsia"/>
                <w:vertAlign w:val="baseline"/>
                <w:lang w:eastAsia="zh-CN"/>
              </w:rPr>
            </w:pPr>
            <w:r>
              <w:rPr>
                <w:rFonts w:hint="eastAsia"/>
                <w:vertAlign w:val="baseline"/>
                <w:lang w:eastAsia="zh-CN"/>
              </w:rPr>
              <w:t>局长、四级调配员</w:t>
            </w:r>
          </w:p>
        </w:tc>
        <w:tc>
          <w:tcPr>
            <w:tcW w:w="1813" w:type="dxa"/>
            <w:tcBorders>
              <w:top w:val="single" w:color="auto" w:sz="4" w:space="0"/>
              <w:left w:val="single" w:color="auto" w:sz="4" w:space="0"/>
              <w:right w:val="single" w:color="auto" w:sz="4" w:space="0"/>
            </w:tcBorders>
          </w:tcPr>
          <w:p>
            <w:pPr>
              <w:pStyle w:val="5"/>
              <w:jc w:val="both"/>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ind w:left="0" w:firstLine="0" w:firstLineChars="0"/>
              <w:jc w:val="both"/>
              <w:rPr>
                <w:rFonts w:hint="eastAsia"/>
                <w:vertAlign w:val="baseline"/>
                <w:lang w:val="en-US" w:eastAsia="zh-CN"/>
              </w:rPr>
            </w:pPr>
            <w:r>
              <w:rPr>
                <w:rFonts w:hint="eastAsia"/>
                <w:vertAlign w:val="baseline"/>
                <w:lang w:val="en-US" w:eastAsia="zh-CN"/>
              </w:rPr>
              <w:t xml:space="preserve">  2</w:t>
            </w:r>
          </w:p>
        </w:tc>
        <w:tc>
          <w:tcPr>
            <w:tcW w:w="1172" w:type="dxa"/>
            <w:tcBorders>
              <w:top w:val="single" w:color="auto" w:sz="4" w:space="0"/>
              <w:left w:val="single" w:color="auto" w:sz="4" w:space="0"/>
              <w:right w:val="single" w:color="auto" w:sz="4" w:space="0"/>
            </w:tcBorders>
          </w:tcPr>
          <w:p>
            <w:pPr>
              <w:pStyle w:val="5"/>
              <w:ind w:left="0" w:firstLine="0" w:firstLineChars="0"/>
              <w:jc w:val="both"/>
              <w:rPr>
                <w:rFonts w:hint="eastAsia"/>
                <w:vertAlign w:val="baseline"/>
                <w:lang w:eastAsia="zh-CN"/>
              </w:rPr>
            </w:pPr>
            <w:r>
              <w:rPr>
                <w:rFonts w:hint="eastAsia"/>
                <w:vertAlign w:val="baseline"/>
                <w:lang w:eastAsia="zh-CN"/>
              </w:rPr>
              <w:t>贾志军</w:t>
            </w:r>
          </w:p>
        </w:tc>
        <w:tc>
          <w:tcPr>
            <w:tcW w:w="1856" w:type="dxa"/>
            <w:tcBorders>
              <w:top w:val="single" w:color="auto" w:sz="4" w:space="0"/>
              <w:left w:val="single" w:color="auto" w:sz="4" w:space="0"/>
              <w:right w:val="single" w:color="auto" w:sz="4" w:space="0"/>
            </w:tcBorders>
            <w:vAlign w:val="center"/>
          </w:tcPr>
          <w:p>
            <w:pPr>
              <w:pStyle w:val="5"/>
              <w:ind w:left="0" w:firstLine="0" w:firstLineChars="0"/>
              <w:jc w:val="center"/>
              <w:rPr>
                <w:rFonts w:hint="eastAsia"/>
                <w:vertAlign w:val="baseline"/>
                <w:lang w:eastAsia="zh-CN"/>
              </w:rPr>
            </w:pPr>
            <w:r>
              <w:rPr>
                <w:rFonts w:hint="eastAsia"/>
                <w:vertAlign w:val="baseline"/>
                <w:lang w:eastAsia="zh-CN"/>
              </w:rPr>
              <w:t>区信访局</w:t>
            </w:r>
          </w:p>
        </w:tc>
        <w:tc>
          <w:tcPr>
            <w:tcW w:w="3071" w:type="dxa"/>
            <w:tcBorders>
              <w:top w:val="single" w:color="auto" w:sz="4" w:space="0"/>
              <w:left w:val="single" w:color="auto" w:sz="4" w:space="0"/>
              <w:right w:val="single" w:color="auto" w:sz="4" w:space="0"/>
            </w:tcBorders>
          </w:tcPr>
          <w:p>
            <w:pPr>
              <w:pStyle w:val="5"/>
              <w:ind w:left="0" w:firstLine="0" w:firstLineChars="0"/>
              <w:jc w:val="both"/>
              <w:rPr>
                <w:rFonts w:hint="eastAsia"/>
                <w:vertAlign w:val="baseline"/>
                <w:lang w:eastAsia="zh-CN"/>
              </w:rPr>
            </w:pPr>
            <w:r>
              <w:rPr>
                <w:rFonts w:hint="eastAsia"/>
                <w:vertAlign w:val="baseline"/>
                <w:lang w:eastAsia="zh-CN"/>
              </w:rPr>
              <w:t>副局长、二级主任科员</w:t>
            </w:r>
          </w:p>
        </w:tc>
        <w:tc>
          <w:tcPr>
            <w:tcW w:w="1813" w:type="dxa"/>
            <w:tcBorders>
              <w:top w:val="single" w:color="auto" w:sz="4" w:space="0"/>
              <w:left w:val="single" w:color="auto" w:sz="4" w:space="0"/>
              <w:right w:val="single" w:color="auto" w:sz="4" w:space="0"/>
            </w:tcBorders>
          </w:tcPr>
          <w:p>
            <w:pPr>
              <w:pStyle w:val="5"/>
              <w:jc w:val="both"/>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ind w:left="0" w:firstLine="0" w:firstLineChars="0"/>
              <w:jc w:val="both"/>
              <w:rPr>
                <w:rFonts w:hint="eastAsia"/>
                <w:vertAlign w:val="baseline"/>
                <w:lang w:val="en-US" w:eastAsia="zh-CN"/>
              </w:rPr>
            </w:pPr>
            <w:r>
              <w:rPr>
                <w:rFonts w:hint="eastAsia"/>
                <w:vertAlign w:val="baseline"/>
                <w:lang w:val="en-US" w:eastAsia="zh-CN"/>
              </w:rPr>
              <w:t xml:space="preserve">  3</w:t>
            </w:r>
          </w:p>
        </w:tc>
        <w:tc>
          <w:tcPr>
            <w:tcW w:w="1172" w:type="dxa"/>
            <w:tcBorders>
              <w:top w:val="single" w:color="auto" w:sz="4" w:space="0"/>
              <w:left w:val="single" w:color="auto" w:sz="4" w:space="0"/>
              <w:right w:val="single" w:color="auto" w:sz="4" w:space="0"/>
            </w:tcBorders>
          </w:tcPr>
          <w:p>
            <w:pPr>
              <w:pStyle w:val="5"/>
              <w:ind w:left="0" w:firstLine="0" w:firstLineChars="0"/>
              <w:jc w:val="both"/>
              <w:rPr>
                <w:rFonts w:hint="eastAsia" w:eastAsia="仿宋_GB2312"/>
                <w:vertAlign w:val="baseline"/>
                <w:lang w:eastAsia="zh-CN"/>
              </w:rPr>
            </w:pPr>
            <w:r>
              <w:rPr>
                <w:rFonts w:hint="eastAsia"/>
                <w:vertAlign w:val="baseline"/>
                <w:lang w:eastAsia="zh-CN"/>
              </w:rPr>
              <w:t>梅</w:t>
            </w:r>
            <w:r>
              <w:rPr>
                <w:rFonts w:hint="eastAsia"/>
                <w:vertAlign w:val="baseline"/>
                <w:lang w:val="en-US" w:eastAsia="zh-CN"/>
              </w:rPr>
              <w:t xml:space="preserve">  </w:t>
            </w:r>
            <w:r>
              <w:rPr>
                <w:rFonts w:hint="eastAsia"/>
                <w:vertAlign w:val="baseline"/>
                <w:lang w:eastAsia="zh-CN"/>
              </w:rPr>
              <w:t>莉</w:t>
            </w:r>
          </w:p>
        </w:tc>
        <w:tc>
          <w:tcPr>
            <w:tcW w:w="1856" w:type="dxa"/>
            <w:tcBorders>
              <w:top w:val="single" w:color="auto" w:sz="4" w:space="0"/>
              <w:left w:val="single" w:color="auto" w:sz="4" w:space="0"/>
              <w:right w:val="single" w:color="auto" w:sz="4" w:space="0"/>
            </w:tcBorders>
            <w:vAlign w:val="center"/>
          </w:tcPr>
          <w:p>
            <w:pPr>
              <w:pStyle w:val="5"/>
              <w:ind w:left="0" w:firstLine="0" w:firstLineChars="0"/>
              <w:jc w:val="center"/>
              <w:rPr>
                <w:rFonts w:hint="eastAsia"/>
                <w:vertAlign w:val="baseline"/>
                <w:lang w:eastAsia="zh-CN"/>
              </w:rPr>
            </w:pPr>
            <w:r>
              <w:rPr>
                <w:rFonts w:hint="eastAsia"/>
                <w:vertAlign w:val="baseline"/>
                <w:lang w:eastAsia="zh-CN"/>
              </w:rPr>
              <w:t>区信访局</w:t>
            </w:r>
          </w:p>
        </w:tc>
        <w:tc>
          <w:tcPr>
            <w:tcW w:w="3071" w:type="dxa"/>
            <w:tcBorders>
              <w:top w:val="single" w:color="auto" w:sz="4" w:space="0"/>
              <w:left w:val="single" w:color="auto" w:sz="4" w:space="0"/>
              <w:right w:val="single" w:color="auto" w:sz="4" w:space="0"/>
            </w:tcBorders>
          </w:tcPr>
          <w:p>
            <w:pPr>
              <w:pStyle w:val="5"/>
              <w:jc w:val="both"/>
              <w:rPr>
                <w:rFonts w:hint="eastAsia"/>
                <w:vertAlign w:val="baseline"/>
                <w:lang w:eastAsia="zh-CN"/>
              </w:rPr>
            </w:pPr>
            <w:r>
              <w:rPr>
                <w:rFonts w:hint="eastAsia"/>
                <w:vertAlign w:val="baseline"/>
                <w:lang w:eastAsia="zh-CN"/>
              </w:rPr>
              <w:t>办公室负责人</w:t>
            </w:r>
          </w:p>
        </w:tc>
        <w:tc>
          <w:tcPr>
            <w:tcW w:w="1813" w:type="dxa"/>
            <w:tcBorders>
              <w:top w:val="single" w:color="auto" w:sz="4" w:space="0"/>
              <w:left w:val="single" w:color="auto" w:sz="4" w:space="0"/>
              <w:right w:val="single" w:color="auto" w:sz="4" w:space="0"/>
            </w:tcBorders>
          </w:tcPr>
          <w:p>
            <w:pPr>
              <w:pStyle w:val="5"/>
              <w:jc w:val="both"/>
              <w:rPr>
                <w:rFonts w:hint="eastAsia"/>
                <w:vertAlign w:val="baseline"/>
                <w:lang w:eastAsia="zh-CN"/>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Verdana">
    <w:panose1 w:val="020B0604030504040204"/>
    <w:charset w:val="00"/>
    <w:family w:val="roman"/>
    <w:pitch w:val="default"/>
    <w:sig w:usb0="A10006FF" w:usb1="4000205B" w:usb2="00000010" w:usb3="00000000" w:csb0="2000019F" w:csb1="00000000"/>
  </w:font>
  <w:font w:name="仿宋_GB2312">
    <w:altName w:val="仿宋"/>
    <w:panose1 w:val="02010609030101010101"/>
    <w:charset w:val="86"/>
    <w:family w:val="decorative"/>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decorative"/>
    <w:pitch w:val="default"/>
    <w:sig w:usb0="00000000" w:usb1="00000000" w:usb2="00000000" w:usb3="00000000" w:csb0="00040000" w:csb1="00000000"/>
  </w:font>
  <w:font w:name="楷体">
    <w:panose1 w:val="02010609060101010101"/>
    <w:charset w:val="7A"/>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Verdana">
    <w:panose1 w:val="020B0604030504040204"/>
    <w:charset w:val="00"/>
    <w:family w:val="modern"/>
    <w:pitch w:val="default"/>
    <w:sig w:usb0="A10006FF" w:usb1="4000205B" w:usb2="00000010" w:usb3="00000000" w:csb0="2000019F" w:csb1="00000000"/>
  </w:font>
  <w:font w:name="仿宋_GB2312">
    <w:altName w:val="仿宋"/>
    <w:panose1 w:val="02010609030101010101"/>
    <w:charset w:val="86"/>
    <w:family w:val="roman"/>
    <w:pitch w:val="default"/>
    <w:sig w:usb0="00000000" w:usb1="00000000" w:usb2="00000000" w:usb3="00000000" w:csb0="00040000" w:csb1="00000000"/>
  </w:font>
  <w:font w:name="楷体_GB2312">
    <w:altName w:val="楷体"/>
    <w:panose1 w:val="02010609030101010101"/>
    <w:charset w:val="86"/>
    <w:family w:val="roman"/>
    <w:pitch w:val="default"/>
    <w:sig w:usb0="00000000" w:usb1="00000000" w:usb2="00000000" w:usb3="00000000" w:csb0="00040000" w:csb1="00000000"/>
  </w:font>
  <w:font w:name="Verdana">
    <w:panose1 w:val="020B0604030504040204"/>
    <w:charset w:val="00"/>
    <w:family w:val="swiss"/>
    <w:pitch w:val="default"/>
    <w:sig w:usb0="A1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Verdana">
    <w:panose1 w:val="020B0604030504040204"/>
    <w:charset w:val="00"/>
    <w:family w:val="decorative"/>
    <w:pitch w:val="default"/>
    <w:sig w:usb0="A10006FF" w:usb1="4000205B" w:usb2="00000010" w:usb3="00000000" w:csb0="2000019F" w:csb1="00000000"/>
  </w:font>
  <w:font w:name="仿宋_GB2312">
    <w:altName w:val="仿宋"/>
    <w:panose1 w:val="02010609030101010101"/>
    <w:charset w:val="86"/>
    <w:family w:val="swiss"/>
    <w:pitch w:val="default"/>
    <w:sig w:usb0="00000000" w:usb1="00000000" w:usb2="00000000" w:usb3="00000000" w:csb0="00040000" w:csb1="00000000"/>
  </w:font>
  <w:font w:name="楷体_GB2312">
    <w:altName w:val="楷体"/>
    <w:panose1 w:val="02010609030101010101"/>
    <w:charset w:val="86"/>
    <w:family w:val="swiss"/>
    <w:pitch w:val="default"/>
    <w:sig w:usb0="00000000" w:usb1="0000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Arial Unicode MS"/>
    <w:panose1 w:val="02000000000000000000"/>
    <w:charset w:val="86"/>
    <w:family w:val="auto"/>
    <w:pitch w:val="default"/>
    <w:sig w:usb0="00000000" w:usb1="0000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黑体">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A00002EF" w:usb1="4000207B" w:usb2="00000000" w:usb3="00000000" w:csb0="2000019F" w:csb1="00000000"/>
  </w:font>
  <w:font w:name="方正楷体_GBK">
    <w:altName w:val="宋体"/>
    <w:panose1 w:val="00000000000000000000"/>
    <w:charset w:val="86"/>
    <w:family w:val="swiss"/>
    <w:pitch w:val="default"/>
    <w:sig w:usb0="00000000" w:usb1="00000000" w:usb2="00000000" w:usb3="00000000" w:csb0="00000000" w:csb1="00000000"/>
  </w:font>
  <w:font w:name="方正小标宋_GBK">
    <w:altName w:val="宋体"/>
    <w:panose1 w:val="00000000000000000000"/>
    <w:charset w:val="86"/>
    <w:family w:val="swiss"/>
    <w:pitch w:val="default"/>
    <w:sig w:usb0="00000000" w:usb1="00000000" w:usb2="00000000" w:usb3="00000000" w:csb0="00000000" w:csb1="00000000"/>
  </w:font>
  <w:font w:name="方正书宋_GBK">
    <w:altName w:val="宋体"/>
    <w:panose1 w:val="00000000000000000000"/>
    <w:charset w:val="86"/>
    <w:family w:val="swiss"/>
    <w:pitch w:val="default"/>
    <w:sig w:usb0="00000000" w:usb1="00000000" w:usb2="00000000" w:usb3="00000000" w:csb0="00000000" w:csb1="00000000"/>
  </w:font>
  <w:font w:name="方正仿宋_GBK">
    <w:altName w:val="宋体"/>
    <w:panose1 w:val="00000000000000000000"/>
    <w:charset w:val="86"/>
    <w:family w:val="swiss"/>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 w:name="Courier New">
    <w:panose1 w:val="02070309020205020404"/>
    <w:charset w:val="00"/>
    <w:family w:val="swiss"/>
    <w:pitch w:val="default"/>
    <w:sig w:usb0="E0002AFF" w:usb1="C0007843" w:usb2="00000009" w:usb3="00000000" w:csb0="400001FF" w:csb1="FFFF0000"/>
  </w:font>
  <w:font w:name="方正小标宋_GBK">
    <w:altName w:val="宋体"/>
    <w:panose1 w:val="00000000000000000000"/>
    <w:charset w:val="86"/>
    <w:family w:val="modern"/>
    <w:pitch w:val="default"/>
    <w:sig w:usb0="00000000" w:usb1="00000000" w:usb2="00000000" w:usb3="00000000" w:csb0="00000000" w:csb1="00000000"/>
  </w:font>
  <w:font w:name="方正书宋_GBK">
    <w:altName w:val="宋体"/>
    <w:panose1 w:val="00000000000000000000"/>
    <w:charset w:val="86"/>
    <w:family w:val="modern"/>
    <w:pitch w:val="default"/>
    <w:sig w:usb0="00000000" w:usb1="00000000" w:usb2="00000000" w:usb3="00000000" w:csb0="00000000" w:csb1="00000000"/>
  </w:font>
  <w:font w:name="方正仿宋_GBK">
    <w:altName w:val="宋体"/>
    <w:panose1 w:val="00000000000000000000"/>
    <w:charset w:val="86"/>
    <w:family w:val="modern"/>
    <w:pitch w:val="default"/>
    <w:sig w:usb0="00000000" w:usb1="00000000" w:usb2="00000000" w:usb3="00000000" w:csb0="00000000" w:csb1="00000000"/>
  </w:font>
  <w:font w:name="黑体">
    <w:panose1 w:val="02010609060101010101"/>
    <w:charset w:val="86"/>
    <w:family w:val="swiss"/>
    <w:pitch w:val="default"/>
    <w:sig w:usb0="800002BF" w:usb1="38CF7CFA" w:usb2="00000016" w:usb3="00000000" w:csb0="00040001" w:csb1="00000000"/>
  </w:font>
  <w:font w:name="方正楷体_GBK">
    <w:altName w:val="宋体"/>
    <w:panose1 w:val="00000000000000000000"/>
    <w:charset w:val="86"/>
    <w:family w:val="modern"/>
    <w:pitch w:val="default"/>
    <w:sig w:usb0="00000000" w:usb1="00000000" w:usb2="00000000" w:usb3="00000000" w:csb0="00000000" w:csb1="00000000"/>
  </w:font>
  <w:font w:name="Calibri Light">
    <w:panose1 w:val="020F0302020204030204"/>
    <w:charset w:val="00"/>
    <w:family w:val="decorative"/>
    <w:pitch w:val="default"/>
    <w:sig w:usb0="A00002EF" w:usb1="4000207B" w:usb2="00000000" w:usb3="00000000" w:csb0="2000019F" w:csb1="00000000"/>
  </w:font>
  <w:font w:name="方正楷体_GBK">
    <w:altName w:val="宋体"/>
    <w:panose1 w:val="00000000000000000000"/>
    <w:charset w:val="86"/>
    <w:family w:val="decorative"/>
    <w:pitch w:val="default"/>
    <w:sig w:usb0="00000000" w:usb1="00000000" w:usb2="00000000" w:usb3="00000000" w:csb0="00000000" w:csb1="00000000"/>
  </w:font>
  <w:font w:name="方正小标宋_GBK">
    <w:altName w:val="宋体"/>
    <w:panose1 w:val="00000000000000000000"/>
    <w:charset w:val="86"/>
    <w:family w:val="decorative"/>
    <w:pitch w:val="default"/>
    <w:sig w:usb0="00000000" w:usb1="00000000" w:usb2="00000000" w:usb3="00000000" w:csb0="00000000" w:csb1="00000000"/>
  </w:font>
  <w:font w:name="方正书宋_GBK">
    <w:altName w:val="宋体"/>
    <w:panose1 w:val="00000000000000000000"/>
    <w:charset w:val="86"/>
    <w:family w:val="decorative"/>
    <w:pitch w:val="default"/>
    <w:sig w:usb0="00000000" w:usb1="00000000" w:usb2="00000000" w:usb3="00000000" w:csb0="00000000" w:csb1="00000000"/>
  </w:font>
  <w:font w:name="方正仿宋_GBK">
    <w:altName w:val="宋体"/>
    <w:panose1 w:val="00000000000000000000"/>
    <w:charset w:val="86"/>
    <w:family w:val="decorative"/>
    <w:pitch w:val="default"/>
    <w:sig w:usb0="00000000" w:usb1="00000000" w:usb2="00000000" w:usb3="00000000" w:csb0="00000000" w:csb1="00000000"/>
  </w:font>
  <w:font w:name="Courier New">
    <w:panose1 w:val="02070309020205020404"/>
    <w:charset w:val="00"/>
    <w:family w:val="decorative"/>
    <w:pitch w:val="default"/>
    <w:sig w:usb0="E0002AFF" w:usb1="C0007843" w:usb2="00000009" w:usb3="00000000" w:csb0="400001FF" w:csb1="FFFF0000"/>
  </w:font>
  <w:font w:name="黑体">
    <w:panose1 w:val="02010609060101010101"/>
    <w:charset w:val="86"/>
    <w:family w:val="decorative"/>
    <w:pitch w:val="default"/>
    <w:sig w:usb0="800002BF" w:usb1="38CF7CFA" w:usb2="00000016" w:usb3="00000000" w:csb0="00040001" w:csb1="00000000"/>
  </w:font>
  <w:font w:name="Calibri Light">
    <w:panose1 w:val="020F0302020204030204"/>
    <w:charset w:val="00"/>
    <w:family w:val="roman"/>
    <w:pitch w:val="default"/>
    <w:sig w:usb0="A00002EF" w:usb1="4000207B" w:usb2="00000000" w:usb3="00000000" w:csb0="2000019F" w:csb1="00000000"/>
  </w:font>
  <w:font w:name="Courier New">
    <w:panose1 w:val="02070309020205020404"/>
    <w:charset w:val="00"/>
    <w:family w:val="roman"/>
    <w:pitch w:val="default"/>
    <w:sig w:usb0="E0002AFF" w:usb1="C0007843" w:usb2="00000009" w:usb3="00000000" w:csb0="400001FF" w:csb1="FFFF0000"/>
  </w:font>
  <w:font w:name="黑体">
    <w:panose1 w:val="02010609060101010101"/>
    <w:charset w:val="86"/>
    <w:family w:val="roman"/>
    <w:pitch w:val="default"/>
    <w:sig w:usb0="800002BF" w:usb1="38CF7CFA" w:usb2="00000016" w:usb3="00000000" w:csb0="00040001" w:csb1="00000000"/>
  </w:font>
  <w:font w:name="Calibri Light">
    <w:panose1 w:val="020F0302020204030204"/>
    <w:charset w:val="00"/>
    <w:family w:val="modern"/>
    <w:pitch w:val="default"/>
    <w:sig w:usb0="A00002EF" w:usb1="4000207B" w:usb2="00000000" w:usb3="00000000" w:csb0="2000019F"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83892635">
    <w:nsid w:val="5E68489B"/>
    <w:multiLevelType w:val="singleLevel"/>
    <w:tmpl w:val="5E68489B"/>
    <w:lvl w:ilvl="0" w:tentative="1">
      <w:start w:val="1"/>
      <w:numFmt w:val="chineseCounting"/>
      <w:suff w:val="nothing"/>
      <w:lvlText w:val="（%1）"/>
      <w:lvlJc w:val="left"/>
      <w:pPr>
        <w:ind w:left="0" w:firstLine="0"/>
      </w:pPr>
      <w:rPr>
        <w:rFonts w:ascii="楷体" w:hAnsi="楷体" w:eastAsia="楷体"/>
      </w:rPr>
    </w:lvl>
  </w:abstractNum>
  <w:abstractNum w:abstractNumId="85371521">
    <w:nsid w:val="0516AA81"/>
    <w:multiLevelType w:val="singleLevel"/>
    <w:tmpl w:val="0516AA81"/>
    <w:lvl w:ilvl="0" w:tentative="1">
      <w:start w:val="2"/>
      <w:numFmt w:val="chineseCounting"/>
      <w:suff w:val="nothing"/>
      <w:lvlText w:val="（%1）"/>
      <w:lvlJc w:val="left"/>
      <w:pPr>
        <w:ind w:left="642" w:firstLine="0"/>
      </w:pPr>
      <w:rPr>
        <w:rFonts w:hint="eastAsia"/>
      </w:rPr>
    </w:lvl>
  </w:abstractNum>
  <w:abstractNum w:abstractNumId="1713148989">
    <w:nsid w:val="661C943D"/>
    <w:multiLevelType w:val="singleLevel"/>
    <w:tmpl w:val="661C943D"/>
    <w:lvl w:ilvl="0" w:tentative="1">
      <w:start w:val="6"/>
      <w:numFmt w:val="chineseCounting"/>
      <w:suff w:val="nothing"/>
      <w:lvlText w:val="%1、"/>
      <w:lvlJc w:val="left"/>
    </w:lvl>
  </w:abstractNum>
  <w:num w:numId="1">
    <w:abstractNumId w:val="85371521"/>
  </w:num>
  <w:num w:numId="2">
    <w:abstractNumId w:val="1583892635"/>
  </w:num>
  <w:num w:numId="3">
    <w:abstractNumId w:val="171314898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82376A2"/>
    <w:rsid w:val="0A9576A9"/>
    <w:rsid w:val="127E381D"/>
    <w:rsid w:val="12A11844"/>
    <w:rsid w:val="1EE21CE2"/>
    <w:rsid w:val="30386F27"/>
    <w:rsid w:val="317459B5"/>
    <w:rsid w:val="34E21A23"/>
    <w:rsid w:val="381046D6"/>
    <w:rsid w:val="39DC6E1A"/>
    <w:rsid w:val="3BC31CCA"/>
    <w:rsid w:val="41741ECE"/>
    <w:rsid w:val="41C84383"/>
    <w:rsid w:val="54B77D4C"/>
    <w:rsid w:val="583475B4"/>
    <w:rsid w:val="606A3964"/>
    <w:rsid w:val="670B3EF5"/>
    <w:rsid w:val="6AFC3100"/>
    <w:rsid w:val="7FAD5D4E"/>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uiPriority w:val="0"/>
    <w:pPr>
      <w:keepNext/>
      <w:keepLines/>
      <w:spacing w:before="340" w:after="330" w:line="578" w:lineRule="auto"/>
      <w:outlineLvl w:val="0"/>
    </w:pPr>
    <w:rPr>
      <w:b/>
      <w:bCs/>
      <w:kern w:val="44"/>
      <w:sz w:val="44"/>
      <w:szCs w:val="44"/>
    </w:rPr>
  </w:style>
  <w:style w:type="paragraph" w:styleId="2">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9">
    <w:name w:val="Normal Table"/>
    <w:semiHidden/>
    <w:qFormat/>
    <w:uiPriority w:val="0"/>
    <w:tblPr>
      <w:tblLayout w:type="fixed"/>
      <w:tblCellMar>
        <w:top w:w="0" w:type="dxa"/>
        <w:left w:w="108" w:type="dxa"/>
        <w:bottom w:w="0" w:type="dxa"/>
        <w:right w:w="108" w:type="dxa"/>
      </w:tblCellMar>
    </w:tblPr>
  </w:style>
  <w:style w:type="paragraph" w:styleId="5">
    <w:name w:val="Normal Indent"/>
    <w:basedOn w:val="1"/>
    <w:next w:val="6"/>
    <w:uiPriority w:val="0"/>
    <w:pPr>
      <w:widowControl w:val="0"/>
      <w:ind w:firstLine="200" w:firstLineChars="200"/>
      <w:jc w:val="both"/>
    </w:pPr>
    <w:rPr>
      <w:rFonts w:ascii="Calibri" w:hAnsi="Calibri" w:eastAsia="仿宋_GB2312" w:cs="黑体"/>
      <w:kern w:val="2"/>
      <w:sz w:val="30"/>
      <w:szCs w:val="22"/>
      <w:lang w:val="en-US" w:eastAsia="zh-CN" w:bidi="ar-SA"/>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7">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D4C7BB-A523-4D9D-894D-9DF76CD21AC1}">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ScaleCrop>false</ScaleCrop>
  <LinksUpToDate>false</LinksUpToDate>
  <CharactersWithSpaces>670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mei</cp:lastModifiedBy>
  <cp:lastPrinted>2024-03-06T07:40:00Z</cp:lastPrinted>
  <dcterms:modified xsi:type="dcterms:W3CDTF">2025-07-16T02:40:31Z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y fmtid="{D5CDD505-2E9C-101B-9397-08002B2CF9AE}" pid="3" name="ICV">
    <vt:lpwstr>96934721B1514D3FBAA28020338CE855_12</vt:lpwstr>
  </property>
</Properties>
</file>