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7B4A99">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30F67BB6">
      <w:pPr>
        <w:spacing w:line="560" w:lineRule="exact"/>
        <w:jc w:val="center"/>
        <w:rPr>
          <w:rFonts w:ascii="宋体" w:hAnsi="宋体" w:cs="宋体"/>
          <w:b/>
          <w:bCs/>
          <w:sz w:val="44"/>
          <w:szCs w:val="44"/>
        </w:rPr>
      </w:pPr>
    </w:p>
    <w:p w14:paraId="65B8CA1C">
      <w:pPr>
        <w:spacing w:line="700" w:lineRule="exact"/>
        <w:jc w:val="center"/>
        <w:rPr>
          <w:rFonts w:ascii="宋体" w:hAnsi="宋体" w:cs="宋体"/>
          <w:b/>
          <w:sz w:val="44"/>
          <w:szCs w:val="44"/>
        </w:rPr>
      </w:pPr>
      <w:r>
        <w:rPr>
          <w:rFonts w:hint="eastAsia" w:ascii="宋体" w:hAnsi="宋体" w:cs="宋体"/>
          <w:b/>
          <w:sz w:val="44"/>
          <w:szCs w:val="44"/>
        </w:rPr>
        <w:t>石家庄市井陉矿区政府投资项目代建中心</w:t>
      </w:r>
    </w:p>
    <w:p w14:paraId="5F554E39">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14:paraId="61812771">
      <w:pPr>
        <w:spacing w:line="560" w:lineRule="exact"/>
        <w:jc w:val="center"/>
        <w:rPr>
          <w:rFonts w:ascii="华文楷体" w:eastAsia="华文楷体"/>
          <w:sz w:val="32"/>
          <w:szCs w:val="32"/>
        </w:rPr>
      </w:pPr>
    </w:p>
    <w:p w14:paraId="5C8D86E7">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号）文件精神，遵循“科学性、规范性、客观性和公正性”的原则，对矿区代建中心202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14:paraId="16F579DA">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3C08B69">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2E1F0E79">
      <w:pPr>
        <w:pStyle w:val="9"/>
        <w:rPr>
          <w:rFonts w:ascii="仿宋" w:hAnsi="仿宋" w:eastAsia="仿宋" w:cs="黑体"/>
          <w:kern w:val="2"/>
          <w:sz w:val="32"/>
          <w:szCs w:val="32"/>
          <w:lang w:eastAsia="zh-CN"/>
        </w:rPr>
      </w:pPr>
      <w:r>
        <w:rPr>
          <w:rFonts w:ascii="仿宋" w:hAnsi="仿宋" w:eastAsia="仿宋" w:cs="黑体"/>
          <w:kern w:val="2"/>
          <w:sz w:val="32"/>
          <w:szCs w:val="32"/>
          <w:lang w:eastAsia="zh-CN"/>
        </w:rPr>
        <w:t>部门职责：</w:t>
      </w:r>
    </w:p>
    <w:p w14:paraId="33B1D78C">
      <w:pPr>
        <w:pStyle w:val="9"/>
        <w:rPr>
          <w:rFonts w:ascii="仿宋" w:hAnsi="仿宋" w:eastAsia="仿宋" w:cs="黑体"/>
          <w:kern w:val="2"/>
          <w:sz w:val="32"/>
          <w:szCs w:val="32"/>
          <w:lang w:eastAsia="zh-CN"/>
        </w:rPr>
      </w:pPr>
      <w:r>
        <w:rPr>
          <w:rFonts w:ascii="仿宋" w:hAnsi="仿宋" w:eastAsia="仿宋" w:cs="黑体"/>
          <w:kern w:val="2"/>
          <w:sz w:val="32"/>
          <w:szCs w:val="32"/>
          <w:lang w:eastAsia="zh-CN"/>
        </w:rPr>
        <w:t>根据矿编【2020】1号《中共矿区委机构编制委员会关于设立井陉矿区政府项目代建中心的通知》的主要职责是：负责政府投资代建项目的建设管理等工作。</w:t>
      </w:r>
    </w:p>
    <w:p w14:paraId="784202B0">
      <w:pPr>
        <w:pStyle w:val="9"/>
        <w:rPr>
          <w:rFonts w:ascii="仿宋" w:hAnsi="仿宋" w:eastAsia="仿宋" w:cs="黑体"/>
          <w:kern w:val="2"/>
          <w:sz w:val="32"/>
          <w:szCs w:val="32"/>
          <w:lang w:eastAsia="zh-CN"/>
        </w:rPr>
      </w:pPr>
      <w:r>
        <w:rPr>
          <w:rFonts w:ascii="仿宋" w:hAnsi="仿宋" w:eastAsia="仿宋" w:cs="黑体"/>
          <w:kern w:val="2"/>
          <w:sz w:val="32"/>
          <w:szCs w:val="32"/>
          <w:lang w:eastAsia="zh-CN"/>
        </w:rPr>
        <w:t>石家庄市井陉矿区政府投资项目代建管理办法（试行）中的政府投资代建项目，是指新建项目概算投资在400万元（含）以上的，改建、扩建及装修项目概算投资在100万元（含）以上的，以及区政府投资项目建设领导小组确定的其他政府投资代建项目。</w:t>
      </w:r>
    </w:p>
    <w:p w14:paraId="7C9A1DCF">
      <w:pPr>
        <w:pStyle w:val="9"/>
        <w:rPr>
          <w:rFonts w:ascii="仿宋" w:hAnsi="仿宋" w:eastAsia="仿宋" w:cs="黑体"/>
          <w:kern w:val="2"/>
          <w:sz w:val="32"/>
          <w:szCs w:val="32"/>
          <w:lang w:eastAsia="zh-CN"/>
        </w:rPr>
      </w:pPr>
      <w:r>
        <w:rPr>
          <w:rFonts w:ascii="仿宋" w:hAnsi="仿宋" w:eastAsia="仿宋" w:cs="黑体"/>
          <w:kern w:val="2"/>
          <w:sz w:val="32"/>
          <w:szCs w:val="32"/>
          <w:lang w:eastAsia="zh-CN"/>
        </w:rPr>
        <w:t xml:space="preserve"> 项目可行性研究报告批复后，代建管理机构履行项目建设管理单位职责实行代建，完成项目竣工验收后移交项目使用单位。</w:t>
      </w:r>
    </w:p>
    <w:p w14:paraId="13D73997">
      <w:pPr>
        <w:adjustRightInd w:val="0"/>
        <w:snapToGrid w:val="0"/>
        <w:spacing w:line="560" w:lineRule="exact"/>
        <w:ind w:firstLine="596" w:firstLineChars="200"/>
        <w:rPr>
          <w:rFonts w:ascii="仿宋" w:hAnsi="仿宋" w:eastAsia="仿宋"/>
          <w:spacing w:val="-11"/>
          <w:sz w:val="32"/>
          <w:szCs w:val="32"/>
        </w:rPr>
      </w:pPr>
      <w:r>
        <w:rPr>
          <w:rFonts w:hint="eastAsia" w:ascii="仿宋" w:hAnsi="仿宋" w:eastAsia="仿宋"/>
          <w:spacing w:val="-11"/>
          <w:sz w:val="32"/>
          <w:szCs w:val="32"/>
        </w:rPr>
        <w:t>截至2024年12月31日，我部门石家庄市井陉矿区政府投资项目代建中心编制人数5人，年末实有人数6人。</w:t>
      </w:r>
    </w:p>
    <w:p w14:paraId="79BB8F77">
      <w:pPr>
        <w:pStyle w:val="9"/>
        <w:rPr>
          <w:rFonts w:ascii="仿宋" w:hAnsi="仿宋" w:eastAsia="仿宋" w:cs="黑体"/>
          <w:kern w:val="2"/>
          <w:sz w:val="32"/>
          <w:szCs w:val="32"/>
          <w:lang w:eastAsia="zh-CN"/>
        </w:rPr>
      </w:pPr>
      <w:r>
        <w:rPr>
          <w:rFonts w:hint="eastAsia" w:ascii="仿宋" w:hAnsi="仿宋" w:eastAsia="仿宋" w:cs="黑体"/>
          <w:kern w:val="2"/>
          <w:sz w:val="32"/>
          <w:szCs w:val="32"/>
          <w:lang w:eastAsia="zh-CN"/>
        </w:rPr>
        <w:t>截至2024年12月31日，流动资产366.251万元，占资产总额3.7%；固定资产 21万元，占资产总额0.21%；在建工程 9300.4721万元，占资产总额96.11%。</w:t>
      </w:r>
    </w:p>
    <w:p w14:paraId="59C3E39C">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2D64ED26">
      <w:pPr>
        <w:pStyle w:val="9"/>
        <w:ind w:firstLine="720" w:firstLineChars="225"/>
        <w:rPr>
          <w:rFonts w:ascii="仿宋" w:hAnsi="仿宋" w:eastAsia="仿宋" w:cs="黑体"/>
          <w:kern w:val="2"/>
          <w:sz w:val="32"/>
          <w:szCs w:val="32"/>
          <w:lang w:eastAsia="zh-CN"/>
        </w:rPr>
      </w:pPr>
      <w:r>
        <w:rPr>
          <w:rFonts w:hint="eastAsia" w:ascii="仿宋" w:hAnsi="仿宋" w:eastAsia="仿宋" w:cs="黑体"/>
          <w:kern w:val="2"/>
          <w:sz w:val="32"/>
          <w:szCs w:val="32"/>
          <w:lang w:eastAsia="zh-CN"/>
        </w:rPr>
        <w:t>1、收入支出预算安排情况。</w:t>
      </w:r>
    </w:p>
    <w:p w14:paraId="61B761C3">
      <w:pPr>
        <w:pStyle w:val="9"/>
        <w:ind w:firstLine="720" w:firstLineChars="225"/>
        <w:rPr>
          <w:rFonts w:ascii="仿宋" w:hAnsi="仿宋" w:eastAsia="仿宋" w:cs="黑体"/>
          <w:kern w:val="2"/>
          <w:sz w:val="32"/>
          <w:szCs w:val="32"/>
          <w:lang w:eastAsia="zh-CN"/>
        </w:rPr>
      </w:pPr>
      <w:r>
        <w:rPr>
          <w:rFonts w:hint="eastAsia" w:ascii="仿宋" w:hAnsi="仿宋" w:eastAsia="仿宋" w:cs="黑体"/>
          <w:kern w:val="2"/>
          <w:sz w:val="32"/>
          <w:szCs w:val="32"/>
          <w:lang w:eastAsia="zh-CN"/>
        </w:rPr>
        <w:t>2024年调整收入预算</w:t>
      </w:r>
      <w:r>
        <w:rPr>
          <w:rFonts w:hint="eastAsia" w:ascii="仿宋" w:hAnsi="仿宋" w:eastAsia="仿宋" w:cs="仿宋"/>
          <w:sz w:val="32"/>
          <w:szCs w:val="32"/>
        </w:rPr>
        <w:t>1183.83万元</w:t>
      </w:r>
      <w:r>
        <w:rPr>
          <w:rFonts w:hint="eastAsia" w:ascii="仿宋" w:hAnsi="仿宋" w:eastAsia="仿宋" w:cs="黑体"/>
          <w:kern w:val="2"/>
          <w:sz w:val="32"/>
          <w:szCs w:val="32"/>
          <w:lang w:eastAsia="zh-CN"/>
        </w:rPr>
        <w:t>,调整支出预算</w:t>
      </w:r>
      <w:r>
        <w:rPr>
          <w:rFonts w:hint="eastAsia" w:ascii="仿宋" w:hAnsi="仿宋" w:eastAsia="仿宋" w:cs="仿宋"/>
          <w:sz w:val="32"/>
          <w:szCs w:val="32"/>
        </w:rPr>
        <w:t>1183.83万元</w:t>
      </w:r>
      <w:r>
        <w:rPr>
          <w:rFonts w:hint="eastAsia" w:ascii="仿宋" w:hAnsi="仿宋" w:eastAsia="仿宋" w:cs="黑体"/>
          <w:kern w:val="2"/>
          <w:sz w:val="32"/>
          <w:szCs w:val="32"/>
          <w:lang w:eastAsia="zh-CN"/>
        </w:rPr>
        <w:t>。</w:t>
      </w:r>
    </w:p>
    <w:p w14:paraId="6D83C33A">
      <w:pPr>
        <w:snapToGrid w:val="0"/>
        <w:spacing w:line="600" w:lineRule="exact"/>
        <w:ind w:firstLine="560" w:firstLineChars="200"/>
        <w:rPr>
          <w:rFonts w:ascii="仿宋" w:hAnsi="仿宋" w:eastAsia="仿宋" w:cs="仿宋"/>
          <w:sz w:val="32"/>
          <w:szCs w:val="32"/>
        </w:rPr>
      </w:pPr>
      <w:r>
        <w:rPr>
          <w:rFonts w:hint="eastAsia" w:ascii="仿宋" w:hAnsi="仿宋" w:eastAsia="仿宋" w:cs="仿宋"/>
          <w:spacing w:val="-20"/>
          <w:sz w:val="32"/>
          <w:szCs w:val="32"/>
        </w:rPr>
        <w:t>2、收入支出预算</w:t>
      </w:r>
      <w:r>
        <w:rPr>
          <w:rFonts w:hint="eastAsia" w:ascii="仿宋" w:hAnsi="仿宋" w:eastAsia="仿宋" w:cs="仿宋"/>
          <w:sz w:val="32"/>
          <w:szCs w:val="32"/>
        </w:rPr>
        <w:t>执行情况。</w:t>
      </w:r>
    </w:p>
    <w:p w14:paraId="2B1B5D75">
      <w:pPr>
        <w:snapToGrid w:val="0"/>
        <w:spacing w:line="600" w:lineRule="exact"/>
        <w:ind w:firstLine="640" w:firstLineChars="200"/>
        <w:rPr>
          <w:rFonts w:ascii="仿宋" w:hAnsi="仿宋" w:eastAsia="仿宋"/>
          <w:sz w:val="32"/>
          <w:szCs w:val="32"/>
        </w:rPr>
      </w:pPr>
      <w:r>
        <w:rPr>
          <w:rFonts w:hint="eastAsia" w:ascii="仿宋" w:hAnsi="仿宋" w:eastAsia="仿宋" w:cs="仿宋"/>
          <w:sz w:val="32"/>
          <w:szCs w:val="32"/>
        </w:rPr>
        <w:t>2024年收入预算执行1183.83万元，完成调整预算的100%； 支出预算执行1183.83万元，完成调整预算的100%</w:t>
      </w:r>
      <w:r>
        <w:rPr>
          <w:rFonts w:hint="eastAsia" w:ascii="仿宋" w:hAnsi="仿宋" w:eastAsia="仿宋"/>
          <w:sz w:val="32"/>
          <w:szCs w:val="32"/>
        </w:rPr>
        <w:t>。</w:t>
      </w:r>
    </w:p>
    <w:p w14:paraId="55C918CE">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45D28A7F">
      <w:pPr>
        <w:ind w:firstLine="560"/>
      </w:pPr>
      <w:r>
        <w:rPr>
          <w:rFonts w:ascii="方正仿宋_GBK" w:hAnsi="方正仿宋_GBK" w:eastAsia="方正仿宋_GBK" w:cs="方正仿宋_GBK"/>
          <w:b/>
          <w:color w:val="000000"/>
          <w:sz w:val="28"/>
        </w:rPr>
        <w:t>代建工作经费绩效目标表</w:t>
      </w:r>
    </w:p>
    <w:tbl>
      <w:tblPr>
        <w:tblStyle w:val="7"/>
        <w:tblW w:w="14173" w:type="dxa"/>
        <w:tblInd w:w="-1587" w:type="dxa"/>
        <w:tblLayout w:type="fixed"/>
        <w:tblCellMar>
          <w:top w:w="0" w:type="dxa"/>
          <w:left w:w="108" w:type="dxa"/>
          <w:bottom w:w="0" w:type="dxa"/>
          <w:right w:w="108" w:type="dxa"/>
        </w:tblCellMar>
      </w:tblPr>
      <w:tblGrid>
        <w:gridCol w:w="1553"/>
        <w:gridCol w:w="12620"/>
      </w:tblGrid>
      <w:tr w14:paraId="3DD9CDE2">
        <w:tblPrEx>
          <w:tblCellMar>
            <w:top w:w="0" w:type="dxa"/>
            <w:left w:w="108" w:type="dxa"/>
            <w:bottom w:w="0" w:type="dxa"/>
            <w:right w:w="108" w:type="dxa"/>
          </w:tblCellMar>
        </w:tblPrEx>
        <w:trPr>
          <w:trHeight w:val="397" w:hRule="atLeast"/>
        </w:trPr>
        <w:tc>
          <w:tcPr>
            <w:tcW w:w="1553" w:type="dxa"/>
            <w:vAlign w:val="center"/>
          </w:tcPr>
          <w:p w14:paraId="5639587F">
            <w:pPr>
              <w:pStyle w:val="10"/>
            </w:pPr>
            <w:r>
              <w:t>绩效目标</w:t>
            </w:r>
          </w:p>
        </w:tc>
        <w:tc>
          <w:tcPr>
            <w:tcW w:w="12620" w:type="dxa"/>
            <w:vAlign w:val="center"/>
          </w:tcPr>
          <w:p w14:paraId="3E90C2D3">
            <w:pPr>
              <w:pStyle w:val="11"/>
            </w:pPr>
            <w:r>
              <w:t>1.目标内容1：资金支出考核，提高工作质量</w:t>
            </w:r>
          </w:p>
        </w:tc>
      </w:tr>
    </w:tbl>
    <w:p w14:paraId="50A48867">
      <w:pPr>
        <w:spacing w:line="2" w:lineRule="exact"/>
        <w:jc w:val="center"/>
      </w:pPr>
    </w:p>
    <w:tbl>
      <w:tblPr>
        <w:tblStyle w:val="7"/>
        <w:tblW w:w="1022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64"/>
        <w:gridCol w:w="1449"/>
        <w:gridCol w:w="2161"/>
        <w:gridCol w:w="3054"/>
        <w:gridCol w:w="862"/>
        <w:gridCol w:w="1838"/>
      </w:tblGrid>
      <w:tr w14:paraId="39749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864" w:type="dxa"/>
            <w:vAlign w:val="center"/>
          </w:tcPr>
          <w:p w14:paraId="204732C4">
            <w:pPr>
              <w:pStyle w:val="10"/>
            </w:pPr>
            <w:r>
              <w:t>一级指标</w:t>
            </w:r>
          </w:p>
        </w:tc>
        <w:tc>
          <w:tcPr>
            <w:tcW w:w="1449" w:type="dxa"/>
            <w:vAlign w:val="center"/>
          </w:tcPr>
          <w:p w14:paraId="50C71375">
            <w:pPr>
              <w:pStyle w:val="10"/>
            </w:pPr>
            <w:r>
              <w:t>二级指标</w:t>
            </w:r>
          </w:p>
        </w:tc>
        <w:tc>
          <w:tcPr>
            <w:tcW w:w="2161" w:type="dxa"/>
            <w:vAlign w:val="center"/>
          </w:tcPr>
          <w:p w14:paraId="693CD83F">
            <w:pPr>
              <w:pStyle w:val="10"/>
            </w:pPr>
            <w:r>
              <w:t>三级指标</w:t>
            </w:r>
          </w:p>
        </w:tc>
        <w:tc>
          <w:tcPr>
            <w:tcW w:w="3054" w:type="dxa"/>
            <w:vAlign w:val="center"/>
          </w:tcPr>
          <w:p w14:paraId="5C419B60">
            <w:pPr>
              <w:pStyle w:val="10"/>
            </w:pPr>
            <w:r>
              <w:t>绩效指标描述</w:t>
            </w:r>
          </w:p>
        </w:tc>
        <w:tc>
          <w:tcPr>
            <w:tcW w:w="862" w:type="dxa"/>
            <w:vAlign w:val="center"/>
          </w:tcPr>
          <w:p w14:paraId="5FAAD928">
            <w:pPr>
              <w:pStyle w:val="10"/>
            </w:pPr>
            <w:r>
              <w:t>指标值</w:t>
            </w:r>
          </w:p>
        </w:tc>
        <w:tc>
          <w:tcPr>
            <w:tcW w:w="1838" w:type="dxa"/>
            <w:vAlign w:val="center"/>
          </w:tcPr>
          <w:p w14:paraId="222CA1BD">
            <w:pPr>
              <w:pStyle w:val="10"/>
              <w:jc w:val="both"/>
            </w:pPr>
            <w:r>
              <w:t>指标值确定依据</w:t>
            </w:r>
          </w:p>
        </w:tc>
      </w:tr>
      <w:tr w14:paraId="2551B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64" w:type="dxa"/>
            <w:vMerge w:val="restart"/>
            <w:vAlign w:val="center"/>
          </w:tcPr>
          <w:p w14:paraId="41287E17">
            <w:pPr>
              <w:pStyle w:val="12"/>
            </w:pPr>
            <w:r>
              <w:t>产出指标</w:t>
            </w:r>
          </w:p>
        </w:tc>
        <w:tc>
          <w:tcPr>
            <w:tcW w:w="1449" w:type="dxa"/>
            <w:vAlign w:val="center"/>
          </w:tcPr>
          <w:p w14:paraId="2CADEDE3">
            <w:pPr>
              <w:pStyle w:val="11"/>
            </w:pPr>
            <w:r>
              <w:t>数量指标</w:t>
            </w:r>
          </w:p>
        </w:tc>
        <w:tc>
          <w:tcPr>
            <w:tcW w:w="2161" w:type="dxa"/>
            <w:vAlign w:val="center"/>
          </w:tcPr>
          <w:p w14:paraId="165C1D4A">
            <w:pPr>
              <w:pStyle w:val="11"/>
            </w:pPr>
            <w:r>
              <w:t>咨询委托机构数量</w:t>
            </w:r>
          </w:p>
        </w:tc>
        <w:tc>
          <w:tcPr>
            <w:tcW w:w="3054" w:type="dxa"/>
            <w:vAlign w:val="center"/>
          </w:tcPr>
          <w:p w14:paraId="1B94D03B">
            <w:pPr>
              <w:pStyle w:val="11"/>
            </w:pPr>
            <w:r>
              <w:t>咨询委托机构数量</w:t>
            </w:r>
          </w:p>
        </w:tc>
        <w:tc>
          <w:tcPr>
            <w:tcW w:w="862" w:type="dxa"/>
            <w:vAlign w:val="center"/>
          </w:tcPr>
          <w:p w14:paraId="3882E69C">
            <w:pPr>
              <w:pStyle w:val="11"/>
            </w:pPr>
            <w:r>
              <w:t>1家</w:t>
            </w:r>
          </w:p>
        </w:tc>
        <w:tc>
          <w:tcPr>
            <w:tcW w:w="1838" w:type="dxa"/>
            <w:vAlign w:val="center"/>
          </w:tcPr>
          <w:p w14:paraId="3EBFAFB5">
            <w:pPr>
              <w:pStyle w:val="11"/>
            </w:pPr>
            <w:r>
              <w:t>预算安排及执行</w:t>
            </w:r>
          </w:p>
        </w:tc>
      </w:tr>
      <w:tr w14:paraId="72EA7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64" w:type="dxa"/>
            <w:vMerge w:val="continue"/>
            <w:vAlign w:val="center"/>
          </w:tcPr>
          <w:p w14:paraId="004D8E65"/>
        </w:tc>
        <w:tc>
          <w:tcPr>
            <w:tcW w:w="1449" w:type="dxa"/>
            <w:vAlign w:val="center"/>
          </w:tcPr>
          <w:p w14:paraId="04B1513A">
            <w:pPr>
              <w:pStyle w:val="11"/>
            </w:pPr>
            <w:r>
              <w:t>质量指标</w:t>
            </w:r>
          </w:p>
        </w:tc>
        <w:tc>
          <w:tcPr>
            <w:tcW w:w="2161" w:type="dxa"/>
            <w:vAlign w:val="center"/>
          </w:tcPr>
          <w:p w14:paraId="4E8BF455">
            <w:pPr>
              <w:pStyle w:val="11"/>
            </w:pPr>
            <w:r>
              <w:t>印刷合格率</w:t>
            </w:r>
          </w:p>
        </w:tc>
        <w:tc>
          <w:tcPr>
            <w:tcW w:w="3054" w:type="dxa"/>
            <w:vAlign w:val="center"/>
          </w:tcPr>
          <w:p w14:paraId="7494DB78">
            <w:pPr>
              <w:pStyle w:val="11"/>
            </w:pPr>
            <w:r>
              <w:t>文件印刷等占总印刷数量的比率</w:t>
            </w:r>
          </w:p>
        </w:tc>
        <w:tc>
          <w:tcPr>
            <w:tcW w:w="862" w:type="dxa"/>
            <w:vAlign w:val="center"/>
          </w:tcPr>
          <w:p w14:paraId="773749C9">
            <w:pPr>
              <w:pStyle w:val="11"/>
            </w:pPr>
            <w:r>
              <w:t>≥95%</w:t>
            </w:r>
          </w:p>
        </w:tc>
        <w:tc>
          <w:tcPr>
            <w:tcW w:w="1838" w:type="dxa"/>
            <w:vAlign w:val="center"/>
          </w:tcPr>
          <w:p w14:paraId="0EA02D7E">
            <w:pPr>
              <w:pStyle w:val="11"/>
            </w:pPr>
            <w:r>
              <w:t>预算安排及执行</w:t>
            </w:r>
          </w:p>
        </w:tc>
      </w:tr>
      <w:tr w14:paraId="54E62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64" w:type="dxa"/>
            <w:vMerge w:val="continue"/>
            <w:vAlign w:val="center"/>
          </w:tcPr>
          <w:p w14:paraId="45569541"/>
        </w:tc>
        <w:tc>
          <w:tcPr>
            <w:tcW w:w="1449" w:type="dxa"/>
            <w:vAlign w:val="center"/>
          </w:tcPr>
          <w:p w14:paraId="6E834BF5">
            <w:pPr>
              <w:pStyle w:val="11"/>
            </w:pPr>
            <w:r>
              <w:t>时效指标</w:t>
            </w:r>
          </w:p>
        </w:tc>
        <w:tc>
          <w:tcPr>
            <w:tcW w:w="2161" w:type="dxa"/>
            <w:vAlign w:val="center"/>
          </w:tcPr>
          <w:p w14:paraId="2B4A7B4C">
            <w:pPr>
              <w:pStyle w:val="11"/>
            </w:pPr>
            <w:r>
              <w:t>资金支出及时率</w:t>
            </w:r>
          </w:p>
        </w:tc>
        <w:tc>
          <w:tcPr>
            <w:tcW w:w="3054" w:type="dxa"/>
            <w:vAlign w:val="center"/>
          </w:tcPr>
          <w:p w14:paraId="6A9C65E0">
            <w:pPr>
              <w:pStyle w:val="11"/>
            </w:pPr>
            <w:r>
              <w:t>资金支出按月进度考核</w:t>
            </w:r>
          </w:p>
        </w:tc>
        <w:tc>
          <w:tcPr>
            <w:tcW w:w="862" w:type="dxa"/>
            <w:vAlign w:val="center"/>
          </w:tcPr>
          <w:p w14:paraId="39DCE583">
            <w:pPr>
              <w:pStyle w:val="11"/>
            </w:pPr>
            <w:r>
              <w:t>≥95%</w:t>
            </w:r>
          </w:p>
        </w:tc>
        <w:tc>
          <w:tcPr>
            <w:tcW w:w="1838" w:type="dxa"/>
            <w:vAlign w:val="center"/>
          </w:tcPr>
          <w:p w14:paraId="7B91509B">
            <w:pPr>
              <w:pStyle w:val="11"/>
            </w:pPr>
            <w:r>
              <w:t>预算安排及执行</w:t>
            </w:r>
          </w:p>
        </w:tc>
      </w:tr>
      <w:tr w14:paraId="5CCD6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64" w:type="dxa"/>
            <w:vMerge w:val="continue"/>
            <w:vAlign w:val="center"/>
          </w:tcPr>
          <w:p w14:paraId="540887D3"/>
        </w:tc>
        <w:tc>
          <w:tcPr>
            <w:tcW w:w="1449" w:type="dxa"/>
            <w:vAlign w:val="center"/>
          </w:tcPr>
          <w:p w14:paraId="57D97D70">
            <w:pPr>
              <w:pStyle w:val="11"/>
            </w:pPr>
            <w:r>
              <w:t>成本指标</w:t>
            </w:r>
          </w:p>
        </w:tc>
        <w:tc>
          <w:tcPr>
            <w:tcW w:w="2161" w:type="dxa"/>
            <w:vAlign w:val="center"/>
          </w:tcPr>
          <w:p w14:paraId="7735B212">
            <w:pPr>
              <w:pStyle w:val="11"/>
            </w:pPr>
            <w:r>
              <w:t>项目预算控制数</w:t>
            </w:r>
          </w:p>
        </w:tc>
        <w:tc>
          <w:tcPr>
            <w:tcW w:w="3054" w:type="dxa"/>
            <w:vAlign w:val="center"/>
          </w:tcPr>
          <w:p w14:paraId="52952C3D">
            <w:pPr>
              <w:pStyle w:val="11"/>
            </w:pPr>
            <w:r>
              <w:t>项目总成本</w:t>
            </w:r>
          </w:p>
        </w:tc>
        <w:tc>
          <w:tcPr>
            <w:tcW w:w="862" w:type="dxa"/>
            <w:vAlign w:val="center"/>
          </w:tcPr>
          <w:p w14:paraId="333605E5">
            <w:pPr>
              <w:pStyle w:val="11"/>
            </w:pPr>
            <w:r>
              <w:t>≥95%</w:t>
            </w:r>
          </w:p>
        </w:tc>
        <w:tc>
          <w:tcPr>
            <w:tcW w:w="1838" w:type="dxa"/>
            <w:vAlign w:val="center"/>
          </w:tcPr>
          <w:p w14:paraId="1DB77B68">
            <w:pPr>
              <w:pStyle w:val="11"/>
            </w:pPr>
            <w:r>
              <w:t>预算安排及执行</w:t>
            </w:r>
          </w:p>
        </w:tc>
      </w:tr>
      <w:tr w14:paraId="315F4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64" w:type="dxa"/>
            <w:vMerge w:val="restart"/>
            <w:vAlign w:val="center"/>
          </w:tcPr>
          <w:p w14:paraId="7886BB9D">
            <w:pPr>
              <w:pStyle w:val="12"/>
            </w:pPr>
            <w:r>
              <w:t>效益指标</w:t>
            </w:r>
          </w:p>
        </w:tc>
        <w:tc>
          <w:tcPr>
            <w:tcW w:w="1449" w:type="dxa"/>
            <w:vAlign w:val="center"/>
          </w:tcPr>
          <w:p w14:paraId="3E8F828A">
            <w:pPr>
              <w:pStyle w:val="11"/>
            </w:pPr>
            <w:r>
              <w:t>经济效益指标</w:t>
            </w:r>
          </w:p>
        </w:tc>
        <w:tc>
          <w:tcPr>
            <w:tcW w:w="2161" w:type="dxa"/>
            <w:vAlign w:val="center"/>
          </w:tcPr>
          <w:p w14:paraId="13E529E4">
            <w:pPr>
              <w:pStyle w:val="11"/>
            </w:pPr>
            <w:r>
              <w:t>资金支出比率</w:t>
            </w:r>
          </w:p>
        </w:tc>
        <w:tc>
          <w:tcPr>
            <w:tcW w:w="3054" w:type="dxa"/>
            <w:vAlign w:val="center"/>
          </w:tcPr>
          <w:p w14:paraId="375815E2">
            <w:pPr>
              <w:pStyle w:val="11"/>
            </w:pPr>
            <w:r>
              <w:t>资金支出率，提高工作质量</w:t>
            </w:r>
          </w:p>
        </w:tc>
        <w:tc>
          <w:tcPr>
            <w:tcW w:w="862" w:type="dxa"/>
            <w:vAlign w:val="center"/>
          </w:tcPr>
          <w:p w14:paraId="21DE9500">
            <w:pPr>
              <w:pStyle w:val="11"/>
            </w:pPr>
            <w:r>
              <w:t>≥95%</w:t>
            </w:r>
          </w:p>
        </w:tc>
        <w:tc>
          <w:tcPr>
            <w:tcW w:w="1838" w:type="dxa"/>
            <w:vAlign w:val="center"/>
          </w:tcPr>
          <w:p w14:paraId="48D422E8">
            <w:pPr>
              <w:pStyle w:val="11"/>
            </w:pPr>
            <w:r>
              <w:t>预算安排及执行</w:t>
            </w:r>
          </w:p>
        </w:tc>
      </w:tr>
      <w:tr w14:paraId="3E5B9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64" w:type="dxa"/>
            <w:vMerge w:val="continue"/>
            <w:vAlign w:val="center"/>
          </w:tcPr>
          <w:p w14:paraId="4734BB6F"/>
        </w:tc>
        <w:tc>
          <w:tcPr>
            <w:tcW w:w="1449" w:type="dxa"/>
            <w:vAlign w:val="center"/>
          </w:tcPr>
          <w:p w14:paraId="22AB3C72">
            <w:pPr>
              <w:pStyle w:val="11"/>
            </w:pPr>
            <w:r>
              <w:t>社会效益指标</w:t>
            </w:r>
          </w:p>
        </w:tc>
        <w:tc>
          <w:tcPr>
            <w:tcW w:w="2161" w:type="dxa"/>
            <w:vAlign w:val="center"/>
          </w:tcPr>
          <w:p w14:paraId="1AC586E3">
            <w:pPr>
              <w:pStyle w:val="11"/>
            </w:pPr>
            <w:r>
              <w:t>资金支出比率</w:t>
            </w:r>
          </w:p>
        </w:tc>
        <w:tc>
          <w:tcPr>
            <w:tcW w:w="3054" w:type="dxa"/>
            <w:vAlign w:val="center"/>
          </w:tcPr>
          <w:p w14:paraId="67EF4C89">
            <w:pPr>
              <w:pStyle w:val="11"/>
            </w:pPr>
            <w:r>
              <w:t>保障工作运转效率，提高工作质量</w:t>
            </w:r>
          </w:p>
        </w:tc>
        <w:tc>
          <w:tcPr>
            <w:tcW w:w="862" w:type="dxa"/>
            <w:vAlign w:val="center"/>
          </w:tcPr>
          <w:p w14:paraId="58D00112">
            <w:pPr>
              <w:pStyle w:val="11"/>
            </w:pPr>
            <w:r>
              <w:t>≥95%</w:t>
            </w:r>
          </w:p>
        </w:tc>
        <w:tc>
          <w:tcPr>
            <w:tcW w:w="1838" w:type="dxa"/>
            <w:vAlign w:val="center"/>
          </w:tcPr>
          <w:p w14:paraId="78266B0C">
            <w:pPr>
              <w:pStyle w:val="11"/>
            </w:pPr>
            <w:r>
              <w:t>预算安排及执行</w:t>
            </w:r>
          </w:p>
        </w:tc>
      </w:tr>
      <w:tr w14:paraId="293E6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8" w:hRule="atLeast"/>
          <w:jc w:val="center"/>
        </w:trPr>
        <w:tc>
          <w:tcPr>
            <w:tcW w:w="864" w:type="dxa"/>
            <w:vAlign w:val="center"/>
          </w:tcPr>
          <w:p w14:paraId="4970631D">
            <w:pPr>
              <w:pStyle w:val="12"/>
            </w:pPr>
            <w:r>
              <w:t>满意度指标</w:t>
            </w:r>
          </w:p>
        </w:tc>
        <w:tc>
          <w:tcPr>
            <w:tcW w:w="1449" w:type="dxa"/>
            <w:vAlign w:val="center"/>
          </w:tcPr>
          <w:p w14:paraId="7BEBC721">
            <w:pPr>
              <w:pStyle w:val="11"/>
            </w:pPr>
            <w:r>
              <w:t>服务对象满意度指标</w:t>
            </w:r>
          </w:p>
        </w:tc>
        <w:tc>
          <w:tcPr>
            <w:tcW w:w="2161" w:type="dxa"/>
            <w:vAlign w:val="center"/>
          </w:tcPr>
          <w:p w14:paraId="27AECA8F">
            <w:pPr>
              <w:pStyle w:val="11"/>
            </w:pPr>
            <w:r>
              <w:t>服务对象满意度</w:t>
            </w:r>
          </w:p>
        </w:tc>
        <w:tc>
          <w:tcPr>
            <w:tcW w:w="3054" w:type="dxa"/>
            <w:vAlign w:val="center"/>
          </w:tcPr>
          <w:p w14:paraId="50770CD4">
            <w:pPr>
              <w:pStyle w:val="11"/>
            </w:pPr>
            <w:r>
              <w:t>服务对象满意度</w:t>
            </w:r>
          </w:p>
        </w:tc>
        <w:tc>
          <w:tcPr>
            <w:tcW w:w="862" w:type="dxa"/>
            <w:vAlign w:val="center"/>
          </w:tcPr>
          <w:p w14:paraId="581B0F20">
            <w:pPr>
              <w:pStyle w:val="11"/>
            </w:pPr>
            <w:r>
              <w:t>≥95%</w:t>
            </w:r>
          </w:p>
        </w:tc>
        <w:tc>
          <w:tcPr>
            <w:tcW w:w="1838" w:type="dxa"/>
            <w:vAlign w:val="center"/>
          </w:tcPr>
          <w:p w14:paraId="25FC033F">
            <w:pPr>
              <w:pStyle w:val="11"/>
            </w:pPr>
            <w:r>
              <w:t>调查问卷</w:t>
            </w:r>
          </w:p>
        </w:tc>
      </w:tr>
    </w:tbl>
    <w:p w14:paraId="230F79FE">
      <w:pPr>
        <w:adjustRightInd w:val="0"/>
        <w:snapToGrid w:val="0"/>
        <w:spacing w:line="560" w:lineRule="exact"/>
        <w:ind w:firstLine="800" w:firstLineChars="250"/>
        <w:rPr>
          <w:rFonts w:ascii="黑体" w:hAnsi="黑体" w:eastAsia="黑体"/>
          <w:sz w:val="32"/>
          <w:szCs w:val="32"/>
        </w:rPr>
      </w:pPr>
      <w:r>
        <w:rPr>
          <w:rFonts w:hint="eastAsia" w:ascii="黑体" w:hAnsi="黑体" w:eastAsia="黑体"/>
          <w:sz w:val="32"/>
          <w:szCs w:val="32"/>
        </w:rPr>
        <w:t>二、自评工作开展情况</w:t>
      </w:r>
    </w:p>
    <w:p w14:paraId="01DFE996">
      <w:pPr>
        <w:spacing w:line="560" w:lineRule="exact"/>
        <w:ind w:firstLine="480" w:firstLineChars="150"/>
        <w:rPr>
          <w:rFonts w:ascii="楷体" w:hAnsi="楷体" w:eastAsia="楷体" w:cs="楷体_GB2312"/>
          <w:sz w:val="32"/>
          <w:szCs w:val="32"/>
        </w:rPr>
      </w:pPr>
      <w:r>
        <w:rPr>
          <w:rFonts w:hint="eastAsia" w:ascii="楷体" w:hAnsi="楷体" w:eastAsia="楷体" w:cs="楷体_GB2312"/>
          <w:bCs/>
          <w:sz w:val="32"/>
          <w:szCs w:val="32"/>
        </w:rPr>
        <w:t>（一）自评的组织工作</w:t>
      </w:r>
    </w:p>
    <w:p w14:paraId="51D7E727">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进一步提高我部门绩效预算管理工作，根据《中共井陉矿区委、井陉矿区人民政府关于全面落实预算绩效管理的实施意见》(矿发【2019】7号)要求，成立绩效评价工作组，按照《井陉矿区财政局关于开展2025年绩效自评工作的通知》，成立自评考核工作组，由梁海平同志任组长，工程股、招采股、综合股人员任成员。对我部门所有的资金项目，开展2024年度部门整体绩效自评工作。</w:t>
      </w:r>
    </w:p>
    <w:p w14:paraId="4C70F1DC">
      <w:pPr>
        <w:spacing w:line="600" w:lineRule="exact"/>
        <w:ind w:firstLine="640" w:firstLineChars="200"/>
        <w:rPr>
          <w:rFonts w:ascii="仿宋_GB2312" w:hAnsi="仿宋_GB2312" w:eastAsia="仿宋_GB2312" w:cs="仿宋_GB2312"/>
          <w:sz w:val="36"/>
          <w:szCs w:val="36"/>
        </w:rPr>
      </w:pPr>
      <w:r>
        <w:rPr>
          <w:rFonts w:hint="eastAsia" w:ascii="仿宋_GB2312" w:hAnsi="仿宋_GB2312" w:eastAsia="仿宋_GB2312" w:cs="仿宋_GB2312"/>
          <w:sz w:val="32"/>
          <w:szCs w:val="32"/>
        </w:rPr>
        <w:t>绩效评价工作组根据工作方案，明确任务分工，确定评价程序及时间安排。根据2024年初设定的绩效目标完成情况和各绩效指标完成情况进行核实分析，填报《2024年区级项目绩效自评表》，并撰写绩效自评报告。</w:t>
      </w:r>
    </w:p>
    <w:p w14:paraId="502813DA">
      <w:pPr>
        <w:numPr>
          <w:ilvl w:val="0"/>
          <w:numId w:val="1"/>
        </w:numPr>
        <w:spacing w:line="560" w:lineRule="exact"/>
        <w:rPr>
          <w:rFonts w:hint="eastAsia" w:ascii="楷体" w:hAnsi="楷体" w:eastAsia="楷体" w:cs="楷体_GB2312"/>
          <w:bCs/>
          <w:sz w:val="32"/>
          <w:szCs w:val="32"/>
        </w:rPr>
      </w:pPr>
      <w:r>
        <w:rPr>
          <w:rFonts w:hint="eastAsia" w:ascii="楷体" w:hAnsi="楷体" w:eastAsia="楷体" w:cs="楷体_GB2312"/>
          <w:bCs/>
          <w:sz w:val="32"/>
          <w:szCs w:val="32"/>
        </w:rPr>
        <w:t>自评的方法和过程</w:t>
      </w:r>
    </w:p>
    <w:p w14:paraId="00C5EC87">
      <w:pPr>
        <w:pStyle w:val="13"/>
        <w:spacing w:line="600" w:lineRule="exact"/>
        <w:ind w:left="642" w:firstLine="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本次绩效评价证据收集方法包括了：研究、分析各股室提供</w:t>
      </w:r>
    </w:p>
    <w:p w14:paraId="1A34A323">
      <w:pPr>
        <w:spacing w:line="60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的相关文件；整理汇总项目各股室提供的项目资料、工作总结和合同；根据各股室提供的基础数据表进行逐项核实。项目在前期的调研基础上，完成了项目绩效评价工作方案，设计了指标体系、评价标准、问卷调查方案等，明确了评价的目的、方法，评价原则。项目严格按照工作方案，通过调研、相关文件的解读、数据采集、文件调查、数据分析、指标评分和撰写的环节，顺利完成了本次绩效评价工作。</w:t>
      </w:r>
    </w:p>
    <w:p w14:paraId="57ABD54A">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5AC86406">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6817E5C1">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800" w:firstLineChars="250"/>
        <w:rPr>
          <w:rFonts w:ascii="仿宋_GB2312" w:hAnsi="仿宋_GB2312" w:eastAsia="仿宋_GB2312" w:cs="仿宋_GB2312"/>
          <w:sz w:val="32"/>
          <w:szCs w:val="32"/>
        </w:rPr>
      </w:pPr>
      <w:r>
        <w:rPr>
          <w:rFonts w:hint="eastAsia" w:ascii="仿宋_GB2312" w:hAnsi="仿宋_GB2312" w:eastAsia="仿宋_GB2312" w:cs="仿宋_GB2312"/>
          <w:sz w:val="32"/>
          <w:szCs w:val="32"/>
        </w:rPr>
        <w:t>2024年，代建中心将严管理、抓落实、快推进，以区委、区政府确定的重点项目为核心，集中精力抓好代建项目推进。确保时限性强的项目如期完成进度。</w:t>
      </w:r>
    </w:p>
    <w:p w14:paraId="1D373AA7">
      <w:pPr>
        <w:pStyle w:val="13"/>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800" w:firstLineChars="250"/>
        <w:rPr>
          <w:rFonts w:ascii="仿宋_GB2312" w:hAnsi="仿宋_GB2312" w:eastAsia="仿宋_GB2312" w:cs="仿宋_GB2312"/>
          <w:sz w:val="32"/>
          <w:szCs w:val="32"/>
        </w:rPr>
      </w:pPr>
      <w:r>
        <w:rPr>
          <w:rFonts w:hint="eastAsia" w:ascii="仿宋_GB2312" w:hAnsi="仿宋_GB2312" w:eastAsia="仿宋_GB2312" w:cs="仿宋_GB2312"/>
          <w:sz w:val="32"/>
          <w:szCs w:val="32"/>
        </w:rPr>
        <w:t>横北棚改横北中心小学及幼儿园项目实现提前竣工交付使用并完成竣工验收，绵河（井陉矿区段）河道治理工程已完成既定验收任务。代建中心和建设单位及施工单位、监理的共同作用下，已经完成了项目的全部进度，实现了资金使用的产出指标及部分效果指标。</w:t>
      </w:r>
    </w:p>
    <w:p w14:paraId="0A895A75">
      <w:pPr>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（二）分项绩效目标实现情况及指标分析</w:t>
      </w:r>
    </w:p>
    <w:p w14:paraId="0A8DB365">
      <w:pPr>
        <w:pStyle w:val="13"/>
        <w:spacing w:line="600" w:lineRule="exact"/>
        <w:ind w:firstLine="578" w:firstLineChars="180"/>
        <w:rPr>
          <w:rFonts w:ascii="仿宋_GB2312" w:hAnsi="黑体" w:eastAsia="仿宋_GB2312"/>
          <w:b/>
          <w:sz w:val="32"/>
          <w:szCs w:val="32"/>
        </w:rPr>
      </w:pPr>
      <w:r>
        <w:rPr>
          <w:rFonts w:hint="eastAsia" w:ascii="仿宋_GB2312" w:hAnsi="黑体" w:eastAsia="仿宋_GB2312"/>
          <w:b/>
          <w:sz w:val="32"/>
          <w:szCs w:val="32"/>
        </w:rPr>
        <w:t>（一）分项绩效目标情况。</w:t>
      </w:r>
    </w:p>
    <w:p w14:paraId="2E382622">
      <w:pPr>
        <w:spacing w:line="600" w:lineRule="exact"/>
        <w:ind w:firstLine="640" w:firstLineChars="200"/>
        <w:rPr>
          <w:rFonts w:ascii="仿宋_GB2312" w:hAnsi="黑体" w:eastAsia="仿宋_GB2312"/>
          <w:sz w:val="32"/>
          <w:szCs w:val="32"/>
        </w:rPr>
      </w:pPr>
      <w:r>
        <w:rPr>
          <w:rFonts w:hint="eastAsia" w:ascii="仿宋_GB2312" w:hAnsi="黑体" w:eastAsia="仿宋_GB2312"/>
          <w:sz w:val="32"/>
          <w:szCs w:val="32"/>
        </w:rPr>
        <w:t>绩效目标1：代建项目按项目可研及工期完工及时率看：已完成。</w:t>
      </w:r>
    </w:p>
    <w:p w14:paraId="005A0A0D">
      <w:pPr>
        <w:spacing w:line="600" w:lineRule="exact"/>
        <w:ind w:firstLine="640" w:firstLineChars="200"/>
        <w:rPr>
          <w:rFonts w:ascii="仿宋_GB2312" w:hAnsi="黑体" w:eastAsia="仿宋_GB2312"/>
          <w:sz w:val="32"/>
          <w:szCs w:val="32"/>
        </w:rPr>
      </w:pPr>
      <w:r>
        <w:rPr>
          <w:rFonts w:hint="eastAsia" w:ascii="仿宋_GB2312" w:hAnsi="黑体" w:eastAsia="仿宋_GB2312"/>
          <w:sz w:val="32"/>
          <w:szCs w:val="32"/>
        </w:rPr>
        <w:t>绩效目标2：代建项目施工过程中安全事故及环保合格率看：没发生安全事故，环保合格。</w:t>
      </w:r>
    </w:p>
    <w:p w14:paraId="2ADE1B14">
      <w:pPr>
        <w:spacing w:line="600" w:lineRule="exact"/>
        <w:ind w:firstLine="472" w:firstLineChars="147"/>
        <w:rPr>
          <w:rFonts w:ascii="仿宋_GB2312" w:hAnsi="黑体" w:eastAsia="仿宋_GB2312"/>
          <w:sz w:val="32"/>
          <w:szCs w:val="32"/>
        </w:rPr>
      </w:pPr>
      <w:r>
        <w:rPr>
          <w:rFonts w:hint="eastAsia" w:ascii="楷体_GB2312" w:hAnsi="黑体" w:eastAsia="楷体_GB2312"/>
          <w:b/>
          <w:sz w:val="32"/>
          <w:szCs w:val="32"/>
        </w:rPr>
        <w:t>（二</w:t>
      </w:r>
      <w:r>
        <w:rPr>
          <w:rFonts w:ascii="楷体_GB2312" w:hAnsi="黑体" w:eastAsia="楷体_GB2312"/>
          <w:b/>
          <w:sz w:val="32"/>
          <w:szCs w:val="32"/>
        </w:rPr>
        <w:t>）</w:t>
      </w:r>
      <w:r>
        <w:rPr>
          <w:rFonts w:hint="eastAsia" w:ascii="楷体_GB2312" w:hAnsi="黑体" w:eastAsia="楷体_GB2312"/>
          <w:b/>
          <w:sz w:val="32"/>
          <w:szCs w:val="32"/>
        </w:rPr>
        <w:t>绩效指标完成情况分析。</w:t>
      </w:r>
      <w:r>
        <w:rPr>
          <w:rFonts w:hint="eastAsia" w:ascii="仿宋_GB2312" w:hAnsi="黑体" w:eastAsia="仿宋_GB2312"/>
          <w:sz w:val="32"/>
          <w:szCs w:val="32"/>
        </w:rPr>
        <w:t>（根据三级绩效指标逐项分析全年实际完成情况）</w:t>
      </w:r>
    </w:p>
    <w:p w14:paraId="03B55096">
      <w:pPr>
        <w:spacing w:line="600" w:lineRule="exact"/>
        <w:ind w:firstLine="640" w:firstLineChars="200"/>
        <w:rPr>
          <w:rFonts w:ascii="仿宋_GB2312" w:hAnsi="黑体" w:eastAsia="仿宋_GB2312"/>
          <w:sz w:val="32"/>
          <w:szCs w:val="32"/>
        </w:rPr>
      </w:pPr>
      <w:r>
        <w:rPr>
          <w:rFonts w:hint="eastAsia" w:ascii="仿宋_GB2312" w:hAnsi="黑体" w:eastAsia="仿宋_GB2312"/>
          <w:sz w:val="32"/>
          <w:szCs w:val="32"/>
        </w:rPr>
        <w:t>从项目的产出指标看：1.数量指标，代建项目工程量完成率，到2023年底按时间进度及合同管理，已拨付工程预算的部分资金，待工程验收评审后拨付剩余资金；2.代建项目工程质量合格率，代建中心领导及工程科对项目不断跟进，加上监理的日常工作，确保工程质量合格；3.代建项目完工及时率，领导对工程的重视，施工及监理认真负责，代建项目圆满完成年度既定建设任务。</w:t>
      </w:r>
    </w:p>
    <w:p w14:paraId="45916CA6">
      <w:pPr>
        <w:snapToGrid w:val="0"/>
        <w:spacing w:line="600" w:lineRule="exact"/>
        <w:ind w:firstLine="640" w:firstLineChars="200"/>
        <w:rPr>
          <w:rFonts w:ascii="仿宋_GB2312" w:hAnsi="仿宋_GB2312" w:eastAsia="仿宋_GB2312" w:cs="仿宋_GB2312"/>
          <w:sz w:val="32"/>
          <w:szCs w:val="32"/>
        </w:rPr>
      </w:pPr>
      <w:r>
        <w:rPr>
          <w:rFonts w:hint="eastAsia" w:ascii="仿宋_GB2312" w:hAnsi="黑体" w:eastAsia="仿宋_GB2312"/>
          <w:sz w:val="32"/>
          <w:szCs w:val="32"/>
        </w:rPr>
        <w:t>从项目的效果指标看：1.社会效益指标，安全事故发生概率为零；2.生态效益指标，代建项目工地环保合格率达到100%，代建中心领导及工程施工科日常工作中对项目发现问题，协调项目使用单位对环保存在问题及时进行整改，实现环保达标，有效改善周边生态环境；3.经济效益指标，</w:t>
      </w:r>
      <w:r>
        <w:rPr>
          <w:rFonts w:hint="eastAsia" w:ascii="仿宋_GB2312" w:hAnsi="仿宋" w:eastAsia="仿宋_GB2312"/>
          <w:sz w:val="32"/>
          <w:szCs w:val="32"/>
        </w:rPr>
        <w:t>横北棚改配套横北中心小学及幼儿园项目2024年度列入年初预算资金791万元，</w:t>
      </w:r>
      <w:r>
        <w:rPr>
          <w:rFonts w:hint="eastAsia" w:ascii="仿宋_GB2312" w:hAnsi="仿宋_GB2312" w:eastAsia="仿宋_GB2312" w:cs="仿宋_GB2312"/>
          <w:sz w:val="32"/>
          <w:szCs w:val="32"/>
        </w:rPr>
        <w:t>截止2024年12月,</w:t>
      </w:r>
      <w:r>
        <w:rPr>
          <w:rFonts w:hint="eastAsia" w:ascii="仿宋_GB2312" w:hAnsi="仿宋" w:eastAsia="仿宋_GB2312"/>
          <w:sz w:val="32"/>
          <w:szCs w:val="32"/>
        </w:rPr>
        <w:t>根据工程进度及合同</w:t>
      </w:r>
      <w:r>
        <w:rPr>
          <w:rFonts w:hint="eastAsia" w:ascii="仿宋_GB2312" w:hAnsi="仿宋_GB2312" w:eastAsia="仿宋_GB2312" w:cs="仿宋_GB2312"/>
          <w:sz w:val="32"/>
          <w:szCs w:val="32"/>
        </w:rPr>
        <w:t>该项目按照合同支付预付款</w:t>
      </w:r>
      <w:r>
        <w:rPr>
          <w:rFonts w:hint="eastAsia" w:ascii="仿宋_GB2312" w:hAnsi="仿宋" w:eastAsia="仿宋_GB2312"/>
          <w:sz w:val="32"/>
          <w:szCs w:val="32"/>
        </w:rPr>
        <w:t>项目资金789.7231万元,</w:t>
      </w:r>
      <w:r>
        <w:rPr>
          <w:rFonts w:hint="eastAsia" w:ascii="仿宋_GB2312" w:hAnsi="仿宋_GB2312" w:eastAsia="仿宋_GB2312" w:cs="仿宋_GB2312"/>
          <w:sz w:val="32"/>
          <w:szCs w:val="32"/>
        </w:rPr>
        <w:t>预算单位年末无结转资金。</w:t>
      </w:r>
    </w:p>
    <w:p w14:paraId="58E36422">
      <w:pPr>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绵河（井陉矿区段）河道治理工程项目根据《关于提前下达2023年省级水利发展资金（地方债）的通知—绵河（井陉矿区段）河道治理工程》（石财农〔2022〕85号）文件（800万元），列入2023年预算资金800万元专项用于绵河（井陉矿区段）河道治理工程</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截止2023年12月,根据工程进度及合同该项目按照合同支付预付款项目资金43万元;2024年结转专款预算757万元</w:t>
      </w:r>
      <w:r>
        <w:rPr>
          <w:rFonts w:hint="eastAsia" w:ascii="仿宋_GB2312" w:hAnsi="仿宋_GB2312" w:eastAsia="仿宋_GB2312" w:cs="仿宋_GB2312"/>
          <w:sz w:val="32"/>
          <w:szCs w:val="32"/>
          <w:lang w:val="en-US" w:eastAsia="zh-CN"/>
        </w:rPr>
        <w:t>,</w:t>
      </w:r>
      <w:bookmarkStart w:id="0" w:name="_GoBack"/>
      <w:bookmarkEnd w:id="0"/>
      <w:r>
        <w:rPr>
          <w:rFonts w:hint="eastAsia" w:ascii="仿宋_GB2312" w:hAnsi="仿宋_GB2312" w:eastAsia="仿宋_GB2312" w:cs="仿宋_GB2312"/>
          <w:sz w:val="32"/>
          <w:szCs w:val="32"/>
        </w:rPr>
        <w:t>截止2024年12月,根据工程进度及合同该项目按照合同支付预付款项目资金310万元,预算单位年末无结转资金。</w:t>
      </w:r>
    </w:p>
    <w:p w14:paraId="1E3E7FAB">
      <w:pPr>
        <w:spacing w:line="600" w:lineRule="exact"/>
        <w:ind w:firstLine="640" w:firstLineChars="200"/>
        <w:rPr>
          <w:rFonts w:ascii="仿宋_GB2312" w:hAnsi="黑体" w:eastAsia="仿宋_GB2312"/>
          <w:sz w:val="32"/>
          <w:szCs w:val="32"/>
        </w:rPr>
      </w:pPr>
      <w:r>
        <w:rPr>
          <w:rFonts w:hint="eastAsia" w:ascii="仿宋_GB2312" w:hAnsi="黑体" w:eastAsia="仿宋_GB2312"/>
          <w:sz w:val="32"/>
          <w:szCs w:val="32"/>
        </w:rPr>
        <w:t>从</w:t>
      </w:r>
      <w:r>
        <w:rPr>
          <w:rFonts w:ascii="仿宋_GB2312" w:hAnsi="黑体" w:eastAsia="仿宋_GB2312"/>
          <w:sz w:val="32"/>
          <w:szCs w:val="32"/>
        </w:rPr>
        <w:t>服务对象满意度指标</w:t>
      </w:r>
      <w:r>
        <w:rPr>
          <w:rFonts w:hint="eastAsia" w:ascii="仿宋_GB2312" w:hAnsi="黑体" w:eastAsia="仿宋_GB2312"/>
          <w:sz w:val="32"/>
          <w:szCs w:val="32"/>
        </w:rPr>
        <w:t>看，我中心在项目建设过程中，不断加大服务力度，既提高了服务群众的满意度，又使项目建设进度和质量得到保障。</w:t>
      </w:r>
    </w:p>
    <w:p w14:paraId="4923C439">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6D2D2AC4">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根据部门职责定位和各项工作履职情况进行综合评价，给出总得分，满分100分，得出综合绩效评价等级100分。</w:t>
      </w:r>
    </w:p>
    <w:p w14:paraId="4405F564">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5C7DE7D">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7CD61547">
      <w:pPr>
        <w:spacing w:line="560" w:lineRule="exact"/>
        <w:ind w:firstLine="640" w:firstLineChars="200"/>
        <w:rPr>
          <w:rFonts w:ascii="仿宋" w:hAnsi="仿宋" w:eastAsia="仿宋"/>
          <w:sz w:val="32"/>
          <w:szCs w:val="32"/>
        </w:rPr>
      </w:pPr>
      <w:r>
        <w:rPr>
          <w:rFonts w:hint="eastAsia" w:ascii="仿宋" w:hAnsi="仿宋" w:eastAsia="仿宋"/>
          <w:sz w:val="32"/>
          <w:szCs w:val="32"/>
        </w:rPr>
        <w:t>绩效目标能够围绕绩效目标来设定，从总体来看所设指标科学合理，易于评价，但在完整度方面尚可提升，全面反映被评价项目的实际情况。</w:t>
      </w:r>
    </w:p>
    <w:p w14:paraId="3942ED1B">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4D01100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进一步细化 、量化预算绩效指标设定，从时效、数量、质量等，建立可细化、可量化、可考评的绩效指标体系，提高绩效评价指标体系的科学性、合理性。</w:t>
      </w:r>
    </w:p>
    <w:p w14:paraId="46D12E31">
      <w:pPr>
        <w:spacing w:line="560" w:lineRule="exact"/>
        <w:ind w:firstLine="640" w:firstLineChars="200"/>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p w14:paraId="343A077A">
      <w:pPr>
        <w:spacing w:line="460" w:lineRule="exact"/>
        <w:ind w:firstLine="640" w:firstLineChars="200"/>
        <w:rPr>
          <w:rFonts w:ascii="仿宋_GB2312" w:eastAsia="仿宋_GB2312" w:hAnsiTheme="majorEastAsia"/>
          <w:sz w:val="32"/>
          <w:szCs w:val="32"/>
        </w:rPr>
      </w:pPr>
      <w:r>
        <w:rPr>
          <w:rFonts w:hint="eastAsia" w:ascii="仿宋_GB2312" w:eastAsia="仿宋_GB2312" w:hAnsiTheme="majorEastAsia"/>
          <w:sz w:val="32"/>
          <w:szCs w:val="32"/>
        </w:rPr>
        <w:t>组  长: 梁海平  （副科级干部）</w:t>
      </w:r>
    </w:p>
    <w:p w14:paraId="1E350205">
      <w:pPr>
        <w:spacing w:line="460" w:lineRule="exact"/>
        <w:ind w:firstLine="640" w:firstLineChars="200"/>
        <w:rPr>
          <w:rFonts w:ascii="仿宋_GB2312" w:eastAsia="仿宋_GB2312" w:hAnsiTheme="majorEastAsia"/>
          <w:sz w:val="32"/>
          <w:szCs w:val="32"/>
        </w:rPr>
      </w:pPr>
      <w:r>
        <w:rPr>
          <w:rFonts w:hint="eastAsia" w:ascii="仿宋_GB2312" w:eastAsia="仿宋_GB2312" w:hAnsiTheme="majorEastAsia"/>
          <w:sz w:val="32"/>
          <w:szCs w:val="32"/>
        </w:rPr>
        <w:t>成  员：孙  炜  （工程股股长）</w:t>
      </w:r>
    </w:p>
    <w:p w14:paraId="1C91F43B">
      <w:pPr>
        <w:spacing w:line="460" w:lineRule="exact"/>
        <w:ind w:firstLine="1920" w:firstLineChars="600"/>
        <w:rPr>
          <w:rFonts w:ascii="仿宋_GB2312" w:eastAsia="仿宋_GB2312" w:hAnsiTheme="majorEastAsia"/>
          <w:sz w:val="32"/>
          <w:szCs w:val="32"/>
        </w:rPr>
      </w:pPr>
      <w:r>
        <w:rPr>
          <w:rFonts w:hint="eastAsia" w:ascii="仿宋_GB2312" w:eastAsia="仿宋_GB2312" w:hAnsiTheme="majorEastAsia"/>
          <w:sz w:val="32"/>
          <w:szCs w:val="32"/>
        </w:rPr>
        <w:t xml:space="preserve">张晓凯  （项目股、招采股股长）  </w:t>
      </w:r>
    </w:p>
    <w:p w14:paraId="08642001">
      <w:pPr>
        <w:spacing w:line="460" w:lineRule="exact"/>
        <w:ind w:firstLine="1920" w:firstLineChars="600"/>
        <w:rPr>
          <w:rFonts w:ascii="仿宋" w:hAnsi="仿宋" w:eastAsia="仿宋"/>
        </w:rPr>
      </w:pPr>
      <w:r>
        <w:rPr>
          <w:rFonts w:hint="eastAsia" w:ascii="仿宋_GB2312" w:eastAsia="仿宋_GB2312" w:hAnsiTheme="majorEastAsia"/>
          <w:sz w:val="32"/>
          <w:szCs w:val="32"/>
        </w:rPr>
        <w:t xml:space="preserve">王晓晔  （综合股股长）  </w:t>
      </w:r>
    </w:p>
    <w:p w14:paraId="1BAF9B56">
      <w:pPr>
        <w:spacing w:line="560" w:lineRule="exact"/>
        <w:ind w:firstLine="640" w:firstLineChars="200"/>
        <w:rPr>
          <w:rFonts w:ascii="黑体" w:hAnsi="黑体" w:eastAsia="黑体"/>
          <w:sz w:val="32"/>
          <w:szCs w:val="32"/>
        </w:rPr>
      </w:pPr>
    </w:p>
    <w:p w14:paraId="3A4A946D">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华文楷体">
    <w:altName w:val="楷体_GB2312"/>
    <w:panose1 w:val="02010600040101010101"/>
    <w:charset w:val="86"/>
    <w:family w:val="auto"/>
    <w:pitch w:val="default"/>
    <w:sig w:usb0="00000000" w:usb1="00000000" w:usb2="00000010" w:usb3="00000000" w:csb0="0004009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369F9B">
    <w:pPr>
      <w:pStyle w:val="5"/>
    </w:pPr>
    <w:r>
      <w:pict>
        <v:shape id="Quad Arrow 3073 3" o:spid="_x0000_s1025" o:spt="202" type="#_x0000_t202" style="position:absolute;left:0pt;margin-top:0pt;height:12.8pt;width:16.5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471A5FE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- 6 -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ulTrailSpace/>
    <w:doNotExpandShiftReturn/>
    <w:adjustLineHeightInTable/>
    <w:useFELayout/>
    <w:doNotUseIndentAsNumberingTabStop/>
    <w:useAltKinsokuLineBreakRules/>
    <w:doNotSuppressIndentation/>
    <w:splitPgBreakAndParaMark/>
    <w:compatSetting w:name="compatibilityMode" w:uri="http://schemas.microsoft.com/office/word" w:val="12"/>
  </w:compat>
  <w:docVars>
    <w:docVar w:name="commondata" w:val="eyJoZGlkIjoiYzgxMzVhZTBlNDUyZWUxNDVhMjNkN2E1NjFlOTE5NDcifQ=="/>
  </w:docVars>
  <w:rsids>
    <w:rsidRoot w:val="008905A5"/>
    <w:rsid w:val="0007234C"/>
    <w:rsid w:val="000E3DF4"/>
    <w:rsid w:val="0017469E"/>
    <w:rsid w:val="001B7850"/>
    <w:rsid w:val="001C2744"/>
    <w:rsid w:val="001C31D8"/>
    <w:rsid w:val="002B6FBF"/>
    <w:rsid w:val="00363BFA"/>
    <w:rsid w:val="003F48DA"/>
    <w:rsid w:val="00520286"/>
    <w:rsid w:val="005679F3"/>
    <w:rsid w:val="005A746C"/>
    <w:rsid w:val="005C08BF"/>
    <w:rsid w:val="005E5306"/>
    <w:rsid w:val="005F4F66"/>
    <w:rsid w:val="0060369F"/>
    <w:rsid w:val="006F1E44"/>
    <w:rsid w:val="006F3CA9"/>
    <w:rsid w:val="00717011"/>
    <w:rsid w:val="00724836"/>
    <w:rsid w:val="00751B08"/>
    <w:rsid w:val="00835F09"/>
    <w:rsid w:val="00862A7E"/>
    <w:rsid w:val="008905A5"/>
    <w:rsid w:val="009B7E50"/>
    <w:rsid w:val="00A07D65"/>
    <w:rsid w:val="00B2250E"/>
    <w:rsid w:val="00BA569A"/>
    <w:rsid w:val="00CC5B25"/>
    <w:rsid w:val="00D70911"/>
    <w:rsid w:val="00DD3C3B"/>
    <w:rsid w:val="00E148C8"/>
    <w:rsid w:val="00EA2CED"/>
    <w:rsid w:val="00EF5DD3"/>
    <w:rsid w:val="00FB09A9"/>
    <w:rsid w:val="41BF0C6F"/>
    <w:rsid w:val="718117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tabs>
        <w:tab w:val="center" w:pos="4153"/>
        <w:tab w:val="right" w:pos="8306"/>
      </w:tabs>
      <w:snapToGrid w:val="0"/>
    </w:pPr>
    <w:rPr>
      <w:rFonts w:ascii="Times New Roman" w:hAnsi="Times New Roman"/>
      <w:sz w:val="18"/>
    </w:rPr>
  </w:style>
  <w:style w:type="paragraph" w:customStyle="1" w:styleId="9">
    <w:name w:val="插入文本样式-插入部门职责文件"/>
    <w:basedOn w:val="1"/>
    <w:autoRedefine/>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10">
    <w:name w:val="单元格样式1"/>
    <w:basedOn w:val="1"/>
    <w:autoRedefine/>
    <w:qFormat/>
    <w:uiPriority w:val="0"/>
    <w:pPr>
      <w:widowControl/>
      <w:jc w:val="center"/>
    </w:pPr>
    <w:rPr>
      <w:rFonts w:ascii="方正书宋_GBK" w:hAnsi="方正书宋_GBK" w:eastAsia="方正书宋_GBK" w:cs="方正书宋_GBK"/>
      <w:b/>
      <w:kern w:val="0"/>
      <w:szCs w:val="24"/>
      <w:lang w:eastAsia="uk-UA"/>
    </w:rPr>
  </w:style>
  <w:style w:type="paragraph" w:customStyle="1" w:styleId="11">
    <w:name w:val="单元格样式2"/>
    <w:basedOn w:val="1"/>
    <w:autoRedefine/>
    <w:qFormat/>
    <w:uiPriority w:val="0"/>
    <w:pPr>
      <w:widowControl/>
      <w:jc w:val="left"/>
    </w:pPr>
    <w:rPr>
      <w:rFonts w:ascii="方正书宋_GBK" w:hAnsi="方正书宋_GBK" w:eastAsia="方正书宋_GBK" w:cs="方正书宋_GBK"/>
      <w:kern w:val="0"/>
      <w:szCs w:val="24"/>
      <w:lang w:eastAsia="uk-UA"/>
    </w:rPr>
  </w:style>
  <w:style w:type="paragraph" w:customStyle="1" w:styleId="12">
    <w:name w:val="单元格样式3"/>
    <w:basedOn w:val="1"/>
    <w:autoRedefine/>
    <w:qFormat/>
    <w:uiPriority w:val="0"/>
    <w:pPr>
      <w:widowControl/>
      <w:jc w:val="center"/>
    </w:pPr>
    <w:rPr>
      <w:rFonts w:ascii="方正书宋_GBK" w:hAnsi="方正书宋_GBK" w:eastAsia="方正书宋_GBK" w:cs="方正书宋_GBK"/>
      <w:kern w:val="0"/>
      <w:szCs w:val="24"/>
      <w:lang w:eastAsia="uk-UA"/>
    </w:rPr>
  </w:style>
  <w:style w:type="paragraph" w:styleId="13">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5"/>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FF0AC5-597A-436C-8052-6BABDDFA8FA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Pages>
  <Words>2673</Words>
  <Characters>2850</Characters>
  <Lines>21</Lines>
  <Paragraphs>5</Paragraphs>
  <TotalTime>0</TotalTime>
  <ScaleCrop>false</ScaleCrop>
  <LinksUpToDate>false</LinksUpToDate>
  <CharactersWithSpaces>2883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芳芳</cp:lastModifiedBy>
  <cp:lastPrinted>2024-03-06T07:40:00Z</cp:lastPrinted>
  <dcterms:modified xsi:type="dcterms:W3CDTF">2025-07-15T07:45:00Z</dcterms:modified>
  <dc:title>附件3：</dc:title>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96934721B1514D3FBAA28020338CE855_12</vt:lpwstr>
  </property>
  <property fmtid="{D5CDD505-2E9C-101B-9397-08002B2CF9AE}" pid="4" name="KSOTemplateDocerSaveRecord">
    <vt:lpwstr>eyJoZGlkIjoiNmU3MDMxMTZiZDc0Zjg4YTkyM2VlMzNlNWFjNDIwZGQiLCJ1c2VySWQiOiI3NzI2MzEyMjYifQ==</vt:lpwstr>
  </property>
</Properties>
</file>