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560" w:lineRule="exac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cs="宋体" w:hAnsi="宋体" w:hint="eastAsia"/>
          <w:b/>
          <w:bCs/>
          <w:sz w:val="44"/>
          <w:szCs w:val="44"/>
        </w:rPr>
      </w:pPr>
      <w:r>
        <w:rPr>
          <w:rFonts w:ascii="宋体" w:cs="宋体" w:hAnsi="宋体"/>
          <w:b/>
          <w:bCs/>
          <w:sz w:val="44"/>
          <w:szCs w:val="44"/>
        </w:rPr>
        <w:t>矿区科工局</w:t>
      </w:r>
      <w:r>
        <w:rPr>
          <w:rFonts w:ascii="宋体" w:cs="宋体" w:hAnsi="宋体" w:hint="eastAsia"/>
          <w:b/>
          <w:bCs/>
          <w:sz w:val="44"/>
          <w:szCs w:val="44"/>
        </w:rPr>
        <w:t>部门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</w:rPr>
        <w:t>202</w:t>
      </w:r>
      <w:r>
        <w:rPr>
          <w:rFonts w:ascii="宋体" w:cs="宋体" w:hAnsi="宋体"/>
          <w:b/>
          <w:bCs/>
          <w:sz w:val="44"/>
          <w:szCs w:val="44"/>
        </w:rPr>
        <w:t>4</w:t>
      </w:r>
      <w:r>
        <w:rPr>
          <w:rFonts w:ascii="宋体" w:cs="宋体" w:hAnsi="宋体" w:hint="eastAsia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/>
          <w:sz w:val="32"/>
          <w:szCs w:val="32"/>
        </w:rPr>
        <w:t>区委区政府</w:t>
      </w:r>
      <w:r>
        <w:rPr>
          <w:rFonts w:ascii="仿宋" w:eastAsia="仿宋" w:hAnsi="仿宋" w:hint="eastAsia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sz w:val="32"/>
          <w:szCs w:val="32"/>
        </w:rPr>
        <w:t>矿</w:t>
      </w:r>
      <w:r>
        <w:rPr>
          <w:rFonts w:ascii="仿宋" w:eastAsia="仿宋" w:hAnsi="仿宋" w:hint="eastAsia"/>
          <w:sz w:val="32"/>
          <w:szCs w:val="32"/>
        </w:rPr>
        <w:t>发﹝2019﹞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sz w:val="32"/>
          <w:szCs w:val="32"/>
        </w:rPr>
        <w:t>我局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/>
          <w:bCs/>
          <w:sz w:val="32"/>
          <w:szCs w:val="32"/>
        </w:rPr>
        <w:t>1、部门职能</w:t>
      </w:r>
    </w:p>
    <w:p>
      <w:pPr>
        <w:pStyle w:val="1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仿宋" w:eastAsia="仿宋" w:cs="仿宋" w:hAnsi="仿宋"/>
          <w:b w:val="0"/>
          <w:kern w:val="2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b w:val="0"/>
          <w:kern w:val="2"/>
          <w:sz w:val="32"/>
          <w:szCs w:val="32"/>
          <w:lang w:val="en-US" w:eastAsia="zh-CN"/>
        </w:rPr>
        <w:t>根据区委区政府关于印发《井陉矿区科学技术和工业信息化局职能配置、内设机构和人员编制规定》矿办字【2019】34号文件我部门负责（1）实施工业和信息化运行监测管理。编制并组织实施近期监测、分析工业经济运行态势统计相关信息，协调解决经济运行中突出问题并向区政府提出意见和建议。（2）大气污染防治相关工作。督导企业应对启动重污染天气实施相关工作。（3）推动新型工业化发展，支持全区工业技术改造。拟订新型工业化的发展战略，规划和相关推进全民创业。（4）推进全区信息化建设和工业化深度融合。做好中小企业融资和融资担保服务协调工作。(5）知识产权管理与保护。(6)科技创新环境建设与创新服务体系建设。 组织实施科技重大专项工作。(7)科学技术和工业信息化事务管理等相关工作。</w:t>
      </w:r>
    </w:p>
    <w:p>
      <w:pPr>
        <w:adjustRightInd w:val="0"/>
        <w:snapToGrid w:val="0"/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/>
          <w:bCs/>
          <w:sz w:val="32"/>
          <w:szCs w:val="32"/>
        </w:rPr>
        <w:t>2、组织机构及人员情况</w:t>
      </w:r>
    </w:p>
    <w:p>
      <w:pPr>
        <w:wordWrap/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仿宋_GB2312"/>
          <w:color w:val="auto"/>
          <w:sz w:val="32"/>
          <w:szCs w:val="32"/>
        </w:rPr>
      </w:pPr>
      <w:r>
        <w:rPr>
          <w:rFonts w:ascii="仿宋" w:eastAsia="仿宋" w:cs="仿宋" w:hAnsi="仿宋" w:hint="eastAsia"/>
          <w:b w:val="0"/>
          <w:kern w:val="2"/>
          <w:sz w:val="32"/>
          <w:szCs w:val="32"/>
          <w:lang w:val="en-US" w:eastAsia="zh-CN"/>
        </w:rPr>
        <w:t>井陉矿区科学技术和工业信息化局为区政府工作部门，机构规格正科级</w:t>
      </w:r>
      <w:r>
        <w:rPr>
          <w:rFonts w:ascii="仿宋" w:eastAsia="仿宋" w:cs="仿宋" w:hAnsi="仿宋"/>
          <w:b w:val="0"/>
          <w:kern w:val="2"/>
          <w:sz w:val="32"/>
          <w:szCs w:val="32"/>
          <w:lang w:val="en-US" w:eastAsia="zh-CN"/>
        </w:rPr>
        <w:t>，行政编制6名，年末实有人数5人；科技服务中心，设事业编制6名，年末实有人数2人。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/>
          <w:bCs/>
          <w:sz w:val="32"/>
          <w:szCs w:val="32"/>
        </w:rPr>
        <w:t>3、资产情况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楷体" w:eastAsia="楷体" w:cs="楷体_GB2312" w:hAnsi="楷体" w:hint="eastAsia"/>
          <w:bCs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2024年我单位资产合计65.32万元，其中流动资产为57.34万元，固定资产为</w:t>
      </w:r>
      <w:r>
        <w:rPr>
          <w:rFonts w:cs="仿宋_GB2312" w:hint="eastAsia"/>
          <w:sz w:val="32"/>
          <w:szCs w:val="32"/>
          <w:lang w:val="en-US" w:eastAsia="zh-CN"/>
        </w:rPr>
        <w:t>7.98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万元</w:t>
      </w:r>
      <w:r>
        <w:rPr>
          <w:rFonts w:ascii="仿宋_GB2312" w:eastAsia="仿宋_GB2312" w:cs="仿宋_GB2312" w:hint="eastAsia"/>
          <w:sz w:val="32"/>
          <w:szCs w:val="32"/>
          <w:lang w:bidi="ar-SA"/>
        </w:rPr>
        <w:t>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snapToGrid w:val="0"/>
        <w:spacing w:line="600" w:lineRule="exact"/>
        <w:ind w:firstLineChars="200" w:firstLine="640"/>
        <w:outlineLvl w:val="0"/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cs="仿宋_GB2312" w:hAnsi="仿宋_GB2312"/>
          <w:color w:val="000000"/>
          <w:kern w:val="0"/>
          <w:sz w:val="32"/>
          <w:szCs w:val="32"/>
          <w:lang w:eastAsia="zh-CN"/>
        </w:rPr>
        <w:t>1、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eastAsia="zh-CN"/>
        </w:rPr>
        <w:t>20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val="en-US" w:eastAsia="zh-CN"/>
        </w:rPr>
        <w:t>24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eastAsia="zh-CN"/>
        </w:rPr>
        <w:t>年财政年初预算安排</w:t>
      </w:r>
      <w:r>
        <w:rPr>
          <w:rFonts w:ascii="仿宋_GB2312" w:eastAsia="仿宋_GB2312" w:cs="仿宋_GB2312" w:hAnsi="仿宋_GB2312"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2377.03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eastAsia="zh-CN"/>
        </w:rPr>
        <w:t>万元，其中行政运行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val="en-US" w:eastAsia="zh-CN"/>
        </w:rPr>
        <w:t>210.73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eastAsia="zh-CN"/>
        </w:rPr>
        <w:t>万元，项目经费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val="en-US" w:eastAsia="zh-CN"/>
        </w:rPr>
        <w:t>2166.30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adjustRightInd/>
        <w:snapToGrid w:val="0"/>
        <w:spacing w:line="580" w:lineRule="exact"/>
        <w:ind w:left="0"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  <w:highlight w:val="auto"/>
        </w:rPr>
        <w:t>2、收入支出决算情况：</w:t>
      </w:r>
      <w:r>
        <w:rPr>
          <w:rFonts w:ascii="仿宋_GB2312" w:eastAsia="仿宋_GB2312" w:cs="仿宋_GB2312" w:hAnsi="仿宋_GB2312" w:hint="eastAsia"/>
          <w:sz w:val="32"/>
          <w:szCs w:val="32"/>
        </w:rPr>
        <w:t>20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24</w:t>
      </w:r>
      <w:r>
        <w:rPr>
          <w:rFonts w:ascii="仿宋_GB2312" w:eastAsia="仿宋_GB2312" w:cs="仿宋_GB2312" w:hAnsi="仿宋_GB2312" w:hint="eastAsia"/>
          <w:sz w:val="32"/>
          <w:szCs w:val="32"/>
        </w:rPr>
        <w:t>年实际收到财政拨款</w:t>
      </w:r>
      <w:r>
        <w:rPr>
          <w:rFonts w:ascii="仿宋_GB2312" w:eastAsia="仿宋_GB2312" w:cs="仿宋_GB2312" w:hAnsi="仿宋_GB2312" w:hint="eastAsia"/>
          <w:color w:val="000000"/>
          <w:kern w:val="0"/>
          <w:sz w:val="32"/>
          <w:szCs w:val="32"/>
          <w:lang w:val="en-US" w:eastAsia="zh-CN"/>
        </w:rPr>
        <w:t>731.68</w:t>
      </w:r>
      <w:r>
        <w:rPr>
          <w:rFonts w:ascii="仿宋_GB2312" w:eastAsia="仿宋_GB2312" w:cs="仿宋_GB2312" w:hAnsi="仿宋_GB2312" w:hint="eastAsia"/>
          <w:sz w:val="32"/>
          <w:szCs w:val="32"/>
        </w:rPr>
        <w:t>元，其中人员支出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182.11</w:t>
      </w:r>
      <w:r>
        <w:rPr>
          <w:rFonts w:ascii="仿宋_GB2312" w:eastAsia="仿宋_GB2312" w:cs="仿宋_GB2312" w:hAnsi="仿宋_GB2312" w:hint="eastAsia"/>
          <w:sz w:val="32"/>
          <w:szCs w:val="32"/>
        </w:rPr>
        <w:t>万元；公用支出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5.78</w:t>
      </w:r>
      <w:r>
        <w:rPr>
          <w:rFonts w:ascii="仿宋_GB2312" w:eastAsia="仿宋_GB2312" w:cs="仿宋_GB2312" w:hAnsi="仿宋_GB2312" w:hint="eastAsia"/>
          <w:sz w:val="32"/>
          <w:szCs w:val="32"/>
        </w:rPr>
        <w:t>万元;项目支出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543.79</w:t>
      </w:r>
      <w:r>
        <w:rPr>
          <w:rFonts w:ascii="仿宋_GB2312" w:eastAsia="仿宋_GB2312" w:cs="仿宋_GB2312" w:hAnsi="仿宋_GB2312" w:hint="eastAsia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adjustRightInd/>
        <w:snapToGrid w:val="0"/>
        <w:spacing w:line="58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firstLineChars="200" w:firstLine="640"/>
        <w:jc w:val="left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b w:val="0"/>
          <w:sz w:val="32"/>
          <w:szCs w:val="32"/>
          <w:u w:val="none"/>
        </w:rPr>
        <w:t>总体目标：202</w:t>
      </w:r>
      <w:r>
        <w:rPr>
          <w:rFonts w:ascii="仿宋" w:eastAsia="仿宋" w:cs="仿宋" w:hAnsi="仿宋"/>
          <w:b w:val="0"/>
          <w:sz w:val="32"/>
          <w:szCs w:val="32"/>
          <w:u w:val="none"/>
        </w:rPr>
        <w:t>4</w:t>
      </w:r>
      <w:r>
        <w:rPr>
          <w:rFonts w:ascii="仿宋" w:eastAsia="仿宋" w:cs="仿宋" w:hAnsi="仿宋" w:hint="eastAsia"/>
          <w:b w:val="0"/>
          <w:sz w:val="32"/>
          <w:szCs w:val="32"/>
          <w:u w:val="none"/>
        </w:rPr>
        <w:t>年我局要加快研究提出发挥科技创新绿色转型的支撑作用，大力推进创发展战略的实施，还要持续推进深化改革开放，营造良好发展环境。全面深化改革，使市场在资源配置中起决定性作用，更好发挥政府作用，破解体制机构和政策性障碍，推动资金、技术、人才等资源要素向实体经济领域聚集。完善政策措施，着力减轻企业负担，强化财税金融支持和技术型人才培育，为我区工业和科技创 新事业发展不懈奋斗！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eastAsia="楷体" w:cs="楷体_GB2312" w:hAnsi="楷体"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（一）自评的组织工作</w:t>
      </w:r>
    </w:p>
    <w:p>
      <w:pPr>
        <w:wordWrap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根据财政局的安排部署，</w:t>
      </w:r>
      <w:r>
        <w:rPr>
          <w:rFonts w:ascii="仿宋" w:eastAsia="仿宋" w:hAnsi="仿宋" w:hint="eastAsia"/>
          <w:sz w:val="32"/>
          <w:szCs w:val="32"/>
        </w:rPr>
        <w:t>建立项目自评工作组，采用查阅资料、</w:t>
      </w:r>
      <w:r>
        <w:rPr>
          <w:rFonts w:ascii="仿宋" w:eastAsia="仿宋" w:hAnsi="仿宋" w:hint="eastAsia"/>
          <w:sz w:val="32"/>
          <w:szCs w:val="32"/>
          <w:lang w:eastAsia="zh-CN"/>
        </w:rPr>
        <w:t>文件</w:t>
      </w:r>
      <w:r>
        <w:rPr>
          <w:rFonts w:ascii="仿宋" w:eastAsia="仿宋" w:hAnsi="仿宋" w:hint="eastAsia"/>
          <w:sz w:val="32"/>
          <w:szCs w:val="32"/>
        </w:rPr>
        <w:t>等方式进行自评。</w:t>
      </w:r>
    </w:p>
    <w:p>
      <w:pPr>
        <w:numPr>
          <w:ilvl w:val="0"/>
          <w:numId w:val="1"/>
        </w:numPr>
        <w:spacing w:line="560" w:lineRule="exact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自评的方法和过程</w:t>
      </w:r>
    </w:p>
    <w:p>
      <w:pPr>
        <w:spacing w:line="560" w:lineRule="exact"/>
        <w:ind w:firstLine="66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eastAsia="zh-CN"/>
        </w:rPr>
        <w:t>通过对所有项目的整体支出情况</w:t>
      </w:r>
      <w:r>
        <w:rPr>
          <w:rFonts w:ascii="仿宋" w:eastAsia="仿宋" w:cs="仿宋" w:hAnsi="仿宋" w:hint="eastAsia"/>
          <w:sz w:val="32"/>
          <w:szCs w:val="32"/>
        </w:rPr>
        <w:t>进行数据分析，</w:t>
      </w:r>
      <w:r>
        <w:rPr>
          <w:rFonts w:ascii="仿宋_GB2312" w:eastAsia="仿宋_GB2312" w:cs="仿宋_GB2312" w:hAnsi="仿宋_GB2312" w:hint="eastAsia"/>
          <w:sz w:val="32"/>
          <w:szCs w:val="32"/>
        </w:rPr>
        <w:t>采用历史比较法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的方法</w:t>
      </w:r>
      <w:r>
        <w:rPr>
          <w:rFonts w:ascii="仿宋" w:eastAsia="仿宋" w:hAnsi="仿宋" w:hint="eastAsia"/>
          <w:sz w:val="32"/>
          <w:szCs w:val="32"/>
        </w:rPr>
        <w:t>完成自评工作。</w:t>
      </w:r>
    </w:p>
    <w:p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总体绩效目标实现情况</w:t>
      </w:r>
    </w:p>
    <w:p>
      <w:pPr>
        <w:pStyle w:val="2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Chars="0" w:left="0" w:firstLineChars="200" w:firstLine="640"/>
        <w:outlineLvl w:val="9"/>
        <w:rPr>
          <w:rFonts w:ascii="仿宋_GB2312" w:eastAsia="仿宋_GB2312" w:cs="仿宋_GB2312" w:hAnsi="仿宋_GB2312"/>
          <w:kern w:val="2"/>
          <w:sz w:val="32"/>
          <w:szCs w:val="32"/>
          <w:u w:val="none"/>
          <w:lang w:val="en-US" w:eastAsia="zh-CN" w:bidi="ar-SA"/>
        </w:rPr>
      </w:pPr>
      <w:r>
        <w:rPr>
          <w:rFonts w:ascii="仿宋" w:eastAsia="仿宋" w:cs="楷体_GB2312" w:hAnsi="仿宋" w:hint="eastAsia"/>
          <w:sz w:val="32"/>
          <w:szCs w:val="32"/>
          <w:lang w:eastAsia="zh-CN"/>
        </w:rPr>
        <w:t>总体目标：</w:t>
      </w:r>
      <w:r>
        <w:rPr>
          <w:rFonts w:ascii="仿宋_GB2312" w:eastAsia="仿宋_GB2312" w:cs="仿宋_GB2312" w:hAnsi="仿宋_GB2312" w:hint="eastAsia"/>
          <w:kern w:val="2"/>
          <w:sz w:val="32"/>
          <w:szCs w:val="32"/>
          <w:u w:val="none"/>
          <w:lang w:val="en-US" w:eastAsia="zh-CN" w:bidi="ar-SA"/>
        </w:rPr>
        <w:t>202</w:t>
      </w:r>
      <w:r>
        <w:rPr>
          <w:rFonts w:ascii="仿宋_GB2312" w:eastAsia="仿宋_GB2312" w:cs="仿宋_GB2312" w:hAnsi="仿宋_GB2312"/>
          <w:kern w:val="2"/>
          <w:sz w:val="32"/>
          <w:szCs w:val="32"/>
          <w:u w:val="none"/>
          <w:lang w:val="en-US" w:eastAsia="zh-CN" w:bidi="ar-SA"/>
        </w:rPr>
        <w:t>4</w:t>
      </w:r>
      <w:r>
        <w:rPr>
          <w:rFonts w:ascii="仿宋_GB2312" w:eastAsia="仿宋_GB2312" w:cs="仿宋_GB2312" w:hAnsi="仿宋_GB2312" w:hint="eastAsia"/>
          <w:kern w:val="2"/>
          <w:sz w:val="32"/>
          <w:szCs w:val="32"/>
          <w:u w:val="none"/>
          <w:lang w:val="en-US" w:eastAsia="zh-CN" w:bidi="ar-SA"/>
        </w:rPr>
        <w:t>年区科工局将牢固树立“服务企业就是服务矿区发展”的理念，以实施十大行动为抓手，撸起袖子加油干，风雨无阻向前行，促进全区工业经济平稳增长，创新能力持续提升，为谱写中国式现代化矿区新篇章贡献科工力量。</w:t>
      </w:r>
    </w:p>
    <w:p>
      <w:pPr>
        <w:pStyle w:val="23"/>
        <w:spacing w:line="560" w:lineRule="exact"/>
        <w:ind w:left="0" w:firstLineChars="200" w:firstLine="560"/>
      </w:pPr>
      <w:r>
        <w:t>初步拟定：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rPr>
          <w:rFonts w:ascii="仿宋_GB2312" w:eastAsia="仿宋_GB2312" w:cs="仿宋_GB2312" w:hAnsi="仿宋_GB2312"/>
          <w:color w:val="auto"/>
          <w:sz w:val="32"/>
          <w:szCs w:val="32"/>
        </w:rPr>
      </w:pPr>
      <w:r>
        <w:rPr>
          <w:rFonts w:ascii="仿宋_GB2312" w:eastAsia="仿宋_GB2312" w:cs="仿宋_GB2312" w:hAnsi="仿宋_GB2312"/>
          <w:color w:val="auto"/>
          <w:sz w:val="32"/>
          <w:szCs w:val="32"/>
          <w:lang w:val="en-US" w:eastAsia="zh-CN" w:bidi="ar-SA"/>
        </w:rPr>
        <w:t>1、</w:t>
      </w:r>
      <w:r>
        <w:rPr>
          <w:rFonts w:ascii="仿宋_GB2312" w:eastAsia="仿宋_GB2312" w:cs="仿宋_GB2312" w:hAnsi="仿宋_GB2312" w:hint="eastAsia"/>
          <w:b/>
          <w:bCs/>
          <w:sz w:val="32"/>
          <w:szCs w:val="32"/>
          <w:lang w:val="en-US" w:eastAsia="zh-CN" w:bidi="ar-SA"/>
        </w:rPr>
        <w:t>工业技改目标及完成情况：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</w:rPr>
        <w:t>1-12月份完成工业投资9.7亿元，增同比增长19.3%；完成技改投资5亿元，同比增长7.6%。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rPr>
          <w:rFonts w:ascii="仿宋_GB2312" w:eastAsia="仿宋_GB2312" w:cs="仿宋_GB2312" w:hAnsi="仿宋_GB2312" w:hint="eastAsia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b w:val="0"/>
          <w:bCs w:val="0"/>
          <w:color w:val="auto"/>
          <w:sz w:val="32"/>
          <w:szCs w:val="32"/>
          <w:lang w:val="en-US" w:eastAsia="zh-CN"/>
        </w:rPr>
        <w:t>2、</w:t>
      </w:r>
      <w:r>
        <w:rPr>
          <w:rFonts w:ascii="仿宋_GB2312" w:eastAsia="仿宋_GB2312" w:cs="仿宋_GB2312" w:hAnsi="仿宋_GB2312" w:hint="eastAsia"/>
          <w:b/>
          <w:bCs/>
          <w:sz w:val="32"/>
          <w:szCs w:val="32"/>
        </w:rPr>
        <w:t>规上工业增加值：</w:t>
      </w:r>
      <w:r>
        <w:rPr>
          <w:rFonts w:ascii="仿宋_GB2312" w:eastAsia="仿宋_GB2312" w:cs="仿宋_GB2312" w:hAnsi="仿宋_GB2312" w:hint="eastAsia"/>
          <w:b w:val="0"/>
          <w:bCs w:val="0"/>
          <w:color w:val="auto"/>
          <w:sz w:val="32"/>
          <w:szCs w:val="32"/>
        </w:rPr>
        <w:t>1-12月规上工业企业完成工业总产值192.7亿元，同比增长5.4%，规上工业增加值增速同比增长6.2%。</w:t>
      </w:r>
    </w:p>
    <w:p>
      <w:pPr>
        <w:pStyle w:val="21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40" w:lineRule="exact"/>
        <w:ind w:left="0" w:firstLineChars="200" w:firstLine="640"/>
        <w:jc w:val="both"/>
        <w:rPr>
          <w:rFonts w:ascii="仿宋_GB2312" w:eastAsia="仿宋_GB2312" w:cs="仿宋_GB2312" w:hAnsi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ascii="仿宋" w:eastAsia="仿宋" w:hAnsi="仿宋"/>
          <w:sz w:val="32"/>
          <w:szCs w:val="32"/>
        </w:rPr>
        <w:t>3、</w:t>
      </w:r>
      <w:r>
        <w:rPr>
          <w:rFonts w:ascii="仿宋_GB2312" w:eastAsia="仿宋_GB2312" w:cs="仿宋_GB2312" w:hAnsi="仿宋_GB2312" w:hint="eastAsia"/>
          <w:b/>
          <w:bCs/>
          <w:kern w:val="2"/>
          <w:sz w:val="32"/>
          <w:szCs w:val="32"/>
          <w:lang w:val="en-US" w:eastAsia="zh-CN"/>
        </w:rPr>
        <w:t>新增规上工业企业：</w:t>
      </w:r>
      <w:r>
        <w:rPr>
          <w:rFonts w:ascii="仿宋_GB2312" w:eastAsia="仿宋_GB2312" w:cs="仿宋_GB2312" w:hAnsi="仿宋_GB2312" w:hint="eastAsia"/>
          <w:b w:val="0"/>
          <w:bCs w:val="0"/>
          <w:color w:val="auto"/>
          <w:sz w:val="32"/>
          <w:szCs w:val="32"/>
          <w:lang w:val="en-US" w:eastAsia="zh-CN"/>
        </w:rPr>
        <w:t>市下达我区新增规上工业企业目标4家，其中小升规2家，新建入统2家。截止目前，已完成小升规入统1家，新建入统2家，退统1家，净增2家。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rPr>
          <w:rFonts w:ascii="仿宋_GB2312" w:eastAsia="仿宋_GB2312" w:cs="仿宋_GB2312" w:hAnsi="仿宋_GB2312" w:hint="eastAsia"/>
          <w:b/>
          <w:bCs/>
          <w:color w:val="auto"/>
          <w:sz w:val="32"/>
          <w:szCs w:val="32"/>
        </w:rPr>
      </w:pPr>
      <w:r>
        <w:rPr>
          <w:rFonts w:ascii="仿宋" w:eastAsia="仿宋" w:hAnsi="仿宋"/>
          <w:kern w:val="0"/>
          <w:sz w:val="32"/>
          <w:szCs w:val="32"/>
        </w:rPr>
        <w:t>4、</w:t>
      </w:r>
      <w:r>
        <w:rPr>
          <w:rFonts w:ascii="仿宋_GB2312" w:eastAsia="仿宋_GB2312" w:cs="仿宋_GB2312" w:hAnsi="仿宋_GB2312" w:hint="eastAsia"/>
          <w:b/>
          <w:bCs/>
          <w:color w:val="auto"/>
          <w:sz w:val="32"/>
          <w:szCs w:val="32"/>
        </w:rPr>
        <w:t>中小企业数字化转型</w:t>
      </w:r>
      <w:r>
        <w:rPr>
          <w:rFonts w:ascii="仿宋_GB2312" w:eastAsia="仿宋_GB2312" w:cs="仿宋_GB2312" w:hAnsi="仿宋_GB2312"/>
          <w:b/>
          <w:bCs/>
          <w:color w:val="auto"/>
          <w:sz w:val="32"/>
          <w:szCs w:val="32"/>
        </w:rPr>
        <w:t>：</w:t>
      </w:r>
      <w:r>
        <w:rPr>
          <w:rFonts w:ascii="仿宋_GB2312" w:eastAsia="仿宋_GB2312" w:cs="仿宋_GB2312" w:hAnsi="仿宋_GB2312" w:hint="eastAsia"/>
          <w:bCs/>
          <w:color w:val="auto"/>
          <w:sz w:val="32"/>
          <w:szCs w:val="32"/>
        </w:rPr>
        <w:t>2024年中小企业数字化改造试点企业年内任务总数为2家；已</w:t>
      </w:r>
      <w:r>
        <w:rPr>
          <w:rFonts w:ascii="仿宋_GB2312" w:eastAsia="仿宋_GB2312" w:cs="仿宋_GB2312" w:hAnsi="仿宋_GB2312" w:hint="eastAsia"/>
          <w:bCs/>
          <w:color w:val="auto"/>
          <w:sz w:val="32"/>
          <w:szCs w:val="32"/>
          <w:lang w:eastAsia="zh-CN"/>
        </w:rPr>
        <w:t>全部</w:t>
      </w:r>
      <w:r>
        <w:rPr>
          <w:rFonts w:ascii="仿宋_GB2312" w:eastAsia="仿宋_GB2312" w:cs="仿宋_GB2312" w:hAnsi="仿宋_GB2312" w:hint="eastAsia"/>
          <w:bCs/>
          <w:color w:val="auto"/>
          <w:sz w:val="32"/>
          <w:szCs w:val="32"/>
        </w:rPr>
        <w:t>完成数字化改造并通过验收。</w:t>
      </w:r>
    </w:p>
    <w:p>
      <w:pPr>
        <w:pStyle w:val="17"/>
        <w:keepNext w:val="0"/>
        <w:keepLines w:val="0"/>
        <w:pageBreakBefore w:val="0"/>
        <w:widowControl w:val="0"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before="120"/>
        <w:ind w:firstLineChars="200" w:firstLine="640"/>
        <w:jc w:val="both"/>
      </w:pPr>
      <w:r>
        <w:rPr>
          <w:rFonts w:ascii="仿宋" w:eastAsia="仿宋" w:hAnsi="仿宋"/>
          <w:kern w:val="0"/>
          <w:sz w:val="32"/>
          <w:szCs w:val="32"/>
        </w:rPr>
        <w:t>5、</w:t>
      </w:r>
      <w:r>
        <w:rPr>
          <w:rFonts w:ascii="仿宋_GB2312" w:eastAsia="仿宋_GB2312" w:cs="仿宋_GB2312" w:hAnsi="仿宋_GB2312" w:hint="eastAsia"/>
          <w:b/>
          <w:bCs/>
          <w:color w:val="auto"/>
          <w:sz w:val="32"/>
          <w:szCs w:val="32"/>
        </w:rPr>
        <w:t>创新主体培育</w:t>
      </w:r>
      <w:r>
        <w:rPr>
          <w:rFonts w:ascii="仿宋_GB2312" w:eastAsia="仿宋_GB2312" w:cs="仿宋_GB2312" w:hAnsi="仿宋_GB2312"/>
          <w:b/>
          <w:bCs/>
          <w:color w:val="auto"/>
          <w:sz w:val="32"/>
          <w:szCs w:val="32"/>
        </w:rPr>
        <w:t>：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</w:rPr>
        <w:t>国家科技型中小企业已备案成功40家；省科技型中小企业已认定通过80家，达到159家。</w:t>
      </w:r>
    </w:p>
    <w:p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（二）分项绩效目标实现情况及指标分析</w:t>
      </w:r>
    </w:p>
    <w:p>
      <w:pPr>
        <w:pStyle w:val="24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1、监测工业经济运行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绩效目标：实现工业经济平稳增长;提升工业和信息化综合事务管理水平;提升行业管理水平，促进行业健康发展。推动中小微企业和民营经济持续、健康发展。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</w:rPr>
        <w:t>绩效指标：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一是抓监测促入统增后劲。面对经济运行下滑的巨大压力，我们强化入企帮扶解困难、定期研判找路径等有力措施，为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稳住经济大盘提供强力支撑。1-12月规上工业企业完成工业总产值192.7亿元，同比增长5.4%，规上工业增加值增速同比增长6.2%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2、科技创新迈出新步伐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绩效目标：</w:t>
      </w:r>
      <w:r>
        <w:rPr>
          <w:rFonts w:ascii="仿宋" w:eastAsia="仿宋" w:cs="仿宋" w:hAnsi="仿宋" w:hint="eastAsia"/>
          <w:sz w:val="32"/>
          <w:szCs w:val="32"/>
        </w:rPr>
        <w:t>获得一批重要原始创新成果，培养一批高层次科技人才和创新团队，为我区产业转型升级、现代农业建设、和谐宜居环境创建和民生 。改善提供创新支撑；提升科技开放与合作水平，提高科技成果转化和产业转化能力。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绩效指标：创新体系进一步完善，政策环境进一步优化，人才团队进一步壮大，创新平台对产业技术创新的支撑和服务能力进一步增强，园区和基地的培育、聚集和示范作用进一步提升。国家科技型中小企业已备案成功40家；省科技型中小企业已认定通过80家，达到159家。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3、工业信息化</w:t>
      </w:r>
      <w:bookmarkStart w:id="0" w:name="_GoBack"/>
      <w:bookmarkEnd w:id="0"/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绩效目标：对应急措施进行督导，确保大气质量好转。加快工业转型升级步伐，提升工业发展的质量和效益。推进我区信息化建设健康发展。</w:t>
      </w:r>
    </w:p>
    <w:p>
      <w:pPr>
        <w:pStyle w:val="24"/>
        <w:ind w:left="23"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绩效指标：</w:t>
      </w:r>
      <w:r>
        <w:rPr>
          <w:rFonts w:ascii="仿宋" w:eastAsia="仿宋" w:cs="仿宋" w:hAnsi="仿宋" w:hint="eastAsia"/>
          <w:sz w:val="32"/>
          <w:szCs w:val="32"/>
          <w:lang w:bidi="ar-SA"/>
        </w:rPr>
        <w:t>抓赋能强基础促转型。把高质量发展要求贯穿新型工业化全过程，紧盯我区产业高端化、智能化、绿色化发展集中发力。</w:t>
      </w:r>
      <w:r>
        <w:rPr>
          <w:rFonts w:ascii="仿宋" w:eastAsia="仿宋" w:cs="仿宋" w:hAnsi="仿宋" w:hint="eastAsia"/>
          <w:bCs/>
          <w:sz w:val="32"/>
          <w:szCs w:val="32"/>
        </w:rPr>
        <w:t>2024年中小企业数字化改造试点企业年内任务总数为2家；已</w:t>
      </w:r>
      <w:r>
        <w:rPr>
          <w:rFonts w:ascii="仿宋" w:eastAsia="仿宋" w:cs="仿宋" w:hAnsi="仿宋" w:hint="eastAsia"/>
          <w:bCs/>
          <w:sz w:val="32"/>
          <w:szCs w:val="32"/>
          <w:lang w:eastAsia="zh-CN"/>
        </w:rPr>
        <w:t>全部</w:t>
      </w:r>
      <w:r>
        <w:rPr>
          <w:rFonts w:ascii="仿宋" w:eastAsia="仿宋" w:cs="仿宋" w:hAnsi="仿宋" w:hint="eastAsia"/>
          <w:bCs/>
          <w:sz w:val="32"/>
          <w:szCs w:val="32"/>
        </w:rPr>
        <w:t>完成数字化改造并通过验收。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通过对我局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19</w:t>
      </w:r>
      <w:r>
        <w:rPr>
          <w:rFonts w:ascii="仿宋" w:eastAsia="仿宋" w:cs="仿宋" w:hAnsi="仿宋" w:hint="eastAsia"/>
          <w:sz w:val="32"/>
          <w:szCs w:val="32"/>
          <w:lang w:val="en-US" w:eastAsia="zh-CN"/>
          <w:highlight w:val="auto"/>
        </w:rPr>
        <w:t>个项目进行综合评价，</w:t>
      </w:r>
      <w:r>
        <w:rPr>
          <w:rFonts w:ascii="仿宋" w:eastAsia="仿宋" w:cs="仿宋" w:hAnsi="仿宋" w:hint="eastAsia"/>
          <w:sz w:val="32"/>
          <w:szCs w:val="32"/>
          <w:lang w:eastAsia="zh-CN"/>
          <w:highlight w:val="auto"/>
        </w:rPr>
        <w:t>评价等级为优秀。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Chars="200" w:firstLine="640"/>
        <w:rPr>
          <w:rFonts w:ascii="楷体" w:eastAsia="楷体" w:hAnsi="楷体" w:hint="eastAsia"/>
          <w:bCs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highlight w:val="auto"/>
        </w:rPr>
        <w:t>预</w:t>
      </w:r>
      <w:r>
        <w:rPr>
          <w:rFonts w:ascii="仿宋" w:eastAsia="仿宋" w:cs="仿宋" w:hAnsi="仿宋" w:hint="eastAsia"/>
          <w:sz w:val="32"/>
          <w:szCs w:val="32"/>
        </w:rPr>
        <w:t>算绩指标设定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不完善，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考虑问题不够全面</w:t>
      </w:r>
      <w:r>
        <w:rPr>
          <w:rFonts w:ascii="仿宋_GB2312" w:eastAsia="仿宋_GB2312" w:hAnsi="宋体" w:hint="eastAsia"/>
          <w:color w:val="000000"/>
          <w:sz w:val="32"/>
          <w:szCs w:val="32"/>
          <w:lang w:eastAsia="zh-CN"/>
        </w:rPr>
        <w:t>。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Chars="200" w:firstLine="640"/>
        <w:rPr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在以后的工作中，</w:t>
      </w:r>
      <w:r>
        <w:rPr>
          <w:rFonts w:ascii="仿宋" w:eastAsia="仿宋" w:cs="仿宋" w:hAnsi="仿宋"/>
          <w:sz w:val="32"/>
          <w:szCs w:val="32"/>
        </w:rPr>
        <w:t>要根据年度工作计划制定具体、可衡量、可实现的绩效目标，明确支出的必要性，并围绕绩效目标编制清晰、量化、便于考核的绩效指标。</w:t>
      </w:r>
      <w:r>
        <w:rPr>
          <w:rFonts w:ascii="仿宋" w:eastAsia="仿宋" w:cs="仿宋" w:hAnsi="仿宋" w:hint="eastAsia"/>
          <w:sz w:val="32"/>
          <w:szCs w:val="32"/>
        </w:rPr>
        <w:t>要重视绩效评价工作，强化财政资金管理水平、提高财政资金使用效益，在更高层次上实现财政资源配置的公平性和合理性。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>
      <w:pPr>
        <w:widowControl w:val="0"/>
        <w:wordWrap/>
        <w:spacing w:line="560" w:lineRule="exact"/>
        <w:ind w:left="0" w:right="0" w:firstLineChars="100" w:firstLine="320"/>
        <w:textAlignment w:val="auto"/>
        <w:outlineLvl w:val="9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张丽霞   科工局副局长</w:t>
      </w:r>
    </w:p>
    <w:p>
      <w:pPr>
        <w:widowControl w:val="0"/>
        <w:wordWrap/>
        <w:spacing w:line="560" w:lineRule="exact"/>
        <w:ind w:left="0" w:right="0" w:firstLineChars="100" w:firstLine="320"/>
        <w:textAlignment w:val="auto"/>
        <w:outlineLvl w:val="9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刘玉霞  科工局办公室主任</w:t>
      </w:r>
    </w:p>
    <w:p>
      <w:pPr>
        <w:spacing w:line="560" w:lineRule="exact"/>
        <w:rPr>
          <w:rFonts w:ascii="仿宋" w:eastAsia="仿宋" w:hAnsi="仿宋"/>
        </w:rPr>
      </w:pP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华文楷体">
    <w:altName w:val="华文仿宋"/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方正仿宋_GBK">
    <w:altName w:val="宋体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91438" distR="9143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492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09492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Quad Arrow 3073 3" o:spid="_x0000_s3" filled="f" stroked="f" style="position:absolute;margin-left:0.0pt;margin-top:0.0pt;width:16.4955pt;height:12.8205pt;z-index:12;mso-position-horizontal:center;mso-position-horizontal-relative:margin;mso-position-vertical:absolute;mso-wrap-distance-left:7.19989pt;mso-wrap-distance-right:7.19989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0516AA81"/>
    <w:multiLevelType w:val="singleLevel"/>
    <w:tmpl w:val="0516AA81"/>
    <w:lvl w:ilvl="0">
      <w:start w:val="2"/>
      <w:numFmt w:val="chineseCounting"/>
      <w:lvlRestart w:val="0"/>
      <w:suff w:val="nothing"/>
      <w:lvlText w:val="（%1）"/>
      <w:lvlJc w:val="left"/>
      <w:pPr>
        <w:ind w:left="642" w:hanging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7">
    <w:name w:val="toa heading"/>
    <w:basedOn w:val="0"/>
    <w:next w:val="0"/>
    <w:pPr>
      <w:widowControl w:val="0"/>
      <w:spacing w:before="120"/>
      <w:jc w:val="both"/>
    </w:pPr>
    <w:rPr>
      <w:rFonts w:ascii="Times New Roman" w:eastAsia="宋体" w:cs="黑体" w:hAnsi="Times New Roman"/>
      <w:kern w:val="2"/>
      <w:sz w:val="24"/>
      <w:szCs w:val="24"/>
      <w:lang w:val="en-US" w:eastAsia="zh-CN" w:bidi="ar-SA"/>
    </w:rPr>
  </w:style>
  <w:style w:type="paragraph" w:styleId="18">
    <w:name w:val="toc 4"/>
    <w:basedOn w:val="0"/>
    <w:autoRedefine/>
    <w:next w:val="0"/>
    <w:pPr>
      <w:ind w:left="1260"/>
    </w:pPr>
  </w:style>
  <w:style w:type="paragraph" w:styleId="19">
    <w:name w:val="toc 5"/>
    <w:basedOn w:val="0"/>
    <w:autoRedefine/>
    <w:next w:val="0"/>
    <w:pPr>
      <w:ind w:left="1680"/>
    </w:pPr>
  </w:style>
  <w:style w:type="paragraph" w:styleId="20">
    <w:name w:val="annotation text"/>
    <w:basedOn w:val="0"/>
    <w:pPr>
      <w:jc w:val="left"/>
    </w:pPr>
  </w:style>
  <w:style w:type="paragraph" w:styleId="21">
    <w:name w:val="Normal (Web)"/>
    <w:basedOn w:val="0"/>
    <w:next w:val="17"/>
    <w:pPr>
      <w:widowControl w:val="0"/>
      <w:spacing w:before="100" w:beforeAutospacing="1" w:after="100" w:afterAutospacing="1"/>
      <w:ind w:left="0" w:right="0"/>
      <w:jc w:val="left"/>
      <w:textAlignment w:val="baseline"/>
    </w:pPr>
    <w:rPr>
      <w:rFonts w:ascii="Calibri" w:eastAsia="宋体" w:cs="Times New Roman" w:hAnsi="Calibri"/>
      <w:kern w:val="0"/>
      <w:sz w:val="24"/>
      <w:szCs w:val="24"/>
      <w:lang w:val="en-US" w:eastAsia="zh-CN" w:bidi="ar-SA"/>
    </w:rPr>
  </w:style>
  <w:style w:type="paragraph" w:customStyle="1" w:styleId="22">
    <w:name w:val="BodyText1I2"/>
    <w:basedOn w:val="0"/>
    <w:pPr>
      <w:widowControl w:val="0"/>
      <w:ind w:leftChars="200" w:left="200" w:firstLineChars="200" w:firstLine="200"/>
      <w:jc w:val="both"/>
      <w:textAlignment w:val="baseline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23">
    <w:name w:val="插入文本样式-插入总体目标文件"/>
    <w:basedOn w:val="0"/>
    <w:pPr>
      <w:widowControl w:val="0"/>
      <w:spacing w:line="500" w:lineRule="exact"/>
      <w:ind w:firstLine="560"/>
      <w:jc w:val="both"/>
    </w:pPr>
    <w:rPr>
      <w:rFonts w:ascii="Times New Roman" w:eastAsia="方正仿宋_GBK" w:cs="Times New Roman" w:hAnsi="Times New Roman"/>
      <w:kern w:val="2"/>
      <w:sz w:val="28"/>
      <w:szCs w:val="24"/>
      <w:lang w:val="en-US" w:eastAsia="uk-UA" w:bidi="ar-SA"/>
    </w:rPr>
  </w:style>
  <w:style w:type="paragraph" w:customStyle="1" w:styleId="24">
    <w:name w:val="插入文本样式-插入职责分类绩效目标文件"/>
    <w:basedOn w:val="0"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cs="Times New Roman" w:hAnsi="Times New Roman"/>
      <w:sz w:val="28"/>
      <w:szCs w:val="24"/>
      <w:lang w:val="en-US" w:eastAsia="uk-UA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83B6D04B-5D07-4BF5-8106-5E9CECC4845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223</TotalTime>
  <Application>Yozo_Office27021597764231179</Application>
  <Pages>5</Pages>
  <Words>0</Words>
  <Characters>1956</Characters>
  <Lines>0</Lines>
  <Paragraphs>55</Paragraphs>
  <CharactersWithSpaces>2608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3</cp:revision>
  <cp:lastPrinted>2024-03-06T07:40:18Z</cp:lastPrinted>
  <dcterms:created xsi:type="dcterms:W3CDTF">2020-02-04T03:46:00Z</dcterms:created>
  <dcterms:modified xsi:type="dcterms:W3CDTF">2025-07-21T01:13:06Z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