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机关后勤服务中心</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机关后勤服务中心</w:t>
      </w:r>
      <w:r>
        <w:rPr>
          <w:rFonts w:hint="eastAsia" w:ascii="仿宋" w:hAnsi="仿宋" w:eastAsia="仿宋"/>
          <w:sz w:val="32"/>
          <w:szCs w:val="32"/>
        </w:rPr>
        <w:t>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部门职能：主要负责行政办公大楼、文化服务中心、区委东院、信访局院、新世纪综合楼配楼西楼、东楼等地的水、电、暖、消防、电梯、中央空调、弱电、电子监控系统等设备的运转维护、机关环境绿化美化、卫生保洁等相关工作；办公用房统一调配；落实《公共机构节能条例》大力在公共机构节能宣传和节能常识普及工作，督导全区公共机构节能工作有序开展，根据石家庄市公共机构节能工作组织开展全区公共机构能源审计工作；负责区级以上领导等带队来我区调研等工作组的政务接待活动；人大、政协两会的会务保障等相关工作；负责机关食堂管理工作；根据省、市要求负责我区公务用车信息化管理平台运行及维护工作，确保公务用车信息化管理平台监管功能、车辆调度功能、车辆信息查询功能均能正常使用运行。</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部门机构设置情况 ：</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单位名称：石家庄市井陉矿区机关后勤服务中心本级 </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单位性质：事业 </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单位规格：正科级</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经费保障形式：财政性资金基本保证</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人员情况：我中心编制数27人，实有数28人。</w:t>
      </w:r>
    </w:p>
    <w:p>
      <w:pPr>
        <w:keepNext w:val="0"/>
        <w:keepLines w:val="0"/>
        <w:pageBreakBefore w:val="0"/>
        <w:widowControl/>
        <w:suppressLineNumbers w:val="0"/>
        <w:kinsoku/>
        <w:wordWrap/>
        <w:overflowPunct/>
        <w:topLinePunct w:val="0"/>
        <w:autoSpaceDE/>
        <w:autoSpaceDN/>
        <w:bidi w:val="0"/>
        <w:spacing w:line="560" w:lineRule="exact"/>
        <w:ind w:firstLine="640" w:firstLineChars="200"/>
        <w:jc w:val="both"/>
        <w:rPr>
          <w:rFonts w:hint="eastAsia" w:ascii="仿宋" w:hAnsi="仿宋" w:eastAsia="仿宋"/>
          <w:sz w:val="32"/>
          <w:szCs w:val="32"/>
          <w:lang w:val="en-US" w:eastAsia="zh-CN"/>
        </w:rPr>
      </w:pPr>
      <w:r>
        <w:rPr>
          <w:rFonts w:hint="eastAsia" w:ascii="仿宋" w:hAnsi="仿宋" w:eastAsia="仿宋"/>
          <w:sz w:val="32"/>
          <w:szCs w:val="32"/>
          <w:lang w:val="en-US" w:eastAsia="zh-CN"/>
        </w:rPr>
        <w:t>资产情况：石家庄市井陉矿区机关后勤服务中心本级上年末固定资产金额为 718.18</w:t>
      </w:r>
      <w:r>
        <w:rPr>
          <w:rFonts w:ascii="仿宋" w:hAnsi="仿宋" w:eastAsia="仿宋"/>
          <w:sz w:val="32"/>
          <w:szCs w:val="32"/>
          <w:lang w:val="en-US" w:eastAsia="zh-CN"/>
        </w:rPr>
        <w:t xml:space="preserve"> </w:t>
      </w:r>
      <w:r>
        <w:rPr>
          <w:rFonts w:hint="eastAsia" w:ascii="仿宋" w:hAnsi="仿宋" w:eastAsia="仿宋"/>
          <w:sz w:val="32"/>
          <w:szCs w:val="32"/>
          <w:lang w:val="en-US" w:eastAsia="zh-CN"/>
        </w:rPr>
        <w:t>万元（详见下表）。</w:t>
      </w:r>
    </w:p>
    <w:tbl>
      <w:tblPr>
        <w:tblStyle w:val="10"/>
        <w:tblW w:w="90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27"/>
        <w:gridCol w:w="2025"/>
        <w:gridCol w:w="34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jc w:val="center"/>
        </w:trPr>
        <w:tc>
          <w:tcPr>
            <w:tcW w:w="3627" w:type="dxa"/>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sz w:val="24"/>
                <w:szCs w:val="24"/>
                <w:vertAlign w:val="baseline"/>
                <w:lang w:val="en-US" w:eastAsia="zh-CN"/>
              </w:rPr>
            </w:pPr>
            <w:r>
              <w:rPr>
                <w:rFonts w:hint="eastAsia" w:ascii="仿宋" w:hAnsi="仿宋" w:eastAsia="仿宋"/>
                <w:sz w:val="24"/>
                <w:szCs w:val="24"/>
                <w:vertAlign w:val="baseline"/>
                <w:lang w:val="en-US" w:eastAsia="zh-CN"/>
              </w:rPr>
              <w:t>项目</w:t>
            </w:r>
          </w:p>
        </w:tc>
        <w:tc>
          <w:tcPr>
            <w:tcW w:w="2025" w:type="dxa"/>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sz w:val="24"/>
                <w:szCs w:val="24"/>
                <w:vertAlign w:val="baseline"/>
                <w:lang w:val="en-US" w:eastAsia="zh-CN"/>
              </w:rPr>
            </w:pPr>
            <w:r>
              <w:rPr>
                <w:rFonts w:hint="eastAsia" w:ascii="仿宋" w:hAnsi="仿宋" w:eastAsia="仿宋"/>
                <w:sz w:val="24"/>
                <w:szCs w:val="24"/>
                <w:vertAlign w:val="baseline"/>
                <w:lang w:val="en-US" w:eastAsia="zh-CN"/>
              </w:rPr>
              <w:t>数量</w:t>
            </w:r>
          </w:p>
        </w:tc>
        <w:tc>
          <w:tcPr>
            <w:tcW w:w="3409" w:type="dxa"/>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sz w:val="24"/>
                <w:szCs w:val="24"/>
                <w:vertAlign w:val="baseline"/>
                <w:lang w:val="en-US" w:eastAsia="zh-CN"/>
              </w:rPr>
            </w:pPr>
            <w:r>
              <w:rPr>
                <w:rFonts w:hint="eastAsia" w:ascii="仿宋" w:hAnsi="仿宋" w:eastAsia="仿宋"/>
                <w:sz w:val="24"/>
                <w:szCs w:val="24"/>
                <w:vertAlign w:val="baseline"/>
                <w:lang w:val="en-US" w:eastAsia="zh-CN"/>
              </w:rPr>
              <w:t>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jc w:val="center"/>
        </w:trPr>
        <w:tc>
          <w:tcPr>
            <w:tcW w:w="3627"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sz w:val="24"/>
                <w:szCs w:val="24"/>
                <w:vertAlign w:val="baseline"/>
                <w:lang w:val="en-US" w:eastAsia="zh-CN"/>
              </w:rPr>
            </w:pPr>
            <w:r>
              <w:rPr>
                <w:rFonts w:hint="eastAsia" w:ascii="仿宋" w:hAnsi="仿宋" w:eastAsia="仿宋"/>
                <w:sz w:val="24"/>
                <w:szCs w:val="24"/>
                <w:vertAlign w:val="baseline"/>
                <w:lang w:val="en-US" w:eastAsia="zh-CN"/>
              </w:rPr>
              <w:t>资金总额</w:t>
            </w:r>
          </w:p>
        </w:tc>
        <w:tc>
          <w:tcPr>
            <w:tcW w:w="2025"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sz w:val="24"/>
                <w:szCs w:val="24"/>
                <w:vertAlign w:val="baseline"/>
                <w:lang w:val="en-US" w:eastAsia="zh-CN"/>
              </w:rPr>
            </w:pPr>
          </w:p>
        </w:tc>
        <w:tc>
          <w:tcPr>
            <w:tcW w:w="3409"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sz w:val="24"/>
                <w:szCs w:val="24"/>
                <w:vertAlign w:val="baseline"/>
                <w:lang w:val="en-US" w:eastAsia="zh-CN"/>
              </w:rPr>
            </w:pPr>
            <w:r>
              <w:rPr>
                <w:rFonts w:ascii="仿宋" w:hAnsi="仿宋" w:eastAsia="仿宋"/>
                <w:sz w:val="24"/>
                <w:szCs w:val="24"/>
                <w:vertAlign w:val="baseline"/>
                <w:lang w:val="en-US" w:eastAsia="zh-CN"/>
              </w:rPr>
              <w:t>718.18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jc w:val="center"/>
        </w:trPr>
        <w:tc>
          <w:tcPr>
            <w:tcW w:w="3627"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cs="黑体"/>
                <w:kern w:val="2"/>
                <w:sz w:val="24"/>
                <w:szCs w:val="24"/>
                <w:vertAlign w:val="baseline"/>
                <w:lang w:val="en-US" w:eastAsia="zh-CN" w:bidi="ar-SA"/>
              </w:rPr>
            </w:pPr>
            <w:r>
              <w:rPr>
                <w:rFonts w:hint="eastAsia" w:ascii="仿宋" w:hAnsi="仿宋" w:eastAsia="仿宋"/>
                <w:sz w:val="24"/>
                <w:szCs w:val="24"/>
                <w:vertAlign w:val="baseline"/>
                <w:lang w:val="en-US" w:eastAsia="zh-CN"/>
              </w:rPr>
              <w:t>1、房屋（平方米）</w:t>
            </w:r>
          </w:p>
        </w:tc>
        <w:tc>
          <w:tcPr>
            <w:tcW w:w="2025"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sz w:val="24"/>
                <w:szCs w:val="24"/>
                <w:vertAlign w:val="baseline"/>
                <w:lang w:val="en-US" w:eastAsia="zh-CN"/>
              </w:rPr>
            </w:pPr>
          </w:p>
        </w:tc>
        <w:tc>
          <w:tcPr>
            <w:tcW w:w="3409"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jc w:val="center"/>
        </w:trPr>
        <w:tc>
          <w:tcPr>
            <w:tcW w:w="3627"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cs="黑体"/>
                <w:kern w:val="2"/>
                <w:sz w:val="24"/>
                <w:szCs w:val="24"/>
                <w:vertAlign w:val="baseline"/>
                <w:lang w:val="en-US" w:eastAsia="zh-CN" w:bidi="ar-SA"/>
              </w:rPr>
            </w:pPr>
            <w:r>
              <w:rPr>
                <w:rFonts w:hint="eastAsia" w:ascii="仿宋" w:hAnsi="仿宋" w:eastAsia="仿宋"/>
                <w:sz w:val="24"/>
                <w:szCs w:val="24"/>
                <w:vertAlign w:val="baseline"/>
                <w:lang w:val="en-US" w:eastAsia="zh-CN"/>
              </w:rPr>
              <w:t>其中：办公用房（平方米）</w:t>
            </w:r>
          </w:p>
        </w:tc>
        <w:tc>
          <w:tcPr>
            <w:tcW w:w="2025"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sz w:val="24"/>
                <w:szCs w:val="24"/>
                <w:vertAlign w:val="baseline"/>
                <w:lang w:val="en-US" w:eastAsia="zh-CN"/>
              </w:rPr>
            </w:pPr>
          </w:p>
        </w:tc>
        <w:tc>
          <w:tcPr>
            <w:tcW w:w="3409"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jc w:val="center"/>
        </w:trPr>
        <w:tc>
          <w:tcPr>
            <w:tcW w:w="3627"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cs="黑体"/>
                <w:kern w:val="2"/>
                <w:sz w:val="24"/>
                <w:szCs w:val="24"/>
                <w:vertAlign w:val="baseline"/>
                <w:lang w:val="en-US" w:eastAsia="zh-CN" w:bidi="ar-SA"/>
              </w:rPr>
            </w:pPr>
            <w:r>
              <w:rPr>
                <w:rFonts w:hint="eastAsia" w:ascii="仿宋" w:hAnsi="仿宋" w:eastAsia="仿宋"/>
                <w:sz w:val="24"/>
                <w:szCs w:val="24"/>
                <w:vertAlign w:val="baseline"/>
                <w:lang w:val="en-US" w:eastAsia="zh-CN"/>
              </w:rPr>
              <w:t>2、车辆（台、辆）</w:t>
            </w:r>
          </w:p>
        </w:tc>
        <w:tc>
          <w:tcPr>
            <w:tcW w:w="2025"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sz w:val="24"/>
                <w:szCs w:val="24"/>
                <w:vertAlign w:val="baseline"/>
                <w:lang w:val="en-US" w:eastAsia="zh-CN"/>
              </w:rPr>
            </w:pPr>
            <w:r>
              <w:rPr>
                <w:rFonts w:hint="eastAsia" w:ascii="仿宋" w:hAnsi="仿宋" w:eastAsia="仿宋"/>
                <w:sz w:val="24"/>
                <w:szCs w:val="24"/>
                <w:vertAlign w:val="baseline"/>
                <w:lang w:val="en-US" w:eastAsia="zh-CN"/>
              </w:rPr>
              <w:t>3</w:t>
            </w:r>
          </w:p>
        </w:tc>
        <w:tc>
          <w:tcPr>
            <w:tcW w:w="3409"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sz w:val="24"/>
                <w:szCs w:val="24"/>
                <w:vertAlign w:val="baseline"/>
                <w:lang w:val="en-US" w:eastAsia="zh-CN"/>
              </w:rPr>
            </w:pPr>
            <w:r>
              <w:rPr>
                <w:rFonts w:hint="eastAsia" w:ascii="仿宋" w:hAnsi="仿宋" w:eastAsia="仿宋"/>
                <w:sz w:val="24"/>
                <w:szCs w:val="24"/>
                <w:vertAlign w:val="baseline"/>
                <w:lang w:val="en-US" w:eastAsia="zh-CN"/>
              </w:rPr>
              <w:t>98.78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jc w:val="center"/>
        </w:trPr>
        <w:tc>
          <w:tcPr>
            <w:tcW w:w="3627"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cs="黑体"/>
                <w:kern w:val="2"/>
                <w:sz w:val="24"/>
                <w:szCs w:val="24"/>
                <w:vertAlign w:val="baseline"/>
                <w:lang w:val="en-US" w:eastAsia="zh-CN" w:bidi="ar-SA"/>
              </w:rPr>
            </w:pPr>
            <w:r>
              <w:rPr>
                <w:rFonts w:hint="eastAsia" w:ascii="仿宋" w:hAnsi="仿宋" w:eastAsia="仿宋"/>
                <w:sz w:val="24"/>
                <w:szCs w:val="24"/>
                <w:vertAlign w:val="baseline"/>
                <w:lang w:val="en-US" w:eastAsia="zh-CN"/>
              </w:rPr>
              <w:t>3、单价在20万元以上的设备</w:t>
            </w:r>
          </w:p>
        </w:tc>
        <w:tc>
          <w:tcPr>
            <w:tcW w:w="2025"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sz w:val="24"/>
                <w:szCs w:val="24"/>
                <w:vertAlign w:val="baseline"/>
                <w:lang w:val="en-US" w:eastAsia="zh-CN"/>
              </w:rPr>
            </w:pPr>
          </w:p>
        </w:tc>
        <w:tc>
          <w:tcPr>
            <w:tcW w:w="3409"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jc w:val="center"/>
        </w:trPr>
        <w:tc>
          <w:tcPr>
            <w:tcW w:w="3627"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sz w:val="24"/>
                <w:szCs w:val="24"/>
                <w:vertAlign w:val="baseline"/>
                <w:lang w:val="en-US" w:eastAsia="zh-CN"/>
              </w:rPr>
            </w:pPr>
            <w:r>
              <w:rPr>
                <w:rFonts w:hint="eastAsia" w:ascii="仿宋" w:hAnsi="仿宋" w:eastAsia="仿宋"/>
                <w:sz w:val="24"/>
                <w:szCs w:val="24"/>
                <w:vertAlign w:val="baseline"/>
                <w:lang w:val="en-US" w:eastAsia="zh-CN"/>
              </w:rPr>
              <w:t>4、其他固定资产</w:t>
            </w:r>
          </w:p>
        </w:tc>
        <w:tc>
          <w:tcPr>
            <w:tcW w:w="2025"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sz w:val="24"/>
                <w:szCs w:val="24"/>
                <w:vertAlign w:val="baseline"/>
                <w:lang w:val="en-US" w:eastAsia="zh-CN"/>
              </w:rPr>
            </w:pPr>
            <w:r>
              <w:rPr>
                <w:rFonts w:hint="eastAsia" w:ascii="仿宋" w:hAnsi="仿宋" w:eastAsia="仿宋"/>
                <w:sz w:val="24"/>
                <w:szCs w:val="24"/>
                <w:vertAlign w:val="baseline"/>
                <w:lang w:val="en-US" w:eastAsia="zh-CN"/>
              </w:rPr>
              <w:t>1140</w:t>
            </w:r>
          </w:p>
        </w:tc>
        <w:tc>
          <w:tcPr>
            <w:tcW w:w="3409"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500" w:lineRule="exact"/>
              <w:ind w:right="0"/>
              <w:jc w:val="both"/>
              <w:textAlignment w:val="auto"/>
              <w:outlineLvl w:val="9"/>
              <w:rPr>
                <w:rFonts w:ascii="仿宋" w:hAnsi="仿宋" w:eastAsia="仿宋"/>
                <w:sz w:val="24"/>
                <w:szCs w:val="24"/>
                <w:vertAlign w:val="baseline"/>
                <w:lang w:val="en-US" w:eastAsia="zh-CN"/>
              </w:rPr>
            </w:pPr>
            <w:r>
              <w:rPr>
                <w:rFonts w:ascii="仿宋" w:hAnsi="仿宋" w:eastAsia="仿宋"/>
                <w:sz w:val="24"/>
                <w:szCs w:val="24"/>
                <w:vertAlign w:val="baseline"/>
                <w:lang w:val="en-US" w:eastAsia="zh-CN"/>
              </w:rPr>
              <w:t>619.4</w:t>
            </w:r>
          </w:p>
        </w:tc>
      </w:tr>
    </w:tbl>
    <w:p>
      <w:pPr>
        <w:adjustRightInd w:val="0"/>
        <w:snapToGrid w:val="0"/>
        <w:spacing w:line="560" w:lineRule="exact"/>
        <w:ind w:firstLine="64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pPr>
        <w:adjustRightInd w:val="0"/>
        <w:snapToGrid w:val="0"/>
        <w:spacing w:line="560" w:lineRule="exact"/>
        <w:ind w:firstLine="640"/>
        <w:rPr>
          <w:rFonts w:hint="eastAsia" w:ascii="楷体" w:hAnsi="楷体" w:eastAsia="楷体" w:cs="楷体_GB2312"/>
          <w:bCs/>
          <w:sz w:val="32"/>
          <w:szCs w:val="32"/>
        </w:rPr>
      </w:pPr>
      <w:r>
        <w:rPr>
          <w:rFonts w:hint="eastAsia" w:ascii="仿宋_GB2312" w:hAnsi="Times New Roman" w:eastAsia="仿宋_GB2312" w:cs="Wingdings"/>
          <w:sz w:val="32"/>
          <w:szCs w:val="32"/>
        </w:rPr>
        <w:t>本部门202</w:t>
      </w:r>
      <w:r>
        <w:rPr>
          <w:rFonts w:hint="eastAsia" w:ascii="仿宋_GB2312" w:hAnsi="Times New Roman" w:eastAsia="仿宋_GB2312" w:cs="Wingdings"/>
          <w:sz w:val="32"/>
          <w:szCs w:val="32"/>
          <w:lang w:val="en-US" w:eastAsia="zh-CN"/>
        </w:rPr>
        <w:t>4</w:t>
      </w:r>
      <w:r>
        <w:rPr>
          <w:rFonts w:hint="eastAsia" w:ascii="仿宋_GB2312" w:hAnsi="Times New Roman" w:eastAsia="仿宋_GB2312" w:cs="Wingdings"/>
          <w:sz w:val="32"/>
          <w:szCs w:val="32"/>
        </w:rPr>
        <w:t>年度一般公共预算财政拨款收入</w:t>
      </w:r>
      <w:r>
        <w:rPr>
          <w:rFonts w:hint="eastAsia" w:ascii="仿宋_GB2312" w:hAnsi="Times New Roman" w:eastAsia="仿宋_GB2312" w:cs="Wingdings"/>
          <w:sz w:val="32"/>
          <w:szCs w:val="32"/>
          <w:lang w:eastAsia="zh-CN"/>
        </w:rPr>
        <w:t>为</w:t>
      </w:r>
      <w:r>
        <w:rPr>
          <w:rFonts w:hint="eastAsia" w:ascii="仿宋_GB2312" w:eastAsia="仿宋_GB2312" w:cs="Times New Roman"/>
          <w:kern w:val="2"/>
          <w:sz w:val="32"/>
          <w:szCs w:val="32"/>
          <w:lang w:val="en-US" w:eastAsia="zh-CN" w:bidi="ar-SA"/>
        </w:rPr>
        <w:t>1637.22</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决算收入数为</w:t>
      </w:r>
      <w:r>
        <w:rPr>
          <w:rFonts w:hint="eastAsia" w:ascii="仿宋_GB2312" w:eastAsia="仿宋_GB2312" w:cs="仿宋"/>
          <w:sz w:val="32"/>
          <w:szCs w:val="32"/>
          <w:lang w:val="en-US" w:eastAsia="zh-CN" w:bidi="ar"/>
        </w:rPr>
        <w:t>1085.11</w:t>
      </w:r>
      <w:r>
        <w:rPr>
          <w:rFonts w:hint="eastAsia" w:ascii="仿宋_GB2312" w:hAnsi="Times New Roman" w:eastAsia="仿宋_GB2312" w:cs="Wingdings"/>
          <w:sz w:val="32"/>
          <w:szCs w:val="32"/>
          <w:lang w:val="en-US" w:eastAsia="zh-CN"/>
        </w:rPr>
        <w:t>万元，</w:t>
      </w:r>
      <w:r>
        <w:rPr>
          <w:rFonts w:hint="eastAsia" w:ascii="仿宋_GB2312" w:hAnsi="Times New Roman" w:eastAsia="仿宋_GB2312" w:cs="Wingdings"/>
          <w:sz w:val="32"/>
          <w:szCs w:val="32"/>
        </w:rPr>
        <w:t>完成年初预算的</w:t>
      </w:r>
      <w:r>
        <w:rPr>
          <w:rFonts w:hint="eastAsia" w:ascii="仿宋_GB2312" w:hAnsi="Times New Roman" w:eastAsia="仿宋_GB2312" w:cs="Wingdings"/>
          <w:sz w:val="32"/>
          <w:szCs w:val="32"/>
          <w:lang w:val="en-US" w:eastAsia="zh-CN"/>
        </w:rPr>
        <w:t>66.28</w:t>
      </w:r>
      <w:r>
        <w:rPr>
          <w:rFonts w:hint="eastAsia" w:ascii="仿宋_GB2312" w:hAnsi="Times New Roman" w:eastAsia="仿宋_GB2312" w:cs="Wingdings"/>
          <w:sz w:val="32"/>
          <w:szCs w:val="32"/>
        </w:rPr>
        <w:t>%,比年初预算减少</w:t>
      </w:r>
      <w:r>
        <w:rPr>
          <w:rFonts w:hint="eastAsia" w:ascii="仿宋_GB2312" w:hAnsi="Times New Roman" w:eastAsia="仿宋_GB2312" w:cs="Wingdings"/>
          <w:sz w:val="32"/>
          <w:szCs w:val="32"/>
          <w:lang w:val="en-US" w:eastAsia="zh-CN"/>
        </w:rPr>
        <w:t>552.11</w:t>
      </w:r>
      <w:r>
        <w:rPr>
          <w:rFonts w:hint="eastAsia" w:ascii="仿宋_GB2312" w:hAnsi="Times New Roman" w:eastAsia="仿宋_GB2312" w:cs="Wingdings"/>
          <w:sz w:val="32"/>
          <w:szCs w:val="32"/>
        </w:rPr>
        <w:t>万元，决算数小于预算数主要原因是</w:t>
      </w:r>
      <w:r>
        <w:rPr>
          <w:rFonts w:hint="eastAsia" w:ascii="仿宋_GB2312" w:hAnsi="Times New Roman" w:eastAsia="仿宋_GB2312" w:cs="Wingdings"/>
          <w:sz w:val="32"/>
          <w:szCs w:val="32"/>
          <w:lang w:eastAsia="zh-CN"/>
        </w:rPr>
        <w:t>项目的减少，本年项目支出中有个别项目未</w:t>
      </w:r>
      <w:r>
        <w:rPr>
          <w:rFonts w:ascii="仿宋_GB2312" w:hAnsi="Times New Roman" w:eastAsia="仿宋_GB2312" w:cs="Wingdings"/>
          <w:sz w:val="32"/>
          <w:szCs w:val="32"/>
          <w:lang w:eastAsia="zh-CN"/>
        </w:rPr>
        <w:t>支付</w:t>
      </w:r>
      <w:r>
        <w:rPr>
          <w:rFonts w:hint="eastAsia" w:ascii="仿宋_GB2312" w:hAnsi="Times New Roman" w:eastAsia="仿宋_GB2312" w:cs="Wingdings"/>
          <w:sz w:val="32"/>
          <w:szCs w:val="32"/>
        </w:rPr>
        <w:t>；本年</w:t>
      </w:r>
      <w:r>
        <w:rPr>
          <w:rFonts w:hint="eastAsia" w:ascii="仿宋_GB2312" w:hAnsi="Times New Roman" w:eastAsia="仿宋_GB2312" w:cs="Wingdings"/>
          <w:sz w:val="32"/>
          <w:szCs w:val="32"/>
          <w:lang w:eastAsia="zh-CN"/>
        </w:rPr>
        <w:t>一般公共预算财政</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eastAsia="zh-CN"/>
        </w:rPr>
        <w:t>为</w:t>
      </w:r>
      <w:r>
        <w:rPr>
          <w:rFonts w:hint="eastAsia" w:ascii="仿宋_GB2312" w:eastAsia="仿宋_GB2312" w:cs="Times New Roman"/>
          <w:kern w:val="2"/>
          <w:sz w:val="32"/>
          <w:szCs w:val="32"/>
          <w:lang w:val="en-US" w:eastAsia="zh-CN" w:bidi="ar-SA"/>
        </w:rPr>
        <w:t>1637.22</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决算支出数为</w:t>
      </w:r>
      <w:r>
        <w:rPr>
          <w:rFonts w:hint="eastAsia" w:ascii="仿宋_GB2312" w:eastAsia="仿宋_GB2312" w:cs="仿宋"/>
          <w:sz w:val="32"/>
          <w:szCs w:val="32"/>
          <w:lang w:val="en-US" w:eastAsia="zh-CN" w:bidi="ar"/>
        </w:rPr>
        <w:t>1085.11</w:t>
      </w:r>
      <w:r>
        <w:rPr>
          <w:rFonts w:hint="eastAsia" w:ascii="仿宋_GB2312" w:hAnsi="Times New Roman" w:eastAsia="仿宋_GB2312" w:cs="Wingdings"/>
          <w:sz w:val="32"/>
          <w:szCs w:val="32"/>
          <w:lang w:val="en-US" w:eastAsia="zh-CN"/>
        </w:rPr>
        <w:t>万元，</w:t>
      </w:r>
      <w:r>
        <w:rPr>
          <w:rFonts w:hint="eastAsia" w:ascii="仿宋_GB2312" w:hAnsi="Times New Roman" w:eastAsia="仿宋_GB2312" w:cs="Wingdings"/>
          <w:sz w:val="32"/>
          <w:szCs w:val="32"/>
        </w:rPr>
        <w:t>完成年初预算的</w:t>
      </w:r>
      <w:r>
        <w:rPr>
          <w:rFonts w:hint="eastAsia" w:ascii="仿宋_GB2312" w:hAnsi="Times New Roman" w:eastAsia="仿宋_GB2312" w:cs="Wingdings"/>
          <w:sz w:val="32"/>
          <w:szCs w:val="32"/>
          <w:lang w:val="en-US" w:eastAsia="zh-CN"/>
        </w:rPr>
        <w:t>66.28</w:t>
      </w:r>
      <w:r>
        <w:rPr>
          <w:rFonts w:hint="eastAsia" w:ascii="仿宋_GB2312" w:hAnsi="Times New Roman" w:eastAsia="仿宋_GB2312" w:cs="Wingdings"/>
          <w:sz w:val="32"/>
          <w:szCs w:val="32"/>
        </w:rPr>
        <w:t>%,比年初预算减少</w:t>
      </w:r>
      <w:r>
        <w:rPr>
          <w:rFonts w:hint="eastAsia" w:ascii="仿宋_GB2312" w:hAnsi="Times New Roman" w:eastAsia="仿宋_GB2312" w:cs="Wingdings"/>
          <w:sz w:val="32"/>
          <w:szCs w:val="32"/>
          <w:lang w:val="en-US" w:eastAsia="zh-CN"/>
        </w:rPr>
        <w:t>552.11</w:t>
      </w:r>
      <w:r>
        <w:rPr>
          <w:rFonts w:hint="eastAsia" w:ascii="仿宋_GB2312" w:hAnsi="Times New Roman" w:eastAsia="仿宋_GB2312" w:cs="Wingdings"/>
          <w:sz w:val="32"/>
          <w:szCs w:val="32"/>
        </w:rPr>
        <w:t>万元，决算数小于预算数主要原因是</w:t>
      </w:r>
      <w:r>
        <w:rPr>
          <w:rFonts w:hint="eastAsia" w:ascii="仿宋_GB2312" w:hAnsi="Times New Roman" w:eastAsia="仿宋_GB2312" w:cs="Wingdings"/>
          <w:sz w:val="32"/>
          <w:szCs w:val="32"/>
          <w:lang w:eastAsia="zh-CN"/>
        </w:rPr>
        <w:t>本年项目支出中有个别项目未实施</w:t>
      </w:r>
      <w:r>
        <w:rPr>
          <w:rFonts w:hint="eastAsia" w:ascii="仿宋_GB2312" w:hAnsi="Times New Roman" w:eastAsia="仿宋_GB2312" w:cs="Wingdings"/>
          <w:sz w:val="32"/>
          <w:szCs w:val="32"/>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确保行政办公大楼、文化服务中心、区委东院、信访局院、新世纪综合楼配楼西楼、东楼等地的水、电、暖、消防、电梯、中央空调、弱电、电子监控系统等设备正常运转维护；机关环境绿化美化、卫生保洁等相关工作有序开展；办公用房统一调配；落实《公共机构节能条例》大力在公共机构节能宣传和节能常识普及工作，督导全区公共机构节能工作有序开展，根据石家庄市公共机构节能工作组织开展全区公共机构能源审计工作；负责区级以上领导等带队来我区调研等工作组的政务接待活动；人大、政协两会的会务保障等相关工作；确保机关食堂管理工作有序开展；根据省、市要求负责我区公务用车信息化管理平台运行及维护工作，确保公务用车信息化管理平台监管功能、车辆调度功能、车辆信息查询功能均能正常使用运行。</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spacing w:line="560" w:lineRule="exact"/>
        <w:ind w:left="0" w:right="0" w:firstLine="640"/>
        <w:textAlignment w:val="auto"/>
        <w:outlineLvl w:val="9"/>
        <w:rPr>
          <w:rFonts w:hint="eastAsia" w:ascii="仿宋" w:hAnsi="仿宋" w:eastAsia="仿宋"/>
          <w:sz w:val="32"/>
          <w:szCs w:val="32"/>
          <w:lang w:eastAsia="zh-CN"/>
        </w:rPr>
      </w:pPr>
      <w:r>
        <w:rPr>
          <w:rFonts w:hint="eastAsia" w:ascii="仿宋" w:hAnsi="仿宋" w:eastAsia="仿宋"/>
          <w:sz w:val="32"/>
          <w:szCs w:val="32"/>
        </w:rPr>
        <w:t>（1）成立项目自评小组</w:t>
      </w:r>
      <w:r>
        <w:rPr>
          <w:rFonts w:hint="eastAsia" w:ascii="仿宋" w:hAnsi="仿宋" w:eastAsia="仿宋"/>
          <w:sz w:val="32"/>
          <w:szCs w:val="32"/>
          <w:lang w:eastAsia="zh-CN"/>
        </w:rPr>
        <w:t>；</w:t>
      </w:r>
    </w:p>
    <w:p>
      <w:pPr>
        <w:keepNext w:val="0"/>
        <w:keepLines w:val="0"/>
        <w:pageBreakBefore w:val="0"/>
        <w:widowControl w:val="0"/>
        <w:kinsoku/>
        <w:wordWrap/>
        <w:overflowPunct/>
        <w:topLinePunct w:val="0"/>
        <w:autoSpaceDE/>
        <w:autoSpaceDN/>
        <w:bidi w:val="0"/>
        <w:spacing w:line="560" w:lineRule="exact"/>
        <w:ind w:left="0" w:right="0" w:firstLine="640"/>
        <w:textAlignment w:val="auto"/>
        <w:outlineLvl w:val="9"/>
        <w:rPr>
          <w:rFonts w:ascii="仿宋" w:hAnsi="仿宋" w:eastAsia="仿宋"/>
          <w:sz w:val="32"/>
          <w:szCs w:val="32"/>
        </w:rPr>
      </w:pPr>
      <w:r>
        <w:rPr>
          <w:rFonts w:hint="eastAsia" w:ascii="仿宋" w:hAnsi="仿宋" w:eastAsia="仿宋"/>
          <w:sz w:val="32"/>
          <w:szCs w:val="32"/>
        </w:rPr>
        <w:t>（2）收集项目相关资料，项目自评小组从本局项目管理部门和财务收集项目相关资料，组织召开项目座谈会，最终形成项目</w:t>
      </w:r>
      <w:r>
        <w:rPr>
          <w:rFonts w:hint="eastAsia" w:ascii="仿宋" w:hAnsi="仿宋" w:eastAsia="仿宋"/>
          <w:sz w:val="32"/>
          <w:szCs w:val="32"/>
          <w:lang w:eastAsia="zh-CN"/>
        </w:rPr>
        <w:t>绩效评价</w:t>
      </w:r>
      <w:r>
        <w:rPr>
          <w:rFonts w:hint="eastAsia" w:ascii="仿宋" w:hAnsi="仿宋" w:eastAsia="仿宋"/>
          <w:sz w:val="32"/>
          <w:szCs w:val="32"/>
        </w:rPr>
        <w:t>材料</w:t>
      </w:r>
      <w:r>
        <w:rPr>
          <w:rFonts w:hint="eastAsia" w:ascii="仿宋" w:hAnsi="仿宋" w:eastAsia="仿宋"/>
          <w:sz w:val="32"/>
          <w:szCs w:val="32"/>
          <w:lang w:eastAsia="zh-CN"/>
        </w:rPr>
        <w:t>。</w:t>
      </w:r>
    </w:p>
    <w:p>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pStyle w:val="5"/>
        <w:keepNext w:val="0"/>
        <w:keepLines w:val="0"/>
        <w:pageBreakBefore w:val="0"/>
        <w:widowControl w:val="0"/>
        <w:kinsoku/>
        <w:wordWrap/>
        <w:overflowPunct/>
        <w:topLinePunct w:val="0"/>
        <w:autoSpaceDE/>
        <w:autoSpaceDN/>
        <w:bidi w:val="0"/>
        <w:spacing w:line="560" w:lineRule="exact"/>
        <w:rPr>
          <w:rFonts w:hint="eastAsia" w:ascii="仿宋" w:hAnsi="仿宋" w:eastAsia="仿宋"/>
          <w:sz w:val="32"/>
          <w:szCs w:val="32"/>
          <w:lang w:eastAsia="zh-CN"/>
        </w:rPr>
      </w:pPr>
      <w:r>
        <w:rPr>
          <w:rFonts w:hint="eastAsia" w:ascii="仿宋" w:hAnsi="仿宋" w:eastAsia="仿宋"/>
          <w:sz w:val="32"/>
          <w:szCs w:val="32"/>
        </w:rPr>
        <w:t>（</w:t>
      </w:r>
      <w:r>
        <w:rPr>
          <w:rFonts w:hint="eastAsia" w:ascii="仿宋" w:hAnsi="仿宋" w:eastAsia="仿宋"/>
          <w:sz w:val="32"/>
          <w:szCs w:val="32"/>
          <w:lang w:val="en-US" w:eastAsia="zh-CN"/>
        </w:rPr>
        <w:t>1</w:t>
      </w:r>
      <w:r>
        <w:rPr>
          <w:rFonts w:hint="eastAsia" w:ascii="仿宋" w:hAnsi="仿宋" w:eastAsia="仿宋"/>
          <w:sz w:val="32"/>
          <w:szCs w:val="32"/>
        </w:rPr>
        <w:t>）</w:t>
      </w:r>
      <w:r>
        <w:rPr>
          <w:rFonts w:hint="eastAsia" w:ascii="仿宋" w:hAnsi="仿宋" w:eastAsia="仿宋"/>
          <w:sz w:val="32"/>
          <w:szCs w:val="32"/>
          <w:lang w:eastAsia="zh-CN"/>
        </w:rPr>
        <w:t>首先</w:t>
      </w:r>
      <w:r>
        <w:rPr>
          <w:rFonts w:hint="eastAsia" w:ascii="仿宋" w:hAnsi="仿宋" w:eastAsia="仿宋" w:cs="楷体_GB2312"/>
          <w:b w:val="0"/>
          <w:bCs w:val="0"/>
          <w:sz w:val="32"/>
          <w:szCs w:val="32"/>
          <w:lang w:eastAsia="zh-CN"/>
        </w:rPr>
        <w:t>项目在前期的调研基础上，完成了项目绩效评价工作方案，设计了指标体系、评价标准、问卷调查方案等，明确了评价的目的、方法，评价原则。其次通过调研、相关文件的解读、数据采集、文件调查、数据分析、指标评分和撰写的环节，</w:t>
      </w:r>
      <w:r>
        <w:rPr>
          <w:rFonts w:hint="eastAsia" w:ascii="仿宋" w:hAnsi="仿宋" w:eastAsia="仿宋"/>
          <w:sz w:val="32"/>
          <w:szCs w:val="32"/>
        </w:rPr>
        <w:t>形成自评报告初稿，依据收集的项目资</w:t>
      </w:r>
      <w:r>
        <w:rPr>
          <w:rFonts w:hint="eastAsia" w:ascii="仿宋" w:hAnsi="仿宋" w:eastAsia="仿宋"/>
          <w:sz w:val="32"/>
          <w:szCs w:val="32"/>
          <w:lang w:eastAsia="zh-CN"/>
        </w:rPr>
        <w:t>料</w:t>
      </w:r>
      <w:r>
        <w:rPr>
          <w:rFonts w:hint="eastAsia" w:ascii="仿宋" w:hAnsi="仿宋" w:eastAsia="仿宋"/>
          <w:sz w:val="32"/>
          <w:szCs w:val="32"/>
        </w:rPr>
        <w:t>自评小组通过运用相关效果、可持续性准则对本</w:t>
      </w:r>
      <w:r>
        <w:rPr>
          <w:rFonts w:hint="eastAsia" w:ascii="仿宋" w:hAnsi="仿宋" w:eastAsia="仿宋"/>
          <w:sz w:val="32"/>
          <w:szCs w:val="32"/>
          <w:lang w:eastAsia="zh-CN"/>
        </w:rPr>
        <w:t>项</w:t>
      </w:r>
      <w:r>
        <w:rPr>
          <w:rFonts w:hint="eastAsia" w:ascii="仿宋" w:hAnsi="仿宋" w:eastAsia="仿宋"/>
          <w:sz w:val="32"/>
          <w:szCs w:val="32"/>
        </w:rPr>
        <w:t>目进行评价</w:t>
      </w:r>
      <w:r>
        <w:rPr>
          <w:rFonts w:hint="eastAsia" w:ascii="仿宋" w:hAnsi="仿宋" w:eastAsia="仿宋"/>
          <w:sz w:val="32"/>
          <w:szCs w:val="32"/>
          <w:lang w:eastAsia="zh-CN"/>
        </w:rPr>
        <w:t>；</w:t>
      </w:r>
    </w:p>
    <w:p>
      <w:pPr>
        <w:keepNext w:val="0"/>
        <w:keepLines w:val="0"/>
        <w:pageBreakBefore w:val="0"/>
        <w:widowControl w:val="0"/>
        <w:kinsoku/>
        <w:wordWrap/>
        <w:overflowPunct/>
        <w:topLinePunct w:val="0"/>
        <w:autoSpaceDE/>
        <w:autoSpaceDN/>
        <w:bidi w:val="0"/>
        <w:spacing w:line="560" w:lineRule="exact"/>
        <w:ind w:left="0" w:right="0" w:firstLine="640"/>
        <w:textAlignment w:val="auto"/>
        <w:outlineLvl w:val="9"/>
        <w:rPr>
          <w:rFonts w:ascii="楷体" w:hAnsi="楷体" w:eastAsia="楷体" w:cs="楷体_GB2312"/>
          <w:bCs/>
          <w:sz w:val="32"/>
          <w:szCs w:val="32"/>
        </w:rPr>
      </w:pPr>
      <w:r>
        <w:rPr>
          <w:rFonts w:hint="eastAsia" w:ascii="仿宋" w:hAnsi="仿宋" w:eastAsia="仿宋"/>
          <w:sz w:val="32"/>
          <w:szCs w:val="32"/>
        </w:rPr>
        <w:t>（</w:t>
      </w:r>
      <w:r>
        <w:rPr>
          <w:rFonts w:hint="eastAsia" w:ascii="仿宋" w:hAnsi="仿宋" w:eastAsia="仿宋"/>
          <w:sz w:val="32"/>
          <w:szCs w:val="32"/>
          <w:lang w:val="en-US" w:eastAsia="zh-CN"/>
        </w:rPr>
        <w:t>2</w:t>
      </w:r>
      <w:r>
        <w:rPr>
          <w:rFonts w:hint="eastAsia" w:ascii="仿宋" w:hAnsi="仿宋" w:eastAsia="仿宋"/>
          <w:sz w:val="32"/>
          <w:szCs w:val="32"/>
        </w:rPr>
        <w:t>）征求相关</w:t>
      </w:r>
      <w:r>
        <w:rPr>
          <w:rFonts w:hint="eastAsia" w:ascii="仿宋" w:hAnsi="仿宋" w:eastAsia="仿宋"/>
          <w:sz w:val="32"/>
          <w:szCs w:val="32"/>
          <w:lang w:eastAsia="zh-CN"/>
        </w:rPr>
        <w:t>科室</w:t>
      </w:r>
      <w:r>
        <w:rPr>
          <w:rFonts w:hint="eastAsia" w:ascii="仿宋" w:hAnsi="仿宋" w:eastAsia="仿宋"/>
          <w:sz w:val="32"/>
          <w:szCs w:val="32"/>
        </w:rPr>
        <w:t>意见，项目自评小组与项目相关人员进行沟通，听取他们的</w:t>
      </w:r>
      <w:r>
        <w:rPr>
          <w:rFonts w:hint="eastAsia" w:ascii="仿宋" w:hAnsi="仿宋" w:eastAsia="仿宋"/>
          <w:sz w:val="32"/>
          <w:szCs w:val="32"/>
          <w:lang w:eastAsia="zh-CN"/>
        </w:rPr>
        <w:t>意见建议，避免出现重大遗漏，并在此基础上进行完善，形成绩效自评报告终版。</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2"/>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参与本次评价的项目通过绩效自评结果与年初绩效目标进行对比，对比结果反应在以下二个方面：</w:t>
      </w:r>
    </w:p>
    <w:p>
      <w:pP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是绩效目标设定依据清晰准确，符合部门职责，充分发挥参谋助手、综合协调和后勤保障作用，认真履行工作职能，但指标设定不细化、不量化；二是绩效指标能够围绕绩效目标来设定，从总体来看所设定的指标科学合理，易于评价，但在完整度方面尚可提升，全面真实反映被评价项目的实际情况。</w:t>
      </w:r>
    </w:p>
    <w:p>
      <w:pPr>
        <w:spacing w:line="560" w:lineRule="exact"/>
        <w:ind w:firstLine="640"/>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spacing w:line="500" w:lineRule="exact"/>
        <w:ind w:firstLine="640" w:firstLineChars="200"/>
        <w:jc w:val="both"/>
        <w:textAlignment w:val="auto"/>
        <w:rPr>
          <w:rFonts w:ascii="仿宋" w:hAnsi="仿宋" w:eastAsia="仿宋" w:cs="仿宋"/>
          <w:color w:val="auto"/>
          <w:sz w:val="32"/>
          <w:szCs w:val="32"/>
          <w:lang w:val="en-US" w:eastAsia="zh-CN"/>
        </w:rPr>
      </w:pPr>
      <w:r>
        <w:rPr>
          <w:rFonts w:ascii="仿宋" w:hAnsi="仿宋" w:eastAsia="仿宋" w:cs="仿宋"/>
          <w:color w:val="auto"/>
          <w:sz w:val="32"/>
          <w:szCs w:val="32"/>
          <w:lang w:val="en-US" w:eastAsia="zh-CN"/>
        </w:rPr>
        <w:t>（</w:t>
      </w:r>
      <w:r>
        <w:rPr>
          <w:rFonts w:hint="eastAsia" w:ascii="仿宋" w:hAnsi="仿宋" w:eastAsia="仿宋" w:cs="仿宋"/>
          <w:color w:val="auto"/>
          <w:sz w:val="32"/>
          <w:szCs w:val="32"/>
          <w:lang w:val="en-US" w:eastAsia="zh-CN"/>
        </w:rPr>
        <w:t>1</w:t>
      </w:r>
      <w:r>
        <w:rPr>
          <w:rFonts w:ascii="仿宋" w:hAnsi="仿宋" w:eastAsia="仿宋" w:cs="仿宋"/>
          <w:color w:val="auto"/>
          <w:sz w:val="32"/>
          <w:szCs w:val="32"/>
          <w:lang w:val="en-US" w:eastAsia="zh-CN"/>
        </w:rPr>
        <w:t>）行政大楼安保项目</w:t>
      </w:r>
    </w:p>
    <w:p>
      <w:pPr>
        <w:keepNext w:val="0"/>
        <w:keepLines w:val="0"/>
        <w:pageBreakBefore w:val="0"/>
        <w:widowControl w:val="0"/>
        <w:kinsoku/>
        <w:wordWrap/>
        <w:overflowPunct/>
        <w:topLinePunct w:val="0"/>
        <w:autoSpaceDE/>
        <w:autoSpaceDN/>
        <w:bidi w:val="0"/>
        <w:adjustRightInd w:val="0"/>
        <w:snapToGrid w:val="0"/>
        <w:spacing w:line="500" w:lineRule="exact"/>
        <w:ind w:firstLine="640" w:firstLineChars="200"/>
        <w:jc w:val="both"/>
        <w:rPr>
          <w:rFonts w:ascii="仿宋" w:hAnsi="仿宋" w:eastAsia="仿宋" w:cs="仿宋"/>
          <w:color w:val="auto"/>
          <w:sz w:val="32"/>
          <w:szCs w:val="32"/>
        </w:rPr>
      </w:pPr>
      <w:r>
        <w:rPr>
          <w:rFonts w:hint="eastAsia" w:ascii="仿宋" w:hAnsi="仿宋" w:eastAsia="仿宋" w:cs="仿宋"/>
          <w:color w:val="auto"/>
          <w:sz w:val="32"/>
          <w:szCs w:val="32"/>
          <w:lang w:val="en-US" w:eastAsia="zh-CN"/>
        </w:rPr>
        <w:t>资金支出进度：</w:t>
      </w:r>
      <w:r>
        <w:rPr>
          <w:rFonts w:hint="eastAsia" w:ascii="仿宋" w:hAnsi="仿宋" w:eastAsia="仿宋" w:cs="仿宋"/>
          <w:color w:val="auto"/>
          <w:sz w:val="32"/>
          <w:szCs w:val="32"/>
        </w:rPr>
        <w:t>项目预算数是</w:t>
      </w:r>
      <w:r>
        <w:rPr>
          <w:rFonts w:hint="eastAsia" w:ascii="仿宋" w:hAnsi="仿宋" w:eastAsia="仿宋" w:cs="仿宋"/>
          <w:color w:val="auto"/>
          <w:sz w:val="32"/>
          <w:szCs w:val="32"/>
          <w:lang w:val="en-US" w:eastAsia="zh-CN"/>
        </w:rPr>
        <w:t>49.68</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cs="仿宋"/>
          <w:color w:val="auto"/>
          <w:sz w:val="32"/>
          <w:szCs w:val="32"/>
          <w:lang w:val="en-US" w:eastAsia="zh-CN"/>
        </w:rPr>
        <w:t>32.96</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66.4%</w:t>
      </w:r>
      <w:r>
        <w:rPr>
          <w:rFonts w:ascii="仿宋" w:hAnsi="仿宋" w:eastAsia="仿宋" w:cs="仿宋"/>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00" w:lineRule="exact"/>
        <w:ind w:firstLine="640" w:firstLineChars="200"/>
        <w:jc w:val="both"/>
        <w:rPr>
          <w:rFonts w:hint="eastAsia" w:ascii="仿宋" w:hAnsi="仿宋" w:eastAsia="仿宋" w:cs="仿宋"/>
          <w:color w:val="auto"/>
          <w:sz w:val="32"/>
          <w:szCs w:val="32"/>
        </w:rPr>
      </w:pPr>
      <w:r>
        <w:rPr>
          <w:rFonts w:hint="eastAsia" w:ascii="仿宋" w:hAnsi="仿宋" w:eastAsia="仿宋" w:cs="仿宋"/>
          <w:color w:val="auto"/>
          <w:sz w:val="32"/>
          <w:szCs w:val="32"/>
        </w:rPr>
        <w:t>产出指标和效果指标完成情况</w:t>
      </w:r>
      <w:r>
        <w:rPr>
          <w:rFonts w:hint="eastAsia" w:ascii="仿宋" w:hAnsi="仿宋" w:eastAsia="仿宋" w:cs="仿宋"/>
          <w:color w:val="auto"/>
          <w:sz w:val="32"/>
          <w:szCs w:val="32"/>
          <w:lang w:eastAsia="zh-CN"/>
        </w:rPr>
        <w:t>：</w:t>
      </w:r>
      <w:r>
        <w:rPr>
          <w:rFonts w:hint="eastAsia" w:ascii="仿宋" w:hAnsi="仿宋" w:eastAsia="仿宋" w:cs="仿宋"/>
          <w:sz w:val="32"/>
          <w:szCs w:val="32"/>
          <w:lang w:val="en-US" w:eastAsia="zh-CN"/>
        </w:rPr>
        <w:t>保安人员后勤工作人员严重不足情况，确保后勤保障工作顺利圆满完成。</w:t>
      </w:r>
      <w:r>
        <w:rPr>
          <w:rFonts w:hint="eastAsia" w:ascii="仿宋" w:hAnsi="仿宋" w:eastAsia="仿宋" w:cs="仿宋"/>
          <w:color w:val="auto"/>
          <w:sz w:val="32"/>
          <w:szCs w:val="32"/>
        </w:rPr>
        <w:t>绩效指标为</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个，评价等级为优。</w:t>
      </w:r>
    </w:p>
    <w:p>
      <w:pPr>
        <w:keepNext w:val="0"/>
        <w:keepLines w:val="0"/>
        <w:pageBreakBefore w:val="0"/>
        <w:widowControl w:val="0"/>
        <w:numPr>
          <w:ilvl w:val="0"/>
          <w:numId w:val="3"/>
        </w:numPr>
        <w:kinsoku/>
        <w:wordWrap/>
        <w:overflowPunct/>
        <w:topLinePunct w:val="0"/>
        <w:autoSpaceDE/>
        <w:autoSpaceDN/>
        <w:bidi w:val="0"/>
        <w:spacing w:line="560" w:lineRule="exact"/>
        <w:ind w:left="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党建工作经费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资金支出进度：该</w:t>
      </w:r>
      <w:r>
        <w:rPr>
          <w:rFonts w:hint="eastAsia" w:ascii="仿宋" w:hAnsi="仿宋" w:eastAsia="仿宋" w:cs="仿宋"/>
          <w:color w:val="auto"/>
          <w:sz w:val="32"/>
          <w:szCs w:val="32"/>
        </w:rPr>
        <w:t>项目预算数是</w:t>
      </w:r>
      <w:r>
        <w:rPr>
          <w:rFonts w:hint="eastAsia" w:ascii="仿宋" w:hAnsi="仿宋" w:eastAsia="仿宋" w:cs="仿宋"/>
          <w:color w:val="auto"/>
          <w:sz w:val="32"/>
          <w:szCs w:val="32"/>
          <w:lang w:val="en-US" w:eastAsia="zh-CN"/>
        </w:rPr>
        <w:t>0.3</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ascii="仿宋" w:hAnsi="仿宋" w:eastAsia="仿宋" w:cs="仿宋"/>
          <w:color w:val="auto"/>
          <w:sz w:val="32"/>
          <w:szCs w:val="32"/>
          <w:lang w:val="en-US" w:eastAsia="zh-CN"/>
        </w:rPr>
        <w:t>0</w:t>
      </w:r>
      <w:r>
        <w:rPr>
          <w:rFonts w:hint="eastAsia" w:ascii="仿宋" w:hAnsi="仿宋" w:eastAsia="仿宋" w:cs="仿宋"/>
          <w:color w:val="auto"/>
          <w:sz w:val="32"/>
          <w:szCs w:val="32"/>
        </w:rPr>
        <w:t>万元，总体支出进度为</w:t>
      </w:r>
      <w:r>
        <w:rPr>
          <w:rFonts w:ascii="仿宋" w:hAnsi="仿宋" w:eastAsia="仿宋" w:cs="仿宋"/>
          <w:color w:val="auto"/>
          <w:sz w:val="32"/>
          <w:szCs w:val="32"/>
          <w:lang w:val="en-US" w:eastAsia="zh-CN"/>
        </w:rPr>
        <w:t>0</w:t>
      </w:r>
      <w:r>
        <w:rPr>
          <w:rFonts w:hint="eastAsia" w:ascii="仿宋" w:hAnsi="仿宋" w:eastAsia="仿宋" w:cs="仿宋"/>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rPr>
        <w:t>产出指标和效果指标完成情况</w:t>
      </w:r>
      <w:r>
        <w:rPr>
          <w:rFonts w:hint="eastAsia" w:ascii="仿宋" w:hAnsi="仿宋" w:eastAsia="仿宋" w:cs="仿宋"/>
          <w:color w:val="auto"/>
          <w:sz w:val="32"/>
          <w:szCs w:val="32"/>
          <w:lang w:eastAsia="zh-CN"/>
        </w:rPr>
        <w:t>：</w:t>
      </w:r>
      <w:r>
        <w:rPr>
          <w:rFonts w:hint="eastAsia" w:ascii="仿宋" w:hAnsi="仿宋" w:eastAsia="仿宋" w:cs="仿宋"/>
          <w:sz w:val="32"/>
          <w:szCs w:val="32"/>
          <w:lang w:val="en-US" w:eastAsia="zh-CN"/>
        </w:rPr>
        <w:t>保障党建工作经费的增加充分保障党建工作顺利开展。</w:t>
      </w:r>
      <w:r>
        <w:rPr>
          <w:rFonts w:hint="eastAsia" w:ascii="仿宋" w:hAnsi="仿宋" w:eastAsia="仿宋" w:cs="仿宋"/>
          <w:color w:val="auto"/>
          <w:sz w:val="32"/>
          <w:szCs w:val="32"/>
        </w:rPr>
        <w:t>绩效指标为</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个，评价等级为</w:t>
      </w:r>
      <w:r>
        <w:rPr>
          <w:rFonts w:ascii="仿宋" w:hAnsi="仿宋" w:eastAsia="仿宋" w:cs="仿宋"/>
          <w:color w:val="auto"/>
          <w:sz w:val="32"/>
          <w:szCs w:val="32"/>
        </w:rPr>
        <w:t>良好</w:t>
      </w:r>
      <w:r>
        <w:rPr>
          <w:rFonts w:hint="eastAsia" w:ascii="仿宋" w:hAnsi="仿宋" w:eastAsia="仿宋" w:cs="仿宋"/>
          <w:color w:val="auto"/>
          <w:sz w:val="32"/>
          <w:szCs w:val="32"/>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lang w:eastAsia="zh-CN"/>
        </w:rPr>
        <w:t>）</w:t>
      </w:r>
      <w:r>
        <w:rPr>
          <w:rFonts w:ascii="仿宋" w:hAnsi="仿宋" w:eastAsia="仿宋" w:cs="仿宋"/>
          <w:color w:val="auto"/>
          <w:sz w:val="32"/>
          <w:szCs w:val="32"/>
          <w:lang w:eastAsia="zh-CN"/>
        </w:rPr>
        <w:t>公务用车</w:t>
      </w:r>
      <w:r>
        <w:rPr>
          <w:rFonts w:hint="eastAsia" w:ascii="仿宋" w:hAnsi="仿宋" w:eastAsia="仿宋" w:cs="仿宋"/>
          <w:color w:val="auto"/>
          <w:sz w:val="32"/>
          <w:szCs w:val="32"/>
          <w:lang w:eastAsia="zh-CN"/>
        </w:rPr>
        <w:t>“三定一平台”项目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资金支出进度：该</w:t>
      </w:r>
      <w:r>
        <w:rPr>
          <w:rFonts w:hint="eastAsia" w:ascii="仿宋" w:hAnsi="仿宋" w:eastAsia="仿宋" w:cs="仿宋"/>
          <w:color w:val="auto"/>
          <w:sz w:val="32"/>
          <w:szCs w:val="32"/>
        </w:rPr>
        <w:t>项目预算数是</w:t>
      </w:r>
      <w:r>
        <w:rPr>
          <w:rFonts w:ascii="仿宋" w:hAnsi="仿宋" w:eastAsia="仿宋" w:cs="仿宋"/>
          <w:color w:val="auto"/>
          <w:sz w:val="32"/>
          <w:szCs w:val="32"/>
          <w:lang w:val="en-US" w:eastAsia="zh-CN"/>
        </w:rPr>
        <w:t>30</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ascii="仿宋" w:hAnsi="仿宋" w:eastAsia="仿宋" w:cs="仿宋"/>
          <w:color w:val="auto"/>
          <w:sz w:val="32"/>
          <w:szCs w:val="32"/>
          <w:lang w:val="en-US" w:eastAsia="zh-CN"/>
        </w:rPr>
        <w:t>0</w:t>
      </w:r>
      <w:r>
        <w:rPr>
          <w:rFonts w:hint="eastAsia" w:ascii="仿宋" w:hAnsi="仿宋" w:eastAsia="仿宋" w:cs="仿宋"/>
          <w:color w:val="auto"/>
          <w:sz w:val="32"/>
          <w:szCs w:val="32"/>
        </w:rPr>
        <w:t>万元，总体支出进度为</w:t>
      </w:r>
      <w:r>
        <w:rPr>
          <w:rFonts w:ascii="仿宋" w:hAnsi="仿宋" w:eastAsia="仿宋" w:cs="仿宋"/>
          <w:color w:val="auto"/>
          <w:sz w:val="32"/>
          <w:szCs w:val="32"/>
          <w:lang w:val="en-US" w:eastAsia="zh-CN"/>
        </w:rPr>
        <w:t>0</w:t>
      </w:r>
      <w:r>
        <w:rPr>
          <w:rFonts w:hint="eastAsia" w:ascii="仿宋" w:hAnsi="仿宋" w:eastAsia="仿宋" w:cs="仿宋"/>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产出指标和效果指标完成情况</w:t>
      </w:r>
      <w:r>
        <w:rPr>
          <w:rFonts w:hint="eastAsia" w:ascii="仿宋" w:hAnsi="仿宋" w:eastAsia="仿宋" w:cs="仿宋"/>
          <w:color w:val="auto"/>
          <w:sz w:val="32"/>
          <w:szCs w:val="32"/>
          <w:lang w:eastAsia="zh-CN"/>
        </w:rPr>
        <w:t>：</w:t>
      </w:r>
      <w:r>
        <w:rPr>
          <w:rFonts w:ascii="仿宋" w:hAnsi="仿宋" w:eastAsia="仿宋"/>
          <w:sz w:val="32"/>
          <w:szCs w:val="32"/>
          <w:lang w:val="en-US" w:eastAsia="zh-CN"/>
        </w:rPr>
        <w:t>按时对公务用车定点加油、定点保险、定点租赁、定点维修进行统一招标，确保公车使用规范</w:t>
      </w:r>
      <w:r>
        <w:rPr>
          <w:rFonts w:hint="eastAsia" w:ascii="仿宋" w:hAnsi="仿宋" w:eastAsia="仿宋"/>
          <w:sz w:val="32"/>
          <w:szCs w:val="32"/>
          <w:lang w:val="en-US" w:eastAsia="zh-CN"/>
        </w:rPr>
        <w:t>。</w:t>
      </w:r>
      <w:r>
        <w:rPr>
          <w:rFonts w:hint="eastAsia" w:ascii="仿宋" w:hAnsi="仿宋" w:eastAsia="仿宋" w:cs="仿宋"/>
          <w:color w:val="auto"/>
          <w:sz w:val="32"/>
          <w:szCs w:val="32"/>
        </w:rPr>
        <w:t>绩效指标为</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个，评价等级为优。</w:t>
      </w:r>
    </w:p>
    <w:p>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（4）公务用车运行平台费项目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资金支出进度：该</w:t>
      </w:r>
      <w:r>
        <w:rPr>
          <w:rFonts w:hint="eastAsia" w:ascii="仿宋" w:hAnsi="仿宋" w:eastAsia="仿宋" w:cs="仿宋"/>
          <w:color w:val="auto"/>
          <w:sz w:val="32"/>
          <w:szCs w:val="32"/>
        </w:rPr>
        <w:t>项目预算数是</w:t>
      </w:r>
      <w:r>
        <w:rPr>
          <w:rFonts w:hint="eastAsia" w:ascii="仿宋" w:hAnsi="仿宋" w:eastAsia="仿宋" w:cs="仿宋"/>
          <w:color w:val="auto"/>
          <w:sz w:val="32"/>
          <w:szCs w:val="32"/>
          <w:lang w:val="en-US" w:eastAsia="zh-CN"/>
        </w:rPr>
        <w:t>2</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ascii="仿宋" w:hAnsi="仿宋" w:eastAsia="仿宋" w:cs="仿宋"/>
          <w:color w:val="auto"/>
          <w:sz w:val="32"/>
          <w:szCs w:val="32"/>
          <w:lang w:val="en-US" w:eastAsia="zh-CN"/>
        </w:rPr>
        <w:t>0.12</w:t>
      </w:r>
      <w:r>
        <w:rPr>
          <w:rFonts w:hint="eastAsia" w:ascii="仿宋" w:hAnsi="仿宋" w:eastAsia="仿宋" w:cs="仿宋"/>
          <w:color w:val="auto"/>
          <w:sz w:val="32"/>
          <w:szCs w:val="32"/>
        </w:rPr>
        <w:t>万元，总体支出进度为</w:t>
      </w:r>
      <w:r>
        <w:rPr>
          <w:rFonts w:ascii="仿宋" w:hAnsi="仿宋" w:eastAsia="仿宋" w:cs="仿宋"/>
          <w:color w:val="auto"/>
          <w:sz w:val="32"/>
          <w:szCs w:val="32"/>
          <w:lang w:val="en-US" w:eastAsia="zh-CN"/>
        </w:rPr>
        <w:t>6</w:t>
      </w:r>
      <w:r>
        <w:rPr>
          <w:rFonts w:hint="eastAsia" w:ascii="仿宋" w:hAnsi="仿宋" w:eastAsia="仿宋" w:cs="仿宋"/>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产出指标和效果指标完成情况</w:t>
      </w:r>
      <w:r>
        <w:rPr>
          <w:rFonts w:hint="eastAsia" w:ascii="仿宋" w:hAnsi="仿宋" w:eastAsia="仿宋" w:cs="仿宋"/>
          <w:color w:val="auto"/>
          <w:sz w:val="32"/>
          <w:szCs w:val="32"/>
          <w:lang w:eastAsia="zh-CN"/>
        </w:rPr>
        <w:t>：</w:t>
      </w:r>
      <w:r>
        <w:rPr>
          <w:rFonts w:hint="eastAsia" w:ascii="仿宋" w:hAnsi="仿宋" w:eastAsia="仿宋"/>
          <w:sz w:val="32"/>
          <w:szCs w:val="32"/>
          <w:lang w:eastAsia="zh-CN"/>
        </w:rPr>
        <w:t>提高公务用车信息化管理平台操作使用效率，进一步规范公车使用情况。</w:t>
      </w:r>
      <w:r>
        <w:rPr>
          <w:rFonts w:hint="eastAsia" w:ascii="仿宋" w:hAnsi="仿宋" w:eastAsia="仿宋" w:cs="仿宋"/>
          <w:color w:val="auto"/>
          <w:sz w:val="32"/>
          <w:szCs w:val="32"/>
        </w:rPr>
        <w:t>绩效指标为</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个，评价等级为</w:t>
      </w:r>
      <w:r>
        <w:rPr>
          <w:rFonts w:hint="eastAsia" w:ascii="仿宋" w:hAnsi="仿宋" w:eastAsia="仿宋" w:cs="仿宋"/>
          <w:color w:val="auto"/>
          <w:sz w:val="32"/>
          <w:szCs w:val="32"/>
          <w:lang w:eastAsia="zh-CN"/>
        </w:rPr>
        <w:t>一般</w:t>
      </w:r>
      <w:r>
        <w:rPr>
          <w:rFonts w:hint="eastAsia" w:ascii="仿宋" w:hAnsi="仿宋" w:eastAsia="仿宋" w:cs="仿宋"/>
          <w:color w:val="auto"/>
          <w:sz w:val="32"/>
          <w:szCs w:val="32"/>
        </w:rPr>
        <w:t>。</w:t>
      </w:r>
    </w:p>
    <w:p>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）行政大楼保洁项目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资金支出进度：该</w:t>
      </w:r>
      <w:r>
        <w:rPr>
          <w:rFonts w:hint="eastAsia" w:ascii="仿宋" w:hAnsi="仿宋" w:eastAsia="仿宋" w:cs="仿宋"/>
          <w:color w:val="auto"/>
          <w:sz w:val="32"/>
          <w:szCs w:val="32"/>
        </w:rPr>
        <w:t>项目预算数是</w:t>
      </w:r>
      <w:r>
        <w:rPr>
          <w:rFonts w:hint="eastAsia" w:ascii="仿宋" w:hAnsi="仿宋" w:eastAsia="仿宋" w:cs="仿宋"/>
          <w:color w:val="auto"/>
          <w:sz w:val="32"/>
          <w:szCs w:val="32"/>
          <w:lang w:val="en-US" w:eastAsia="zh-CN"/>
        </w:rPr>
        <w:t>108.4</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cs="仿宋"/>
          <w:color w:val="auto"/>
          <w:sz w:val="32"/>
          <w:szCs w:val="32"/>
          <w:lang w:val="en-US" w:eastAsia="zh-CN"/>
        </w:rPr>
        <w:t>78.23</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72.2%。</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产出指标和效果指标完成情况</w:t>
      </w:r>
      <w:r>
        <w:rPr>
          <w:rFonts w:hint="eastAsia" w:ascii="仿宋" w:hAnsi="仿宋" w:eastAsia="仿宋" w:cs="仿宋"/>
          <w:color w:val="auto"/>
          <w:sz w:val="32"/>
          <w:szCs w:val="32"/>
          <w:lang w:eastAsia="zh-CN"/>
        </w:rPr>
        <w:t>：</w:t>
      </w:r>
      <w:r>
        <w:rPr>
          <w:rFonts w:hint="eastAsia" w:ascii="仿宋" w:hAnsi="仿宋" w:eastAsia="仿宋"/>
          <w:sz w:val="32"/>
          <w:szCs w:val="32"/>
          <w:lang w:val="en-US" w:eastAsia="zh-CN"/>
        </w:rPr>
        <w:t>按时对所管辖区域进行日常保洁，加强日常巡查力度，确保所管辖区域卫生达标。</w:t>
      </w:r>
      <w:r>
        <w:rPr>
          <w:rFonts w:hint="eastAsia" w:ascii="仿宋" w:hAnsi="仿宋" w:eastAsia="仿宋" w:cs="仿宋"/>
          <w:color w:val="auto"/>
          <w:sz w:val="32"/>
          <w:szCs w:val="32"/>
        </w:rPr>
        <w:t>绩效指标为</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个，评价等级为优。</w:t>
      </w:r>
    </w:p>
    <w:p>
      <w:pPr>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6</w:t>
      </w:r>
      <w:r>
        <w:rPr>
          <w:rFonts w:hint="eastAsia" w:ascii="仿宋" w:hAnsi="仿宋" w:eastAsia="仿宋" w:cs="仿宋"/>
          <w:color w:val="auto"/>
          <w:sz w:val="32"/>
          <w:szCs w:val="32"/>
          <w:lang w:eastAsia="zh-CN"/>
        </w:rPr>
        <w:t>）行政大楼</w:t>
      </w:r>
      <w:r>
        <w:rPr>
          <w:rFonts w:ascii="仿宋" w:hAnsi="仿宋" w:eastAsia="仿宋" w:cs="仿宋"/>
          <w:color w:val="auto"/>
          <w:sz w:val="32"/>
          <w:szCs w:val="32"/>
          <w:lang w:eastAsia="zh-CN"/>
        </w:rPr>
        <w:t>及外单位网费</w:t>
      </w:r>
      <w:r>
        <w:rPr>
          <w:rFonts w:hint="eastAsia" w:ascii="仿宋" w:hAnsi="仿宋" w:eastAsia="仿宋" w:cs="仿宋"/>
          <w:color w:val="auto"/>
          <w:sz w:val="32"/>
          <w:szCs w:val="32"/>
          <w:lang w:eastAsia="zh-CN"/>
        </w:rPr>
        <w:t>项目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资金支出进度：该</w:t>
      </w:r>
      <w:r>
        <w:rPr>
          <w:rFonts w:hint="eastAsia" w:ascii="仿宋" w:hAnsi="仿宋" w:eastAsia="仿宋" w:cs="仿宋"/>
          <w:color w:val="auto"/>
          <w:sz w:val="32"/>
          <w:szCs w:val="32"/>
        </w:rPr>
        <w:t>项目预算数是</w:t>
      </w:r>
      <w:r>
        <w:rPr>
          <w:rFonts w:hint="eastAsia" w:ascii="仿宋" w:hAnsi="仿宋" w:eastAsia="仿宋" w:cs="仿宋"/>
          <w:color w:val="auto"/>
          <w:sz w:val="32"/>
          <w:szCs w:val="32"/>
          <w:lang w:val="en-US" w:eastAsia="zh-CN"/>
        </w:rPr>
        <w:t>1.81</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cs="仿宋"/>
          <w:color w:val="auto"/>
          <w:sz w:val="32"/>
          <w:szCs w:val="32"/>
          <w:lang w:val="en-US" w:eastAsia="zh-CN"/>
        </w:rPr>
        <w:t>10.41</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62%。</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产出指标和效果指标完成情况</w:t>
      </w:r>
      <w:r>
        <w:rPr>
          <w:rFonts w:hint="eastAsia" w:ascii="仿宋" w:hAnsi="仿宋" w:eastAsia="仿宋" w:cs="仿宋"/>
          <w:color w:val="auto"/>
          <w:sz w:val="32"/>
          <w:szCs w:val="32"/>
          <w:lang w:eastAsia="zh-CN"/>
        </w:rPr>
        <w:t>：</w:t>
      </w:r>
      <w:r>
        <w:rPr>
          <w:rFonts w:hint="eastAsia" w:ascii="仿宋" w:hAnsi="仿宋" w:eastAsia="仿宋"/>
          <w:sz w:val="32"/>
          <w:szCs w:val="32"/>
        </w:rPr>
        <w:t>根据合同节点</w:t>
      </w:r>
      <w:r>
        <w:rPr>
          <w:rFonts w:ascii="仿宋" w:hAnsi="仿宋" w:eastAsia="仿宋"/>
          <w:sz w:val="32"/>
          <w:szCs w:val="32"/>
        </w:rPr>
        <w:t>支付17条光纤宽带的网费，</w:t>
      </w:r>
      <w:r>
        <w:rPr>
          <w:rFonts w:hint="eastAsia" w:ascii="仿宋" w:hAnsi="仿宋" w:eastAsia="仿宋"/>
          <w:sz w:val="32"/>
          <w:szCs w:val="32"/>
          <w:lang w:eastAsia="zh-CN"/>
        </w:rPr>
        <w:t>确保全区各事业单位光纤宽带正常</w:t>
      </w:r>
      <w:r>
        <w:rPr>
          <w:rFonts w:hint="eastAsia" w:ascii="仿宋" w:hAnsi="仿宋" w:eastAsia="仿宋"/>
          <w:sz w:val="32"/>
          <w:szCs w:val="32"/>
        </w:rPr>
        <w:t>使用。</w:t>
      </w:r>
      <w:r>
        <w:rPr>
          <w:rFonts w:hint="eastAsia" w:ascii="仿宋" w:hAnsi="仿宋" w:eastAsia="仿宋" w:cs="仿宋"/>
          <w:color w:val="auto"/>
          <w:sz w:val="32"/>
          <w:szCs w:val="32"/>
        </w:rPr>
        <w:t>绩效指标为</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个，评价等级为优。</w:t>
      </w:r>
    </w:p>
    <w:p>
      <w:pPr>
        <w:keepNext w:val="0"/>
        <w:keepLines w:val="0"/>
        <w:pageBreakBefore w:val="0"/>
        <w:widowControl w:val="0"/>
        <w:numPr>
          <w:ilvl w:val="0"/>
          <w:numId w:val="4"/>
        </w:numPr>
        <w:kinsoku/>
        <w:wordWrap/>
        <w:overflowPunct/>
        <w:topLinePunct w:val="0"/>
        <w:autoSpaceDE/>
        <w:autoSpaceDN/>
        <w:bidi w:val="0"/>
        <w:spacing w:line="560" w:lineRule="exact"/>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劳务派遣经费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资金支出进度：劳务派遣经费</w:t>
      </w:r>
      <w:r>
        <w:rPr>
          <w:rFonts w:hint="eastAsia" w:ascii="仿宋" w:hAnsi="仿宋" w:eastAsia="仿宋" w:cs="仿宋"/>
          <w:color w:val="auto"/>
          <w:sz w:val="32"/>
          <w:szCs w:val="32"/>
        </w:rPr>
        <w:t>项目预算数是</w:t>
      </w:r>
      <w:r>
        <w:rPr>
          <w:rFonts w:hint="eastAsia" w:ascii="仿宋" w:hAnsi="仿宋" w:eastAsia="仿宋" w:cs="仿宋"/>
          <w:color w:val="auto"/>
          <w:sz w:val="32"/>
          <w:szCs w:val="32"/>
          <w:lang w:val="en-US" w:eastAsia="zh-CN"/>
        </w:rPr>
        <w:t>74.44</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cs="仿宋"/>
          <w:color w:val="auto"/>
          <w:sz w:val="32"/>
          <w:szCs w:val="32"/>
          <w:lang w:val="en-US" w:eastAsia="zh-CN"/>
        </w:rPr>
        <w:t>66.73</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89.6%。</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产出指标和效果指标完成情况</w:t>
      </w:r>
      <w:r>
        <w:rPr>
          <w:rFonts w:hint="eastAsia" w:ascii="仿宋" w:hAnsi="仿宋" w:eastAsia="仿宋" w:cs="仿宋"/>
          <w:color w:val="auto"/>
          <w:sz w:val="32"/>
          <w:szCs w:val="32"/>
          <w:lang w:eastAsia="zh-CN"/>
        </w:rPr>
        <w:t>：</w:t>
      </w:r>
      <w:r>
        <w:rPr>
          <w:rFonts w:hint="eastAsia" w:ascii="仿宋" w:hAnsi="仿宋" w:eastAsia="仿宋" w:cs="仿宋"/>
          <w:sz w:val="32"/>
          <w:szCs w:val="32"/>
          <w:lang w:val="en-US" w:eastAsia="zh-CN"/>
        </w:rPr>
        <w:t>劳务派遣人员的增加充分弥补了后勤工作人员严重不足情况，确保后勤保障工作顺利圆满完成。</w:t>
      </w:r>
      <w:r>
        <w:rPr>
          <w:rFonts w:hint="eastAsia" w:ascii="仿宋" w:hAnsi="仿宋" w:eastAsia="仿宋" w:cs="仿宋"/>
          <w:color w:val="auto"/>
          <w:sz w:val="32"/>
          <w:szCs w:val="32"/>
        </w:rPr>
        <w:t>绩效指标为</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个，评价等级为优。</w:t>
      </w:r>
    </w:p>
    <w:p>
      <w:pPr>
        <w:keepNext w:val="0"/>
        <w:keepLines w:val="0"/>
        <w:pageBreakBefore w:val="0"/>
        <w:widowControl w:val="0"/>
        <w:numPr>
          <w:ilvl w:val="0"/>
          <w:numId w:val="4"/>
        </w:numPr>
        <w:kinsoku/>
        <w:wordWrap/>
        <w:overflowPunct/>
        <w:topLinePunct w:val="0"/>
        <w:autoSpaceDE/>
        <w:autoSpaceDN/>
        <w:bidi w:val="0"/>
        <w:spacing w:line="560" w:lineRule="exact"/>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食堂劳务费项目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资金支出进度：</w:t>
      </w:r>
      <w:r>
        <w:rPr>
          <w:rFonts w:hint="eastAsia" w:ascii="仿宋" w:hAnsi="仿宋" w:eastAsia="仿宋" w:cs="仿宋"/>
          <w:color w:val="auto"/>
          <w:sz w:val="32"/>
          <w:szCs w:val="32"/>
        </w:rPr>
        <w:t>项目预算数是</w:t>
      </w:r>
      <w:r>
        <w:rPr>
          <w:rFonts w:hint="eastAsia" w:ascii="仿宋" w:hAnsi="仿宋" w:eastAsia="仿宋" w:cs="仿宋"/>
          <w:color w:val="auto"/>
          <w:sz w:val="32"/>
          <w:szCs w:val="32"/>
          <w:lang w:val="en-US" w:eastAsia="zh-CN"/>
        </w:rPr>
        <w:t>40.9</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cs="仿宋"/>
          <w:color w:val="auto"/>
          <w:sz w:val="32"/>
          <w:szCs w:val="32"/>
          <w:lang w:val="en-US" w:eastAsia="zh-CN"/>
        </w:rPr>
        <w:t>27.64</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67%。</w:t>
      </w:r>
    </w:p>
    <w:p>
      <w:pPr>
        <w:keepNext w:val="0"/>
        <w:keepLines w:val="0"/>
        <w:pageBreakBefore w:val="0"/>
        <w:widowControl w:val="0"/>
        <w:numPr>
          <w:ilvl w:val="0"/>
          <w:numId w:val="0"/>
        </w:numPr>
        <w:kinsoku/>
        <w:wordWrap/>
        <w:overflowPunct/>
        <w:topLinePunct w:val="0"/>
        <w:autoSpaceDE/>
        <w:autoSpaceDN/>
        <w:bidi w:val="0"/>
        <w:spacing w:line="560" w:lineRule="exact"/>
        <w:ind w:firstLine="640"/>
        <w:rPr>
          <w:rFonts w:hint="eastAsia" w:ascii="仿宋" w:hAnsi="仿宋" w:eastAsia="仿宋" w:cs="仿宋"/>
          <w:color w:val="auto"/>
          <w:sz w:val="32"/>
          <w:szCs w:val="32"/>
        </w:rPr>
      </w:pPr>
      <w:r>
        <w:rPr>
          <w:rFonts w:hint="eastAsia" w:ascii="仿宋" w:hAnsi="仿宋" w:eastAsia="仿宋" w:cs="仿宋"/>
          <w:color w:val="auto"/>
          <w:sz w:val="32"/>
          <w:szCs w:val="32"/>
        </w:rPr>
        <w:t>产出指标和效果指标完成情况</w:t>
      </w:r>
      <w:r>
        <w:rPr>
          <w:rFonts w:hint="eastAsia" w:ascii="仿宋" w:hAnsi="仿宋" w:eastAsia="仿宋" w:cs="仿宋"/>
          <w:color w:val="auto"/>
          <w:sz w:val="32"/>
          <w:szCs w:val="32"/>
          <w:lang w:eastAsia="zh-CN"/>
        </w:rPr>
        <w:t>：通过购买食堂餐饮服务，确保食堂就餐质量及环境得到进一步提升，保障了就餐人员饭菜质量。</w:t>
      </w:r>
      <w:r>
        <w:rPr>
          <w:rFonts w:hint="eastAsia" w:ascii="仿宋" w:hAnsi="仿宋" w:eastAsia="仿宋" w:cs="仿宋"/>
          <w:color w:val="auto"/>
          <w:sz w:val="32"/>
          <w:szCs w:val="32"/>
        </w:rPr>
        <w:t>绩效指标为</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个，评价等级为优。</w:t>
      </w:r>
    </w:p>
    <w:p>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（9）食堂运行维护费项目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资金支出进度：该</w:t>
      </w:r>
      <w:r>
        <w:rPr>
          <w:rFonts w:hint="eastAsia" w:ascii="仿宋" w:hAnsi="仿宋" w:eastAsia="仿宋" w:cs="仿宋"/>
          <w:color w:val="auto"/>
          <w:sz w:val="32"/>
          <w:szCs w:val="32"/>
        </w:rPr>
        <w:t>项目预算数是</w:t>
      </w:r>
      <w:r>
        <w:rPr>
          <w:rFonts w:hint="eastAsia" w:ascii="仿宋" w:hAnsi="仿宋" w:eastAsia="仿宋" w:cs="仿宋"/>
          <w:color w:val="auto"/>
          <w:sz w:val="32"/>
          <w:szCs w:val="32"/>
          <w:lang w:val="en-US" w:eastAsia="zh-CN"/>
        </w:rPr>
        <w:t>54.3</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cs="仿宋"/>
          <w:color w:val="auto"/>
          <w:sz w:val="32"/>
          <w:szCs w:val="32"/>
          <w:lang w:val="en-US" w:eastAsia="zh-CN"/>
        </w:rPr>
        <w:t>27.64</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67%。</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产出指标和效果指标完成情况</w:t>
      </w:r>
      <w:r>
        <w:rPr>
          <w:rFonts w:hint="eastAsia" w:ascii="仿宋" w:hAnsi="仿宋" w:eastAsia="仿宋" w:cs="仿宋"/>
          <w:color w:val="auto"/>
          <w:sz w:val="32"/>
          <w:szCs w:val="32"/>
          <w:lang w:eastAsia="zh-CN"/>
        </w:rPr>
        <w:t>：</w:t>
      </w:r>
      <w:r>
        <w:rPr>
          <w:rFonts w:hint="eastAsia" w:ascii="仿宋" w:hAnsi="仿宋" w:eastAsia="仿宋"/>
          <w:sz w:val="32"/>
          <w:szCs w:val="32"/>
          <w:lang w:eastAsia="zh-CN"/>
        </w:rPr>
        <w:t>通过购买优质食材、定期更新食谱，提高就餐质量，确保食堂正常运行，就餐人员满意，不断学习接待服务质量，不定时更新饭菜品种，确保餐饮质量不断提升。</w:t>
      </w:r>
      <w:r>
        <w:rPr>
          <w:rFonts w:hint="eastAsia" w:ascii="仿宋" w:hAnsi="仿宋" w:eastAsia="仿宋" w:cs="仿宋"/>
          <w:color w:val="auto"/>
          <w:sz w:val="32"/>
          <w:szCs w:val="32"/>
        </w:rPr>
        <w:t>绩效指标为</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个，评价等级为</w:t>
      </w:r>
      <w:r>
        <w:rPr>
          <w:rFonts w:hint="eastAsia" w:ascii="仿宋" w:hAnsi="仿宋" w:eastAsia="仿宋" w:cs="仿宋"/>
          <w:color w:val="auto"/>
          <w:sz w:val="32"/>
          <w:szCs w:val="32"/>
          <w:lang w:eastAsia="zh-CN"/>
        </w:rPr>
        <w:t>良好</w:t>
      </w:r>
      <w:r>
        <w:rPr>
          <w:rFonts w:hint="eastAsia" w:ascii="仿宋" w:hAnsi="仿宋" w:eastAsia="仿宋" w:cs="仿宋"/>
          <w:color w:val="auto"/>
          <w:sz w:val="32"/>
          <w:szCs w:val="32"/>
        </w:rPr>
        <w:t>。</w:t>
      </w:r>
    </w:p>
    <w:p>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10</w:t>
      </w:r>
      <w:r>
        <w:rPr>
          <w:rFonts w:hint="eastAsia" w:ascii="仿宋" w:hAnsi="仿宋" w:eastAsia="仿宋" w:cs="仿宋"/>
          <w:color w:val="auto"/>
          <w:sz w:val="32"/>
          <w:szCs w:val="32"/>
          <w:lang w:eastAsia="zh-CN"/>
        </w:rPr>
        <w:t>）水</w:t>
      </w:r>
      <w:r>
        <w:rPr>
          <w:rFonts w:hint="eastAsia" w:ascii="仿宋" w:hAnsi="仿宋" w:eastAsia="仿宋" w:cs="仿宋"/>
          <w:color w:val="auto"/>
          <w:sz w:val="32"/>
          <w:szCs w:val="32"/>
          <w:lang w:val="en-US" w:eastAsia="zh-CN"/>
        </w:rPr>
        <w:t>电费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资金支出进度：该</w:t>
      </w:r>
      <w:r>
        <w:rPr>
          <w:rFonts w:hint="eastAsia" w:ascii="仿宋" w:hAnsi="仿宋" w:eastAsia="仿宋" w:cs="仿宋"/>
          <w:color w:val="auto"/>
          <w:sz w:val="32"/>
          <w:szCs w:val="32"/>
        </w:rPr>
        <w:t>项目预算数是</w:t>
      </w:r>
      <w:r>
        <w:rPr>
          <w:rFonts w:hint="eastAsia" w:ascii="仿宋" w:hAnsi="仿宋" w:eastAsia="仿宋" w:cs="仿宋"/>
          <w:color w:val="auto"/>
          <w:sz w:val="32"/>
          <w:szCs w:val="32"/>
          <w:lang w:val="en-US" w:eastAsia="zh-CN"/>
        </w:rPr>
        <w:t>240</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cs="仿宋"/>
          <w:color w:val="auto"/>
          <w:sz w:val="32"/>
          <w:szCs w:val="32"/>
          <w:lang w:val="en-US" w:eastAsia="zh-CN"/>
        </w:rPr>
        <w:t>222</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92.5%。</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产出指标和效果指标完成情况</w:t>
      </w:r>
      <w:r>
        <w:rPr>
          <w:rFonts w:hint="eastAsia" w:ascii="仿宋" w:hAnsi="仿宋" w:eastAsia="仿宋" w:cs="仿宋"/>
          <w:color w:val="auto"/>
          <w:sz w:val="32"/>
          <w:szCs w:val="32"/>
          <w:lang w:eastAsia="zh-CN"/>
        </w:rPr>
        <w:t>：</w:t>
      </w:r>
      <w:r>
        <w:rPr>
          <w:rFonts w:hint="eastAsia" w:ascii="仿宋" w:hAnsi="仿宋" w:eastAsia="仿宋"/>
          <w:sz w:val="32"/>
          <w:szCs w:val="32"/>
          <w:lang w:eastAsia="zh-CN"/>
        </w:rPr>
        <w:t>保证行政大楼、区委东院、信访局院及会展中心用水电量。</w:t>
      </w:r>
      <w:r>
        <w:rPr>
          <w:rFonts w:hint="eastAsia" w:ascii="仿宋" w:hAnsi="仿宋" w:eastAsia="仿宋" w:cs="仿宋"/>
          <w:color w:val="auto"/>
          <w:sz w:val="32"/>
          <w:szCs w:val="32"/>
        </w:rPr>
        <w:t>绩效指标为</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个，评价等级为优。</w:t>
      </w:r>
    </w:p>
    <w:p>
      <w:pPr>
        <w:keepNext w:val="0"/>
        <w:keepLines w:val="0"/>
        <w:pageBreakBefore w:val="0"/>
        <w:widowControl w:val="0"/>
        <w:kinsoku/>
        <w:wordWrap/>
        <w:overflowPunct/>
        <w:topLinePunct w:val="0"/>
        <w:autoSpaceDE/>
        <w:autoSpaceDN/>
        <w:bidi w:val="0"/>
        <w:spacing w:line="560" w:lineRule="exact"/>
        <w:ind w:left="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（11）</w:t>
      </w:r>
      <w:r>
        <w:rPr>
          <w:rFonts w:ascii="仿宋" w:hAnsi="仿宋" w:eastAsia="仿宋" w:cs="仿宋"/>
          <w:color w:val="auto"/>
          <w:sz w:val="32"/>
          <w:szCs w:val="32"/>
          <w:lang w:val="en-US" w:eastAsia="zh-CN"/>
        </w:rPr>
        <w:t>文化中心音响设备更换</w:t>
      </w:r>
      <w:r>
        <w:rPr>
          <w:rFonts w:hint="eastAsia" w:ascii="仿宋" w:hAnsi="仿宋" w:eastAsia="仿宋" w:cs="仿宋"/>
          <w:color w:val="auto"/>
          <w:sz w:val="32"/>
          <w:szCs w:val="32"/>
          <w:lang w:val="en-US" w:eastAsia="zh-CN"/>
        </w:rPr>
        <w:t>项目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资金支出进度：该</w:t>
      </w:r>
      <w:r>
        <w:rPr>
          <w:rFonts w:hint="eastAsia" w:ascii="仿宋" w:hAnsi="仿宋" w:eastAsia="仿宋" w:cs="仿宋"/>
          <w:color w:val="auto"/>
          <w:sz w:val="32"/>
          <w:szCs w:val="32"/>
        </w:rPr>
        <w:t>项目预算数是</w:t>
      </w:r>
      <w:r>
        <w:rPr>
          <w:rFonts w:hint="eastAsia" w:ascii="仿宋" w:hAnsi="仿宋" w:eastAsia="仿宋" w:cs="仿宋"/>
          <w:color w:val="auto"/>
          <w:sz w:val="32"/>
          <w:szCs w:val="32"/>
          <w:lang w:val="en-US" w:eastAsia="zh-CN"/>
        </w:rPr>
        <w:t>40.56</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ascii="仿宋" w:hAnsi="仿宋" w:eastAsia="仿宋" w:cs="仿宋"/>
          <w:color w:val="auto"/>
          <w:sz w:val="32"/>
          <w:szCs w:val="32"/>
          <w:lang w:val="en-US" w:eastAsia="zh-CN"/>
        </w:rPr>
        <w:t>0</w:t>
      </w:r>
      <w:r>
        <w:rPr>
          <w:rFonts w:hint="eastAsia" w:ascii="仿宋" w:hAnsi="仿宋" w:eastAsia="仿宋" w:cs="仿宋"/>
          <w:color w:val="auto"/>
          <w:sz w:val="32"/>
          <w:szCs w:val="32"/>
        </w:rPr>
        <w:t>万元，总体支出进度为</w:t>
      </w:r>
      <w:r>
        <w:rPr>
          <w:rFonts w:ascii="仿宋" w:hAnsi="仿宋" w:eastAsia="仿宋" w:cs="仿宋"/>
          <w:color w:val="auto"/>
          <w:sz w:val="32"/>
          <w:szCs w:val="32"/>
          <w:lang w:val="en-US" w:eastAsia="zh-CN"/>
        </w:rPr>
        <w:t>0</w:t>
      </w:r>
      <w:r>
        <w:rPr>
          <w:rFonts w:hint="eastAsia" w:ascii="仿宋" w:hAnsi="仿宋" w:eastAsia="仿宋" w:cs="仿宋"/>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产出指标和效果指标完成情况</w:t>
      </w:r>
      <w:r>
        <w:rPr>
          <w:rFonts w:hint="eastAsia" w:ascii="仿宋" w:hAnsi="仿宋" w:eastAsia="仿宋" w:cs="仿宋"/>
          <w:color w:val="auto"/>
          <w:sz w:val="32"/>
          <w:szCs w:val="32"/>
          <w:lang w:eastAsia="zh-CN"/>
        </w:rPr>
        <w:t>：</w:t>
      </w:r>
      <w:r>
        <w:rPr>
          <w:rFonts w:ascii="仿宋_GB2312" w:hAnsi="仿宋_GB2312" w:eastAsia="仿宋_GB2312" w:cs="仿宋_GB2312"/>
          <w:sz w:val="32"/>
          <w:szCs w:val="32"/>
          <w:lang w:eastAsia="zh-CN"/>
        </w:rPr>
        <w:t>为进一步优化会议服务，需将音响</w:t>
      </w:r>
      <w:r>
        <w:rPr>
          <w:rFonts w:hint="eastAsia" w:ascii="仿宋" w:hAnsi="仿宋" w:eastAsia="仿宋" w:cs="仿宋"/>
          <w:color w:val="auto"/>
          <w:sz w:val="32"/>
          <w:szCs w:val="32"/>
          <w:lang w:eastAsia="zh-CN"/>
        </w:rPr>
        <w:t>设备进行采购。</w:t>
      </w:r>
      <w:r>
        <w:rPr>
          <w:rFonts w:hint="eastAsia" w:ascii="仿宋" w:hAnsi="仿宋" w:eastAsia="仿宋" w:cs="仿宋"/>
          <w:color w:val="auto"/>
          <w:sz w:val="32"/>
          <w:szCs w:val="32"/>
        </w:rPr>
        <w:t>绩效指标为</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个，评价等级为</w:t>
      </w:r>
      <w:r>
        <w:rPr>
          <w:rFonts w:hint="eastAsia" w:ascii="仿宋" w:hAnsi="仿宋" w:eastAsia="仿宋" w:cs="仿宋"/>
          <w:color w:val="auto"/>
          <w:sz w:val="32"/>
          <w:szCs w:val="32"/>
          <w:lang w:eastAsia="zh-CN"/>
        </w:rPr>
        <w:t>一般</w:t>
      </w:r>
      <w:r>
        <w:rPr>
          <w:rFonts w:hint="eastAsia" w:ascii="仿宋" w:hAnsi="仿宋" w:eastAsia="仿宋" w:cs="仿宋"/>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12</w:t>
      </w:r>
      <w:r>
        <w:rPr>
          <w:rFonts w:hint="eastAsia" w:ascii="仿宋" w:hAnsi="仿宋" w:eastAsia="仿宋" w:cs="仿宋"/>
          <w:color w:val="auto"/>
          <w:sz w:val="32"/>
          <w:szCs w:val="32"/>
          <w:lang w:eastAsia="zh-CN"/>
        </w:rPr>
        <w:t>）应急基础设施项目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资金支出进度：该</w:t>
      </w:r>
      <w:r>
        <w:rPr>
          <w:rFonts w:hint="eastAsia" w:ascii="仿宋" w:hAnsi="仿宋" w:eastAsia="仿宋" w:cs="仿宋"/>
          <w:color w:val="auto"/>
          <w:sz w:val="32"/>
          <w:szCs w:val="32"/>
        </w:rPr>
        <w:t>项目预算数是</w:t>
      </w:r>
      <w:r>
        <w:rPr>
          <w:rFonts w:hint="eastAsia" w:ascii="仿宋" w:hAnsi="仿宋" w:eastAsia="仿宋" w:cs="仿宋"/>
          <w:color w:val="auto"/>
          <w:sz w:val="32"/>
          <w:szCs w:val="32"/>
          <w:lang w:val="en-US" w:eastAsia="zh-CN"/>
        </w:rPr>
        <w:t>6.99</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cs="仿宋"/>
          <w:color w:val="auto"/>
          <w:sz w:val="32"/>
          <w:szCs w:val="32"/>
          <w:lang w:val="en-US" w:eastAsia="zh-CN"/>
        </w:rPr>
        <w:t>6.99</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产出指标和效果指标完成情况</w:t>
      </w:r>
      <w:r>
        <w:rPr>
          <w:rFonts w:hint="eastAsia" w:ascii="仿宋" w:hAnsi="仿宋" w:eastAsia="仿宋" w:cs="仿宋"/>
          <w:color w:val="auto"/>
          <w:sz w:val="32"/>
          <w:szCs w:val="32"/>
          <w:lang w:eastAsia="zh-CN"/>
        </w:rPr>
        <w:t>：</w:t>
      </w:r>
      <w:r>
        <w:rPr>
          <w:rFonts w:hint="eastAsia" w:ascii="仿宋" w:hAnsi="仿宋" w:eastAsia="仿宋"/>
          <w:sz w:val="32"/>
          <w:szCs w:val="32"/>
          <w:lang w:eastAsia="zh-CN"/>
        </w:rPr>
        <w:t>及时支付以前年度项目款项，维护政府公信力。</w:t>
      </w:r>
      <w:r>
        <w:rPr>
          <w:rFonts w:hint="eastAsia" w:ascii="仿宋" w:hAnsi="仿宋" w:eastAsia="仿宋" w:cs="仿宋"/>
          <w:color w:val="auto"/>
          <w:sz w:val="32"/>
          <w:szCs w:val="32"/>
        </w:rPr>
        <w:t>绩效指标为</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个，评价等级为优。</w:t>
      </w:r>
    </w:p>
    <w:p>
      <w:pPr>
        <w:keepNext w:val="0"/>
        <w:keepLines w:val="0"/>
        <w:pageBreakBefore w:val="0"/>
        <w:widowControl w:val="0"/>
        <w:kinsoku/>
        <w:wordWrap/>
        <w:overflowPunct/>
        <w:topLinePunct w:val="0"/>
        <w:autoSpaceDE/>
        <w:autoSpaceDN/>
        <w:bidi w:val="0"/>
        <w:spacing w:line="560" w:lineRule="exact"/>
        <w:ind w:left="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13</w:t>
      </w:r>
      <w:r>
        <w:rPr>
          <w:rFonts w:hint="eastAsia" w:ascii="仿宋" w:hAnsi="仿宋" w:eastAsia="仿宋" w:cs="仿宋"/>
          <w:color w:val="auto"/>
          <w:sz w:val="32"/>
          <w:szCs w:val="32"/>
          <w:lang w:eastAsia="zh-CN"/>
        </w:rPr>
        <w:t>）</w:t>
      </w:r>
      <w:r>
        <w:rPr>
          <w:rFonts w:hint="eastAsia" w:ascii="仿宋" w:hAnsi="仿宋" w:eastAsia="仿宋"/>
          <w:sz w:val="32"/>
          <w:szCs w:val="32"/>
          <w:lang w:eastAsia="zh-CN"/>
        </w:rPr>
        <w:t>综合办公楼运行维护费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cs="仿宋"/>
          <w:color w:val="auto"/>
          <w:sz w:val="32"/>
          <w:szCs w:val="32"/>
        </w:rPr>
      </w:pPr>
      <w:r>
        <w:rPr>
          <w:rFonts w:hint="eastAsia" w:ascii="仿宋" w:hAnsi="仿宋" w:eastAsia="仿宋" w:cs="仿宋"/>
          <w:color w:val="auto"/>
          <w:sz w:val="32"/>
          <w:szCs w:val="32"/>
          <w:lang w:val="en-US" w:eastAsia="zh-CN"/>
        </w:rPr>
        <w:t>资金支出进度：该</w:t>
      </w:r>
      <w:r>
        <w:rPr>
          <w:rFonts w:hint="eastAsia" w:ascii="仿宋" w:hAnsi="仿宋" w:eastAsia="仿宋" w:cs="仿宋"/>
          <w:color w:val="auto"/>
          <w:sz w:val="32"/>
          <w:szCs w:val="32"/>
        </w:rPr>
        <w:t>项目预算数是</w:t>
      </w:r>
      <w:r>
        <w:rPr>
          <w:rFonts w:hint="eastAsia" w:ascii="仿宋" w:hAnsi="仿宋" w:eastAsia="仿宋" w:cs="仿宋"/>
          <w:color w:val="auto"/>
          <w:sz w:val="32"/>
          <w:szCs w:val="32"/>
          <w:lang w:val="en-US" w:eastAsia="zh-CN"/>
        </w:rPr>
        <w:t>290</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cs="仿宋"/>
          <w:color w:val="auto"/>
          <w:sz w:val="32"/>
          <w:szCs w:val="32"/>
          <w:lang w:val="en-US" w:eastAsia="zh-CN"/>
        </w:rPr>
        <w:t>141.1</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49%。</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rPr>
        <w:t>产出指标和效果指标完成情况</w:t>
      </w:r>
      <w:r>
        <w:rPr>
          <w:rFonts w:hint="eastAsia" w:ascii="仿宋" w:hAnsi="仿宋" w:eastAsia="仿宋" w:cs="仿宋"/>
          <w:color w:val="auto"/>
          <w:sz w:val="32"/>
          <w:szCs w:val="32"/>
          <w:lang w:eastAsia="zh-CN"/>
        </w:rPr>
        <w:t>：</w:t>
      </w:r>
      <w:r>
        <w:rPr>
          <w:rFonts w:hint="eastAsia" w:ascii="仿宋" w:hAnsi="仿宋" w:eastAsia="仿宋"/>
          <w:sz w:val="32"/>
          <w:szCs w:val="32"/>
          <w:lang w:eastAsia="zh-CN"/>
        </w:rPr>
        <w:t>坚持每日巡视巡检，及时维修公共区域设备设施，发现隐患，及时处理，保证行政大楼安全稳定运行。</w:t>
      </w:r>
      <w:r>
        <w:rPr>
          <w:rFonts w:hint="eastAsia" w:ascii="仿宋" w:hAnsi="仿宋" w:eastAsia="仿宋" w:cs="仿宋"/>
          <w:color w:val="auto"/>
          <w:sz w:val="32"/>
          <w:szCs w:val="32"/>
        </w:rPr>
        <w:t>绩效指标为</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个，评价等级为优。</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keepNext w:val="0"/>
        <w:keepLines w:val="0"/>
        <w:pageBreakBefore w:val="0"/>
        <w:widowControl w:val="0"/>
        <w:kinsoku/>
        <w:wordWrap/>
        <w:overflowPunct/>
        <w:topLinePunct w:val="0"/>
        <w:autoSpaceDE/>
        <w:autoSpaceDN/>
        <w:bidi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1、对绩效编制方法还缺乏有效地论证，绩效目标还需进一步细化和量化；</w:t>
      </w:r>
    </w:p>
    <w:p>
      <w:pPr>
        <w:spacing w:line="560" w:lineRule="exact"/>
        <w:ind w:firstLine="640" w:firstLineChars="200"/>
        <w:rPr>
          <w:rFonts w:hint="eastAsia" w:ascii="楷体" w:hAnsi="楷体" w:eastAsia="楷体"/>
          <w:bCs/>
          <w:sz w:val="32"/>
          <w:szCs w:val="32"/>
        </w:rPr>
      </w:pPr>
      <w:r>
        <w:rPr>
          <w:rFonts w:hint="eastAsia" w:ascii="仿宋" w:hAnsi="仿宋" w:eastAsia="仿宋"/>
          <w:sz w:val="32"/>
          <w:szCs w:val="32"/>
          <w:lang w:val="en-US" w:eastAsia="zh-CN"/>
        </w:rPr>
        <w:t>2、绩效评价考核机制还需进一步完善，业务科室应及时细化、量化全年工作计划，进一步规范绩效指标的编制。</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pPr>
        <w:keepNext w:val="0"/>
        <w:keepLines w:val="0"/>
        <w:pageBreakBefore w:val="0"/>
        <w:widowControl w:val="0"/>
        <w:kinsoku/>
        <w:wordWrap/>
        <w:overflowPunct/>
        <w:topLinePunct w:val="0"/>
        <w:autoSpaceDE/>
        <w:autoSpaceDN/>
        <w:bidi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1.进一步健全和完善财务管理制度及内部控制制度，用新思路、新方法开展工作。</w:t>
      </w:r>
    </w:p>
    <w:p>
      <w:pPr>
        <w:keepNext w:val="0"/>
        <w:keepLines w:val="0"/>
        <w:pageBreakBefore w:val="0"/>
        <w:widowControl w:val="0"/>
        <w:kinsoku/>
        <w:wordWrap/>
        <w:overflowPunct/>
        <w:topLinePunct w:val="0"/>
        <w:autoSpaceDE/>
        <w:autoSpaceDN/>
        <w:bidi w:val="0"/>
        <w:spacing w:line="560" w:lineRule="exact"/>
        <w:ind w:left="0" w:right="0" w:firstLine="640" w:firstLineChars="200"/>
        <w:textAlignment w:val="auto"/>
        <w:outlineLvl w:val="9"/>
        <w:rPr>
          <w:rFonts w:hint="eastAsia" w:ascii="楷体" w:hAnsi="楷体" w:eastAsia="楷体"/>
          <w:bCs/>
          <w:sz w:val="32"/>
          <w:szCs w:val="32"/>
        </w:rPr>
      </w:pPr>
      <w:r>
        <w:rPr>
          <w:rFonts w:hint="eastAsia" w:ascii="仿宋" w:hAnsi="仿宋" w:eastAsia="仿宋"/>
          <w:sz w:val="32"/>
          <w:szCs w:val="32"/>
          <w:lang w:val="en-US" w:eastAsia="zh-CN"/>
        </w:rPr>
        <w:t>2、按照财政支出绩效管理的要求，建立科学的财政资金效益考评制度体系，不断提高财政资金使用管理的水平和绩效管理水平。</w:t>
      </w:r>
    </w:p>
    <w:p>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六、评价工作</w:t>
      </w:r>
      <w:bookmarkStart w:id="0" w:name="_GoBack"/>
      <w:bookmarkEnd w:id="0"/>
      <w:r>
        <w:rPr>
          <w:rFonts w:hint="eastAsia" w:ascii="黑体" w:hAnsi="黑体" w:eastAsia="黑体"/>
          <w:sz w:val="32"/>
          <w:szCs w:val="32"/>
        </w:rPr>
        <w:t>组人员名单及签字（姓名、工作单位、职务、职称）</w:t>
      </w:r>
    </w:p>
    <w:tbl>
      <w:tblPr>
        <w:tblStyle w:val="10"/>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8"/>
        <w:gridCol w:w="2766"/>
        <w:gridCol w:w="1858"/>
        <w:gridCol w:w="1858"/>
        <w:gridCol w:w="18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jc w:val="center"/>
        </w:trPr>
        <w:tc>
          <w:tcPr>
            <w:tcW w:w="948" w:type="dxa"/>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序号</w:t>
            </w:r>
          </w:p>
        </w:tc>
        <w:tc>
          <w:tcPr>
            <w:tcW w:w="2766" w:type="dxa"/>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工作单位</w:t>
            </w:r>
          </w:p>
        </w:tc>
        <w:tc>
          <w:tcPr>
            <w:tcW w:w="1858" w:type="dxa"/>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姓名</w:t>
            </w:r>
          </w:p>
        </w:tc>
        <w:tc>
          <w:tcPr>
            <w:tcW w:w="1858" w:type="dxa"/>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职务</w:t>
            </w:r>
          </w:p>
        </w:tc>
        <w:tc>
          <w:tcPr>
            <w:tcW w:w="1858" w:type="dxa"/>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48"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1</w:t>
            </w:r>
          </w:p>
        </w:tc>
        <w:tc>
          <w:tcPr>
            <w:tcW w:w="2766"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机关后勤服务中心</w:t>
            </w:r>
          </w:p>
        </w:tc>
        <w:tc>
          <w:tcPr>
            <w:tcW w:w="1858"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苏亚丽</w:t>
            </w:r>
          </w:p>
        </w:tc>
        <w:tc>
          <w:tcPr>
            <w:tcW w:w="1858"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负责人</w:t>
            </w:r>
          </w:p>
        </w:tc>
        <w:tc>
          <w:tcPr>
            <w:tcW w:w="1858"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48"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2</w:t>
            </w:r>
          </w:p>
        </w:tc>
        <w:tc>
          <w:tcPr>
            <w:tcW w:w="2766" w:type="dxa"/>
            <w:tcBorders>
              <w:top w:val="single" w:color="auto" w:sz="4" w:space="0"/>
              <w:left w:val="single" w:color="auto" w:sz="4" w:space="0"/>
              <w:right w:val="single" w:color="auto" w:sz="4" w:space="0"/>
            </w:tcBorders>
            <w:textDirection w:val="lrTb"/>
            <w:vAlign w:val="center"/>
          </w:tcPr>
          <w:p>
            <w:pPr>
              <w:widowControl w:val="0"/>
              <w:wordWrap/>
              <w:spacing w:line="560" w:lineRule="exact"/>
              <w:ind w:right="0" w:rightChars="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机关后勤服务中心</w:t>
            </w:r>
          </w:p>
        </w:tc>
        <w:tc>
          <w:tcPr>
            <w:tcW w:w="1858" w:type="dxa"/>
            <w:tcBorders>
              <w:top w:val="single" w:color="auto" w:sz="4" w:space="0"/>
              <w:left w:val="single" w:color="auto" w:sz="4" w:space="0"/>
              <w:right w:val="single" w:color="auto" w:sz="4" w:space="0"/>
            </w:tcBorders>
            <w:textDirection w:val="lrTb"/>
            <w:vAlign w:val="center"/>
          </w:tcPr>
          <w:p>
            <w:pPr>
              <w:widowControl w:val="0"/>
              <w:wordWrap/>
              <w:spacing w:line="560" w:lineRule="exact"/>
              <w:ind w:right="0" w:rightChars="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屈雪松</w:t>
            </w:r>
          </w:p>
        </w:tc>
        <w:tc>
          <w:tcPr>
            <w:tcW w:w="1858" w:type="dxa"/>
            <w:tcBorders>
              <w:top w:val="single" w:color="auto" w:sz="4" w:space="0"/>
              <w:left w:val="single" w:color="auto" w:sz="4" w:space="0"/>
              <w:right w:val="single" w:color="auto" w:sz="4" w:space="0"/>
            </w:tcBorders>
            <w:textDirection w:val="lrTb"/>
            <w:vAlign w:val="center"/>
          </w:tcPr>
          <w:p>
            <w:pPr>
              <w:widowControl w:val="0"/>
              <w:wordWrap/>
              <w:spacing w:line="560" w:lineRule="exact"/>
              <w:ind w:right="0" w:rightChars="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副主任</w:t>
            </w:r>
          </w:p>
        </w:tc>
        <w:tc>
          <w:tcPr>
            <w:tcW w:w="1858" w:type="dxa"/>
            <w:tcBorders>
              <w:top w:val="single" w:color="auto" w:sz="4" w:space="0"/>
              <w:left w:val="single" w:color="auto" w:sz="4" w:space="0"/>
              <w:right w:val="single" w:color="auto" w:sz="4" w:space="0"/>
            </w:tcBorders>
            <w:textDirection w:val="lrTb"/>
            <w:vAlign w:val="center"/>
          </w:tcPr>
          <w:p>
            <w:pPr>
              <w:widowControl w:val="0"/>
              <w:wordWrap/>
              <w:spacing w:line="560" w:lineRule="exact"/>
              <w:ind w:right="0" w:rightChars="0"/>
              <w:jc w:val="center"/>
              <w:textAlignment w:val="auto"/>
              <w:outlineLvl w:val="9"/>
              <w:rPr>
                <w:rFonts w:hint="eastAsia" w:ascii="仿宋_GB2312" w:hAnsi="仿宋_GB2312" w:eastAsia="仿宋_GB2312" w:cs="仿宋_GB2312"/>
                <w:sz w:val="30"/>
                <w:szCs w:val="30"/>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48"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3</w:t>
            </w:r>
          </w:p>
        </w:tc>
        <w:tc>
          <w:tcPr>
            <w:tcW w:w="2766"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机关后勤服务中心</w:t>
            </w:r>
          </w:p>
        </w:tc>
        <w:tc>
          <w:tcPr>
            <w:tcW w:w="1858"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李国娟</w:t>
            </w:r>
          </w:p>
        </w:tc>
        <w:tc>
          <w:tcPr>
            <w:tcW w:w="1858"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保卫股股长</w:t>
            </w:r>
          </w:p>
        </w:tc>
        <w:tc>
          <w:tcPr>
            <w:tcW w:w="1858" w:type="dxa"/>
            <w:tcBorders>
              <w:top w:val="single" w:color="auto" w:sz="4" w:space="0"/>
              <w:left w:val="single" w:color="auto" w:sz="4" w:space="0"/>
              <w:right w:val="single" w:color="auto" w:sz="4" w:space="0"/>
            </w:tcBorders>
            <w:textDirection w:val="lrTb"/>
            <w:vAlign w:val="center"/>
          </w:tcPr>
          <w:p>
            <w:pPr>
              <w:widowControl w:val="0"/>
              <w:wordWrap/>
              <w:spacing w:line="560" w:lineRule="exact"/>
              <w:ind w:right="0" w:rightChars="0"/>
              <w:jc w:val="center"/>
              <w:textAlignment w:val="auto"/>
              <w:outlineLvl w:val="9"/>
              <w:rPr>
                <w:rFonts w:hint="eastAsia" w:ascii="仿宋_GB2312" w:hAnsi="仿宋_GB2312" w:eastAsia="仿宋_GB2312" w:cs="仿宋_GB2312"/>
                <w:sz w:val="30"/>
                <w:szCs w:val="30"/>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48"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4</w:t>
            </w:r>
          </w:p>
        </w:tc>
        <w:tc>
          <w:tcPr>
            <w:tcW w:w="2766"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机关后勤服务中心</w:t>
            </w:r>
          </w:p>
        </w:tc>
        <w:tc>
          <w:tcPr>
            <w:tcW w:w="1858"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霍小龙</w:t>
            </w:r>
          </w:p>
        </w:tc>
        <w:tc>
          <w:tcPr>
            <w:tcW w:w="1858"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办公室主任</w:t>
            </w:r>
          </w:p>
        </w:tc>
        <w:tc>
          <w:tcPr>
            <w:tcW w:w="1858" w:type="dxa"/>
            <w:tcBorders>
              <w:top w:val="single" w:color="auto" w:sz="4" w:space="0"/>
              <w:left w:val="single" w:color="auto" w:sz="4" w:space="0"/>
              <w:right w:val="single" w:color="auto" w:sz="4" w:space="0"/>
            </w:tcBorders>
            <w:textDirection w:val="lrTb"/>
            <w:vAlign w:val="center"/>
          </w:tcPr>
          <w:p>
            <w:pPr>
              <w:widowControl w:val="0"/>
              <w:wordWrap/>
              <w:spacing w:line="560" w:lineRule="exact"/>
              <w:ind w:right="0" w:rightChars="0"/>
              <w:jc w:val="center"/>
              <w:textAlignment w:val="auto"/>
              <w:outlineLvl w:val="9"/>
              <w:rPr>
                <w:rFonts w:hint="eastAsia" w:ascii="仿宋_GB2312" w:hAnsi="仿宋_GB2312" w:eastAsia="仿宋_GB2312" w:cs="仿宋_GB2312"/>
                <w:sz w:val="30"/>
                <w:szCs w:val="30"/>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48"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5</w:t>
            </w:r>
          </w:p>
        </w:tc>
        <w:tc>
          <w:tcPr>
            <w:tcW w:w="2766"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机关后勤服务中心</w:t>
            </w:r>
          </w:p>
        </w:tc>
        <w:tc>
          <w:tcPr>
            <w:tcW w:w="1858"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梁</w:t>
            </w:r>
            <w:r>
              <w:rPr>
                <w:rFonts w:hint="eastAsia" w:ascii="仿宋_GB2312" w:hAnsi="仿宋_GB2312" w:eastAsia="仿宋_GB2312" w:cs="仿宋_GB2312"/>
                <w:sz w:val="30"/>
                <w:szCs w:val="30"/>
                <w:vertAlign w:val="baseline"/>
                <w:lang w:val="en-US" w:eastAsia="zh-CN"/>
              </w:rPr>
              <w:t xml:space="preserve">  </w:t>
            </w:r>
            <w:r>
              <w:rPr>
                <w:rFonts w:hint="eastAsia" w:ascii="仿宋_GB2312" w:hAnsi="仿宋_GB2312" w:eastAsia="仿宋_GB2312" w:cs="仿宋_GB2312"/>
                <w:sz w:val="30"/>
                <w:szCs w:val="30"/>
                <w:vertAlign w:val="baseline"/>
                <w:lang w:eastAsia="zh-CN"/>
              </w:rPr>
              <w:t>然</w:t>
            </w:r>
          </w:p>
        </w:tc>
        <w:tc>
          <w:tcPr>
            <w:tcW w:w="1858"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保洁股股长</w:t>
            </w:r>
          </w:p>
        </w:tc>
        <w:tc>
          <w:tcPr>
            <w:tcW w:w="1858" w:type="dxa"/>
            <w:tcBorders>
              <w:top w:val="single" w:color="auto" w:sz="4" w:space="0"/>
              <w:left w:val="single" w:color="auto" w:sz="4" w:space="0"/>
              <w:right w:val="single" w:color="auto" w:sz="4" w:space="0"/>
            </w:tcBorders>
            <w:textDirection w:val="lrTb"/>
            <w:vAlign w:val="center"/>
          </w:tcPr>
          <w:p>
            <w:pPr>
              <w:widowControl w:val="0"/>
              <w:wordWrap/>
              <w:spacing w:line="560" w:lineRule="exact"/>
              <w:ind w:right="0" w:rightChars="0"/>
              <w:jc w:val="center"/>
              <w:textAlignment w:val="auto"/>
              <w:outlineLvl w:val="9"/>
              <w:rPr>
                <w:rFonts w:hint="eastAsia" w:ascii="仿宋_GB2312" w:hAnsi="仿宋_GB2312" w:eastAsia="仿宋_GB2312" w:cs="仿宋_GB2312"/>
                <w:sz w:val="30"/>
                <w:szCs w:val="30"/>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48"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6</w:t>
            </w:r>
          </w:p>
        </w:tc>
        <w:tc>
          <w:tcPr>
            <w:tcW w:w="2766"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机关后勤服务中心</w:t>
            </w:r>
          </w:p>
        </w:tc>
        <w:tc>
          <w:tcPr>
            <w:tcW w:w="1858"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hint="eastAsia" w:ascii="仿宋_GB2312" w:hAnsi="仿宋_GB2312" w:eastAsia="仿宋_GB2312" w:cs="仿宋_GB2312"/>
                <w:sz w:val="30"/>
                <w:szCs w:val="30"/>
                <w:vertAlign w:val="baseline"/>
                <w:lang w:eastAsia="zh-CN"/>
              </w:rPr>
              <w:t>乔明智</w:t>
            </w:r>
          </w:p>
        </w:tc>
        <w:tc>
          <w:tcPr>
            <w:tcW w:w="1858" w:type="dxa"/>
            <w:tcBorders>
              <w:top w:val="single" w:color="auto" w:sz="4" w:space="0"/>
              <w:left w:val="single" w:color="auto" w:sz="4" w:space="0"/>
              <w:right w:val="single" w:color="auto" w:sz="4" w:space="0"/>
            </w:tcBorders>
            <w:vAlign w:val="center"/>
          </w:tcPr>
          <w:p>
            <w:pPr>
              <w:widowControl w:val="0"/>
              <w:wordWrap/>
              <w:spacing w:line="560" w:lineRule="exact"/>
              <w:ind w:right="0"/>
              <w:jc w:val="center"/>
              <w:textAlignment w:val="auto"/>
              <w:outlineLvl w:val="9"/>
              <w:rPr>
                <w:rFonts w:hint="eastAsia" w:ascii="仿宋_GB2312" w:hAnsi="仿宋_GB2312" w:eastAsia="仿宋_GB2312" w:cs="仿宋_GB2312"/>
                <w:sz w:val="30"/>
                <w:szCs w:val="30"/>
                <w:vertAlign w:val="baseline"/>
                <w:lang w:eastAsia="zh-CN"/>
              </w:rPr>
            </w:pPr>
            <w:r>
              <w:rPr>
                <w:rFonts w:ascii="仿宋_GB2312" w:hAnsi="仿宋_GB2312" w:eastAsia="仿宋_GB2312" w:cs="仿宋_GB2312"/>
                <w:sz w:val="30"/>
                <w:szCs w:val="30"/>
                <w:vertAlign w:val="baseline"/>
                <w:lang w:eastAsia="zh-CN"/>
              </w:rPr>
              <w:t>维修、</w:t>
            </w:r>
            <w:r>
              <w:rPr>
                <w:rFonts w:hint="eastAsia" w:ascii="仿宋_GB2312" w:hAnsi="仿宋_GB2312" w:eastAsia="仿宋_GB2312" w:cs="仿宋_GB2312"/>
                <w:sz w:val="30"/>
                <w:szCs w:val="30"/>
                <w:vertAlign w:val="baseline"/>
                <w:lang w:eastAsia="zh-CN"/>
              </w:rPr>
              <w:t>节能股股长</w:t>
            </w:r>
          </w:p>
        </w:tc>
        <w:tc>
          <w:tcPr>
            <w:tcW w:w="1858" w:type="dxa"/>
            <w:tcBorders>
              <w:top w:val="single" w:color="auto" w:sz="4" w:space="0"/>
              <w:left w:val="single" w:color="auto" w:sz="4" w:space="0"/>
              <w:right w:val="single" w:color="auto" w:sz="4" w:space="0"/>
            </w:tcBorders>
            <w:textDirection w:val="lrTb"/>
            <w:vAlign w:val="center"/>
          </w:tcPr>
          <w:p>
            <w:pPr>
              <w:widowControl w:val="0"/>
              <w:wordWrap/>
              <w:spacing w:line="560" w:lineRule="exact"/>
              <w:ind w:right="0" w:rightChars="0"/>
              <w:jc w:val="center"/>
              <w:textAlignment w:val="auto"/>
              <w:outlineLvl w:val="9"/>
              <w:rPr>
                <w:rFonts w:hint="eastAsia" w:ascii="仿宋_GB2312" w:hAnsi="仿宋_GB2312" w:eastAsia="仿宋_GB2312" w:cs="仿宋_GB2312"/>
                <w:sz w:val="30"/>
                <w:szCs w:val="30"/>
                <w:vertAlign w:val="baseline"/>
                <w:lang w:eastAsia="zh-CN"/>
              </w:rPr>
            </w:pPr>
          </w:p>
        </w:tc>
      </w:tr>
    </w:tbl>
    <w:p>
      <w:pPr>
        <w:adjustRightInd w:val="0"/>
        <w:snapToGrid w:val="0"/>
        <w:spacing w:line="560" w:lineRule="exact"/>
        <w:rPr>
          <w:rFonts w:hint="eastAsia" w:ascii="黑体" w:hAnsi="黑体" w:eastAsia="黑体"/>
          <w:sz w:val="32"/>
          <w:szCs w:val="32"/>
        </w:rPr>
      </w:pP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roman"/>
    <w:pitch w:val="default"/>
    <w:sig w:usb0="800002BF" w:usb1="38CF7CFA" w:usb2="00000016" w:usb3="00000000" w:csb0="00040001" w:csb1="00000000"/>
  </w:font>
  <w:font w:name="楷体">
    <w:panose1 w:val="02010609060101010101"/>
    <w:charset w:val="86"/>
    <w:family w:val="roma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仿宋_GBK">
    <w:panose1 w:val="02000000000000000000"/>
    <w:charset w:val="86"/>
    <w:family w:val="roman"/>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 w:name="Luxi Sans">
    <w:altName w:val="Times New Roman"/>
    <w:panose1 w:val="00000000000000000000"/>
    <w:charset w:val="00"/>
    <w:family w:val="auto"/>
    <w:pitch w:val="default"/>
    <w:sig w:usb0="00000000" w:usb1="00000000" w:usb2="00000000" w:usb3="00000000" w:csb0="00040001" w:csb1="00000000"/>
  </w:font>
  <w:font w:name="黑体">
    <w:panose1 w:val="02010609060101010101"/>
    <w:charset w:val="86"/>
    <w:family w:val="roman"/>
    <w:pitch w:val="default"/>
    <w:sig w:usb0="800002BF" w:usb1="38CF7CFA" w:usb2="00000016" w:usb3="00000000" w:csb0="00040001" w:csb1="00000000"/>
  </w:font>
  <w:font w:name="Arial">
    <w:panose1 w:val="020B0604020202020204"/>
    <w:charset w:val="00"/>
    <w:family w:val="modern"/>
    <w:pitch w:val="default"/>
    <w:sig w:usb0="E0002AFF" w:usb1="C0007843" w:usb2="00000009" w:usb3="00000000" w:csb0="400001FF" w:csb1="FFFF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roman"/>
    <w:pitch w:val="default"/>
    <w:sig w:usb0="00000001" w:usb1="080E0000" w:usb2="00000000" w:usb3="00000000" w:csb0="00040000" w:csb1="00000000"/>
  </w:font>
  <w:font w:name="楷体_GB2312">
    <w:altName w:val="楷体"/>
    <w:panose1 w:val="02010609030101010101"/>
    <w:charset w:val="86"/>
    <w:family w:val="roman"/>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仿宋_GBK">
    <w:panose1 w:val="02000000000000000000"/>
    <w:charset w:val="86"/>
    <w:family w:val="modern"/>
    <w:pitch w:val="default"/>
    <w:sig w:usb0="A00002BF" w:usb1="38CF7CFA" w:usb2="00082016" w:usb3="00000000" w:csb0="00040001" w:csb1="00000000"/>
  </w:font>
  <w:font w:name="黑体">
    <w:panose1 w:val="02010609060101010101"/>
    <w:charset w:val="86"/>
    <w:family w:val="modern"/>
    <w:pitch w:val="default"/>
    <w:sig w:usb0="800002BF" w:usb1="38CF7CFA" w:usb2="00000016" w:usb3="00000000" w:csb0="00040001" w:csb1="00000000"/>
  </w:font>
  <w:font w:name="Arial">
    <w:panose1 w:val="020B0604020202020204"/>
    <w:charset w:val="00"/>
    <w:family w:val="swiss"/>
    <w:pitch w:val="default"/>
    <w:sig w:usb0="E0002AFF" w:usb1="C0007843" w:usb2="00000009" w:usb3="00000000" w:csb0="400001FF" w:csb1="FFFF0000"/>
  </w:font>
  <w:font w:name="楷体_GB2312">
    <w:altName w:val="楷体"/>
    <w:panose1 w:val="02010609030101010101"/>
    <w:charset w:val="86"/>
    <w:family w:val="modern"/>
    <w:pitch w:val="default"/>
    <w:sig w:usb0="00000000" w:usb1="00000000" w:usb2="00000000" w:usb3="00000000" w:csb0="00040000" w:csb1="00000000"/>
  </w:font>
  <w:font w:name="仿宋_GB2312">
    <w:panose1 w:val="02010609030101010101"/>
    <w:charset w:val="86"/>
    <w:family w:val="swiss"/>
    <w:pitch w:val="default"/>
    <w:sig w:usb0="00000001" w:usb1="080E0000" w:usb2="00000000" w:usb3="00000000" w:csb0="00040000" w:csb1="00000000"/>
  </w:font>
  <w:font w:name="仿宋">
    <w:panose1 w:val="02010609060101010101"/>
    <w:charset w:val="86"/>
    <w:family w:val="swiss"/>
    <w:pitch w:val="default"/>
    <w:sig w:usb0="800002BF" w:usb1="38CF7CFA" w:usb2="00000016" w:usb3="00000000" w:csb0="00040001" w:csb1="00000000"/>
  </w:font>
  <w:font w:name="楷体">
    <w:panose1 w:val="02010609060101010101"/>
    <w:charset w:val="86"/>
    <w:family w:val="swiss"/>
    <w:pitch w:val="default"/>
    <w:sig w:usb0="800002BF" w:usb1="38CF7CFA" w:usb2="00000016" w:usb3="00000000" w:csb0="00040001" w:csb1="00000000"/>
  </w:font>
  <w:font w:name="方正仿宋_GBK">
    <w:panose1 w:val="02000000000000000000"/>
    <w:charset w:val="86"/>
    <w:family w:val="swiss"/>
    <w:pitch w:val="default"/>
    <w:sig w:usb0="A00002BF" w:usb1="38CF7CFA" w:usb2="00082016" w:usb3="00000000" w:csb0="00040001" w:csb1="00000000"/>
  </w:font>
  <w:font w:name="黑体">
    <w:panose1 w:val="02010609060101010101"/>
    <w:charset w:val="86"/>
    <w:family w:val="swiss"/>
    <w:pitch w:val="default"/>
    <w:sig w:usb0="800002BF" w:usb1="38CF7CFA" w:usb2="00000016" w:usb3="00000000" w:csb0="00040001" w:csb1="00000000"/>
  </w:font>
  <w:font w:name="Arial">
    <w:panose1 w:val="020B0604020202020204"/>
    <w:charset w:val="00"/>
    <w:family w:val="decorative"/>
    <w:pitch w:val="default"/>
    <w:sig w:usb0="E0002AFF" w:usb1="C0007843" w:usb2="00000009" w:usb3="00000000" w:csb0="400001FF" w:csb1="FFFF0000"/>
  </w:font>
  <w:font w:name="楷体_GB2312">
    <w:altName w:val="楷体"/>
    <w:panose1 w:val="02010609030101010101"/>
    <w:charset w:val="86"/>
    <w:family w:val="swiss"/>
    <w:pitch w:val="default"/>
    <w:sig w:usb0="00000000" w:usb1="0000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仿宋">
    <w:panose1 w:val="02010609060101010101"/>
    <w:charset w:val="86"/>
    <w:family w:val="decorative"/>
    <w:pitch w:val="default"/>
    <w:sig w:usb0="800002BF" w:usb1="38CF7CFA" w:usb2="00000016" w:usb3="00000000" w:csb0="00040001" w:csb1="00000000"/>
  </w:font>
  <w:font w:name="楷体">
    <w:panose1 w:val="02010609060101010101"/>
    <w:charset w:val="86"/>
    <w:family w:val="decorative"/>
    <w:pitch w:val="default"/>
    <w:sig w:usb0="800002BF" w:usb1="38CF7CFA" w:usb2="00000016" w:usb3="00000000" w:csb0="00040001" w:csb1="00000000"/>
  </w:font>
  <w:font w:name="方正仿宋_GBK">
    <w:panose1 w:val="02000000000000000000"/>
    <w:charset w:val="86"/>
    <w:family w:val="decorative"/>
    <w:pitch w:val="default"/>
    <w:sig w:usb0="A00002BF" w:usb1="38CF7CFA" w:usb2="00082016" w:usb3="00000000" w:csb0="00040001" w:csb1="00000000"/>
  </w:font>
  <w:font w:name="黑体">
    <w:panose1 w:val="02010609060101010101"/>
    <w:charset w:val="86"/>
    <w:family w:val="decorative"/>
    <w:pitch w:val="default"/>
    <w:sig w:usb0="800002BF" w:usb1="38CF7CFA" w:usb2="00000016" w:usb3="00000000" w:csb0="00040001" w:csb1="00000000"/>
  </w:font>
  <w:font w:name="Arial">
    <w:panose1 w:val="020B0604020202020204"/>
    <w:charset w:val="00"/>
    <w:family w:val="roman"/>
    <w:pitch w:val="default"/>
    <w:sig w:usb0="E0002AFF" w:usb1="C0007843" w:usb2="00000009" w:usb3="00000000" w:csb0="400001FF" w:csb1="FFFF0000"/>
  </w:font>
  <w:font w:name="楷体_GB2312">
    <w:altName w:val="楷体"/>
    <w:panose1 w:val="02010609030101010101"/>
    <w:charset w:val="86"/>
    <w:family w:val="decorative"/>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90805" distR="90805" simplePos="0" relativeHeight="102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102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1qUiZ0QAAAAMBAAAPAAAAAAAA&#10;AAEAIAAAACIAAABkcnMvZG93bnJldi54bWxQSwECFAAUAAAACACHTuJA8TEkzeABAACqAwAADgAA&#10;AAAAAAABACAAAAAgAQAAZHJzL2Uyb0RvYy54bWxQSwUGAAAAAAYABgBZAQAAcgUAAAAA&#10;">
              <v:fill on="f" focussize="0,0"/>
              <v:stroke on="f" joinstyle="miter"/>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387039990">
    <w:nsid w:val="1711C2F6"/>
    <w:multiLevelType w:val="singleLevel"/>
    <w:tmpl w:val="1711C2F6"/>
    <w:lvl w:ilvl="0" w:tentative="1">
      <w:start w:val="2"/>
      <w:numFmt w:val="decimal"/>
      <w:suff w:val="nothing"/>
      <w:lvlText w:val="（%1）"/>
      <w:lvlJc w:val="left"/>
      <w:pPr>
        <w:ind w:left="0" w:firstLine="0"/>
      </w:pPr>
    </w:lvl>
  </w:abstractNum>
  <w:abstractNum w:abstractNumId="1583892635">
    <w:nsid w:val="5E68489B"/>
    <w:multiLevelType w:val="singleLevel"/>
    <w:tmpl w:val="5E68489B"/>
    <w:lvl w:ilvl="0" w:tentative="1">
      <w:start w:val="1"/>
      <w:numFmt w:val="chineseCounting"/>
      <w:suff w:val="nothing"/>
      <w:lvlText w:val="（%1）"/>
      <w:lvlJc w:val="left"/>
      <w:pPr>
        <w:ind w:left="0" w:firstLine="0"/>
      </w:pPr>
      <w:rPr>
        <w:rFonts w:ascii="楷体" w:hAnsi="楷体" w:eastAsia="楷体"/>
      </w:rPr>
    </w:lvl>
  </w:abstractNum>
  <w:abstractNum w:abstractNumId="85371521">
    <w:nsid w:val="0516AA81"/>
    <w:multiLevelType w:val="singleLevel"/>
    <w:tmpl w:val="0516AA81"/>
    <w:lvl w:ilvl="0" w:tentative="1">
      <w:start w:val="2"/>
      <w:numFmt w:val="chineseCounting"/>
      <w:suff w:val="nothing"/>
      <w:lvlText w:val="（%1）"/>
      <w:lvlJc w:val="left"/>
      <w:pPr>
        <w:ind w:left="642" w:firstLine="0"/>
      </w:pPr>
      <w:rPr>
        <w:rFonts w:hint="eastAsia"/>
      </w:rPr>
    </w:lvl>
  </w:abstractNum>
  <w:abstractNum w:abstractNumId="1751958572">
    <w:nsid w:val="686CC42C"/>
    <w:multiLevelType w:val="singleLevel"/>
    <w:tmpl w:val="686CC42C"/>
    <w:lvl w:ilvl="0" w:tentative="1">
      <w:start w:val="7"/>
      <w:numFmt w:val="decimal"/>
      <w:suff w:val="nothing"/>
      <w:lvlText w:val="（%1）"/>
      <w:lvlJc w:val="left"/>
    </w:lvl>
  </w:abstractNum>
  <w:num w:numId="1">
    <w:abstractNumId w:val="85371521"/>
  </w:num>
  <w:num w:numId="2">
    <w:abstractNumId w:val="1583892635"/>
  </w:num>
  <w:num w:numId="3">
    <w:abstractNumId w:val="387039990"/>
  </w:num>
  <w:num w:numId="4">
    <w:abstractNumId w:val="175195857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doNotUseIndentAsNumberingTabStop/>
    <w:useAltKinsokuLineBreakRules/>
    <w:doNotSuppressIndentation/>
    <w:splitPgBreakAndParaMark/>
    <w:compatSetting w:name="compatibilityMode" w:uri="http://schemas.microsoft.com/office/word" w:val="11"/>
  </w:compat>
  <w:docVars>
    <w:docVar w:name="commondata" w:val="eyJoZGlkIjoiYzgxMzVhZTBlNDUyZWUxNDVhMjNkN2E1NjFlOTE5NDcifQ=="/>
  </w:docVars>
  <w:rsids>
    <w:rsidRoot w:val="00000000"/>
    <w:rsid w:val="044841D3"/>
    <w:rsid w:val="05392798"/>
    <w:rsid w:val="1F242CF1"/>
    <w:rsid w:val="1F364374"/>
    <w:rsid w:val="23C52289"/>
    <w:rsid w:val="28E6190A"/>
    <w:rsid w:val="54F16A5A"/>
    <w:rsid w:val="594709FF"/>
    <w:rsid w:val="5B4133E7"/>
    <w:rsid w:val="640F3F0D"/>
    <w:rsid w:val="699C530F"/>
    <w:rsid w:val="7B7F3784"/>
    <w:rsid w:val="7CA636D9"/>
    <w:rsid w:val="7EDF45D9"/>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Arial"/>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qFormat/>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widowControl w:val="0"/>
      <w:spacing w:before="260" w:after="260" w:line="415" w:lineRule="auto"/>
      <w:outlineLvl w:val="2"/>
    </w:pPr>
    <w:rPr>
      <w:b/>
      <w:bCs/>
      <w:sz w:val="32"/>
      <w:szCs w:val="32"/>
    </w:rPr>
  </w:style>
  <w:style w:type="character" w:default="1" w:styleId="9">
    <w:name w:val="Default Paragraph Font"/>
    <w:qFormat/>
    <w:uiPriority w:val="0"/>
  </w:style>
  <w:style w:type="table" w:default="1" w:styleId="10">
    <w:name w:val="Normal Table"/>
    <w:semiHidden/>
    <w:qFormat/>
    <w:uiPriority w:val="0"/>
    <w:tblPr>
      <w:tblLayout w:type="fixed"/>
      <w:tblCellMar>
        <w:top w:w="0" w:type="dxa"/>
        <w:left w:w="108" w:type="dxa"/>
        <w:bottom w:w="0" w:type="dxa"/>
        <w:right w:w="108" w:type="dxa"/>
      </w:tblCellMar>
    </w:tblPr>
  </w:style>
  <w:style w:type="paragraph" w:styleId="5">
    <w:name w:val="Normal Indent"/>
    <w:basedOn w:val="1"/>
    <w:next w:val="6"/>
    <w:qFormat/>
    <w:uiPriority w:val="0"/>
    <w:pPr>
      <w:ind w:firstLine="200" w:firstLineChars="200"/>
    </w:pPr>
    <w:rPr>
      <w:rFonts w:eastAsia="仿宋_GB2312"/>
      <w:sz w:val="30"/>
    </w:rPr>
  </w:style>
  <w:style w:type="paragraph" w:styleId="6">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FF0AC5-597A-436C-8052-6BABDDFA8FAA}">
  <ds:schemaRefs/>
</ds:datastoreItem>
</file>

<file path=docProps/app.xml><?xml version="1.0" encoding="utf-8"?>
<Properties xmlns="http://schemas.openxmlformats.org/officeDocument/2006/extended-properties" xmlns:vt="http://schemas.openxmlformats.org/officeDocument/2006/docPropsVTypes">
  <Template>Normal.eit</Template>
  <Pages>2</Pages>
  <Words>0</Words>
  <Characters>502</Characters>
  <Lines>0</Lines>
  <Paragraphs>29</Paragraphs>
  <ScaleCrop>false</ScaleCrop>
  <LinksUpToDate>false</LinksUpToDate>
  <CharactersWithSpaces>670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2025-07-16T07:15:57Z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y fmtid="{D5CDD505-2E9C-101B-9397-08002B2CF9AE}" pid="3" name="ICV">
    <vt:lpwstr>96934721B1514D3FBAA28020338CE855_12</vt:lpwstr>
  </property>
</Properties>
</file>