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3C7553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 w14:paraId="78D98DFB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供销社</w:t>
      </w:r>
      <w:r>
        <w:rPr>
          <w:rFonts w:hint="eastAsia" w:ascii="宋体" w:hAnsi="宋体" w:cs="宋体"/>
          <w:b/>
          <w:bCs/>
          <w:sz w:val="44"/>
          <w:szCs w:val="44"/>
        </w:rPr>
        <w:t>部门</w:t>
      </w:r>
    </w:p>
    <w:p w14:paraId="24E68C41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35A23EF3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0E8773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ascii="仿宋" w:hAnsi="仿宋" w:eastAsia="仿宋"/>
          <w:sz w:val="32"/>
          <w:szCs w:val="32"/>
        </w:rPr>
        <w:t>区委区政府</w:t>
      </w:r>
      <w:r>
        <w:rPr>
          <w:rFonts w:hint="eastAsia" w:ascii="仿宋" w:hAnsi="仿宋" w:eastAsia="仿宋"/>
          <w:sz w:val="32"/>
          <w:szCs w:val="32"/>
        </w:rPr>
        <w:t>《关于全面落实预算绩效管理的实施意见》（</w:t>
      </w:r>
      <w:r>
        <w:rPr>
          <w:rFonts w:ascii="仿宋" w:hAnsi="仿宋" w:eastAsia="仿宋"/>
          <w:sz w:val="32"/>
          <w:szCs w:val="32"/>
        </w:rPr>
        <w:t>矿</w:t>
      </w:r>
      <w:r>
        <w:rPr>
          <w:rFonts w:hint="eastAsia" w:ascii="仿宋" w:hAnsi="仿宋" w:eastAsia="仿宋"/>
          <w:sz w:val="32"/>
          <w:szCs w:val="32"/>
        </w:rPr>
        <w:t>发﹝2019﹞</w:t>
      </w:r>
      <w:r>
        <w:rPr>
          <w:rFonts w:ascii="仿宋" w:hAnsi="仿宋" w:eastAsia="仿宋"/>
          <w:sz w:val="32"/>
          <w:szCs w:val="32"/>
        </w:rPr>
        <w:t>7</w:t>
      </w:r>
      <w:r>
        <w:rPr>
          <w:rFonts w:hint="eastAsia" w:ascii="仿宋" w:hAnsi="仿宋" w:eastAsia="仿宋"/>
          <w:sz w:val="32"/>
          <w:szCs w:val="32"/>
        </w:rPr>
        <w:t>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供销社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6668D9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1ACBD1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640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65110B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3" w:firstLineChars="200"/>
        <w:jc w:val="left"/>
        <w:textAlignment w:val="auto"/>
        <w:rPr>
          <w:rFonts w:ascii="仿宋" w:hAnsi="仿宋" w:eastAsia="仿宋" w:cs="Times New Roman"/>
          <w:b/>
          <w:sz w:val="32"/>
          <w:szCs w:val="32"/>
        </w:rPr>
      </w:pPr>
      <w:r>
        <w:rPr>
          <w:rFonts w:hint="eastAsia" w:ascii="仿宋" w:hAnsi="仿宋" w:eastAsia="仿宋" w:cs="Times New Roman"/>
          <w:b/>
          <w:sz w:val="32"/>
          <w:szCs w:val="32"/>
        </w:rPr>
        <w:t>部门</w:t>
      </w:r>
      <w:r>
        <w:rPr>
          <w:rFonts w:ascii="仿宋" w:hAnsi="仿宋" w:eastAsia="仿宋" w:cs="Times New Roman"/>
          <w:b/>
          <w:sz w:val="32"/>
          <w:szCs w:val="32"/>
        </w:rPr>
        <w:t>职责：</w:t>
      </w:r>
    </w:p>
    <w:p w14:paraId="07BB97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ascii="仿宋" w:hAnsi="仿宋" w:eastAsia="仿宋" w:cs="Times New Roman"/>
          <w:b/>
          <w:sz w:val="32"/>
          <w:szCs w:val="32"/>
        </w:rPr>
      </w:pPr>
      <w:r>
        <w:rPr>
          <w:rFonts w:hint="eastAsia" w:ascii="仿宋_GB2312" w:hAnsi="宋体" w:eastAsia="仿宋_GB2312" w:cs="Times New Roman"/>
          <w:sz w:val="32"/>
          <w:szCs w:val="32"/>
          <w:lang w:eastAsia="zh-CN"/>
        </w:rPr>
        <w:t>负责协助有关部门制定各类农民合作经济组织发展规划，落实相关政策；负责流通领域盐业行政管理，依法加强盐政管理，做好食盐专营和储备工作；负责对全区再生资源回收体系建设规划，加强对从事再生资源回收经营活动单位和个人的备案管理，规范再生资源回收市场的经营管理，大力推进全区再生资源回收体系建设；负责与有关部门配合，共同做好农民合作经济组织的指导、服务、协调工作，负责全区供销系统农民合作社发展基金的规划、使用；负责维护成员社的合法权益，争取政策、资金支持；负责组织领办各类农民合作经济组织，指导帮助农民合作社与其他新型农业经营主体开展联合合作；负责搭建生产、流通、进入、培训、交流和信息等综合服务平台，为成员社和农民群众提供全方位服务；负责整合系统和社会资源，发展农村现代流通网络；负责涉农金融服务体系建设，促进农村合作金融发展；负责制定全区扶持农村新型家庭手工业发展的规划和扶持措施；完成区委区政府交办的抢险救灾等商品物资储备号备任务；完成区委区政府和上级社赋予的其他职能和工作任务。</w:t>
      </w:r>
    </w:p>
    <w:p w14:paraId="2A49D9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3" w:firstLineChars="200"/>
        <w:textAlignment w:val="auto"/>
        <w:rPr>
          <w:rFonts w:ascii="仿宋" w:hAnsi="仿宋" w:eastAsia="仿宋" w:cs="Times New Roman"/>
          <w:b/>
          <w:sz w:val="32"/>
          <w:szCs w:val="32"/>
        </w:rPr>
      </w:pPr>
      <w:r>
        <w:rPr>
          <w:rFonts w:hint="eastAsia" w:ascii="仿宋" w:hAnsi="仿宋" w:eastAsia="仿宋" w:cs="Times New Roman"/>
          <w:b/>
          <w:sz w:val="32"/>
          <w:szCs w:val="32"/>
        </w:rPr>
        <w:t>机构设置：</w:t>
      </w:r>
    </w:p>
    <w:p w14:paraId="587880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after="0" w:line="520" w:lineRule="exact"/>
        <w:ind w:firstLine="640"/>
        <w:jc w:val="left"/>
        <w:textAlignment w:val="auto"/>
        <w:outlineLvl w:val="9"/>
      </w:pPr>
    </w:p>
    <w:p w14:paraId="39BE61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after="0" w:line="520" w:lineRule="exact"/>
        <w:ind w:firstLine="0"/>
        <w:jc w:val="center"/>
        <w:textAlignment w:val="auto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2"/>
        </w:rPr>
        <w:t>部门机构设置情况</w:t>
      </w:r>
    </w:p>
    <w:tbl>
      <w:tblPr>
        <w:tblStyle w:val="7"/>
        <w:tblW w:w="10140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5"/>
        <w:gridCol w:w="2535"/>
        <w:gridCol w:w="2535"/>
        <w:gridCol w:w="2535"/>
      </w:tblGrid>
      <w:tr w14:paraId="4EFCE6B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tblHeader/>
          <w:jc w:val="center"/>
        </w:trPr>
        <w:tc>
          <w:tcPr>
            <w:tcW w:w="2535" w:type="dxa"/>
            <w:vAlign w:val="center"/>
          </w:tcPr>
          <w:p w14:paraId="6F6C59D7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textAlignment w:val="auto"/>
            </w:pPr>
            <w:r>
              <w:t>单位名称</w:t>
            </w:r>
          </w:p>
        </w:tc>
        <w:tc>
          <w:tcPr>
            <w:tcW w:w="2535" w:type="dxa"/>
            <w:vAlign w:val="center"/>
          </w:tcPr>
          <w:p w14:paraId="6EE384C3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textAlignment w:val="auto"/>
            </w:pPr>
            <w:r>
              <w:t>单位性质</w:t>
            </w:r>
          </w:p>
        </w:tc>
        <w:tc>
          <w:tcPr>
            <w:tcW w:w="2535" w:type="dxa"/>
            <w:vAlign w:val="center"/>
          </w:tcPr>
          <w:p w14:paraId="71B8CA71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textAlignment w:val="auto"/>
            </w:pPr>
            <w:r>
              <w:t>单位规格</w:t>
            </w:r>
          </w:p>
        </w:tc>
        <w:tc>
          <w:tcPr>
            <w:tcW w:w="2535" w:type="dxa"/>
            <w:vAlign w:val="center"/>
          </w:tcPr>
          <w:p w14:paraId="10B1802A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textAlignment w:val="auto"/>
            </w:pPr>
            <w:r>
              <w:t>经费保障形式</w:t>
            </w:r>
          </w:p>
        </w:tc>
      </w:tr>
      <w:tr w14:paraId="2423585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jc w:val="center"/>
        </w:trPr>
        <w:tc>
          <w:tcPr>
            <w:tcW w:w="2535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5CFA3796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textAlignment w:val="auto"/>
            </w:pPr>
            <w:r>
              <w:t>矿区</w:t>
            </w:r>
            <w:r>
              <w:rPr>
                <w:rFonts w:hint="eastAsia"/>
                <w:lang w:eastAsia="zh-CN"/>
              </w:rPr>
              <w:t>供销社</w:t>
            </w:r>
            <w:r>
              <w:t>本级</w:t>
            </w:r>
          </w:p>
        </w:tc>
        <w:tc>
          <w:tcPr>
            <w:tcW w:w="2535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1A36D873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textAlignment w:val="auto"/>
              <w:rPr>
                <w:rFonts w:hint="eastAsia" w:eastAsia="方正书宋_GBK"/>
                <w:lang w:eastAsia="zh-CN"/>
              </w:rPr>
            </w:pPr>
            <w:r>
              <w:rPr>
                <w:rFonts w:hint="eastAsia"/>
                <w:lang w:eastAsia="zh-CN"/>
              </w:rPr>
              <w:t>事业</w:t>
            </w:r>
          </w:p>
        </w:tc>
        <w:tc>
          <w:tcPr>
            <w:tcW w:w="2535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19BD18AB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textAlignment w:val="auto"/>
            </w:pPr>
            <w:r>
              <w:rPr>
                <w:rFonts w:hint="eastAsia"/>
                <w:lang w:eastAsia="zh-CN"/>
              </w:rPr>
              <w:t>股</w:t>
            </w:r>
            <w:r>
              <w:t>级</w:t>
            </w:r>
          </w:p>
        </w:tc>
        <w:tc>
          <w:tcPr>
            <w:tcW w:w="2535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4D5045CB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textAlignment w:val="auto"/>
            </w:pPr>
            <w:r>
              <w:t>财政拨款</w:t>
            </w:r>
          </w:p>
        </w:tc>
      </w:tr>
    </w:tbl>
    <w:p w14:paraId="508C5B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</w:p>
    <w:p w14:paraId="5DFAF26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640" w:firstLineChars="200"/>
        <w:textAlignment w:val="auto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color w:val="auto"/>
          <w:sz w:val="32"/>
          <w:szCs w:val="32"/>
        </w:rPr>
        <w:t>部门收支预决算情</w:t>
      </w:r>
      <w:r>
        <w:rPr>
          <w:rFonts w:hint="eastAsia" w:ascii="楷体" w:hAnsi="楷体" w:eastAsia="楷体" w:cs="楷体_GB2312"/>
          <w:bCs/>
          <w:sz w:val="32"/>
          <w:szCs w:val="32"/>
        </w:rPr>
        <w:t>况</w:t>
      </w:r>
    </w:p>
    <w:p w14:paraId="2FB7D9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20" w:lineRule="exact"/>
        <w:ind w:firstLine="643" w:firstLineChars="200"/>
        <w:textAlignment w:val="auto"/>
        <w:rPr>
          <w:rFonts w:ascii="楷体_GB2312" w:hAnsi="仿宋" w:eastAsia="楷体_GB2312"/>
          <w:b/>
          <w:sz w:val="32"/>
          <w:szCs w:val="32"/>
        </w:rPr>
      </w:pPr>
      <w:r>
        <w:rPr>
          <w:rFonts w:hint="eastAsia" w:ascii="楷体_GB2312" w:hAnsi="仿宋" w:eastAsia="楷体_GB2312"/>
          <w:b/>
          <w:sz w:val="32"/>
          <w:szCs w:val="32"/>
          <w:lang w:eastAsia="zh-CN"/>
        </w:rPr>
        <w:t>一、</w:t>
      </w:r>
      <w:r>
        <w:rPr>
          <w:rFonts w:hint="eastAsia" w:ascii="楷体_GB2312" w:hAnsi="仿宋" w:eastAsia="楷体_GB2312"/>
          <w:b/>
          <w:sz w:val="32"/>
          <w:szCs w:val="32"/>
        </w:rPr>
        <w:t>收入支出预算安排情况。</w:t>
      </w:r>
    </w:p>
    <w:p w14:paraId="2DD283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年预算收入安排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32.89</w:t>
      </w:r>
      <w:r>
        <w:rPr>
          <w:rFonts w:hint="eastAsia" w:ascii="仿宋" w:hAnsi="仿宋" w:eastAsia="仿宋" w:cs="仿宋"/>
          <w:sz w:val="32"/>
          <w:szCs w:val="32"/>
        </w:rPr>
        <w:t>万元，支出安排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32.89</w:t>
      </w:r>
      <w:r>
        <w:rPr>
          <w:rFonts w:hint="eastAsia" w:ascii="仿宋" w:hAnsi="仿宋" w:eastAsia="仿宋" w:cs="仿宋"/>
          <w:sz w:val="32"/>
          <w:szCs w:val="32"/>
        </w:rPr>
        <w:t>万元；比202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年预算收入安排增加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16.13</w:t>
      </w:r>
      <w:r>
        <w:rPr>
          <w:rFonts w:hint="eastAsia" w:ascii="仿宋" w:hAnsi="仿宋" w:eastAsia="仿宋" w:cs="仿宋"/>
          <w:sz w:val="32"/>
          <w:szCs w:val="32"/>
        </w:rPr>
        <w:t>万元，支出安排增加1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6.13</w:t>
      </w:r>
      <w:r>
        <w:rPr>
          <w:rFonts w:hint="eastAsia" w:ascii="仿宋" w:hAnsi="仿宋" w:eastAsia="仿宋" w:cs="仿宋"/>
          <w:sz w:val="32"/>
          <w:szCs w:val="32"/>
        </w:rPr>
        <w:t>万元。因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劳务派遣经费</w:t>
      </w:r>
      <w:r>
        <w:rPr>
          <w:rFonts w:hint="eastAsia" w:ascii="仿宋" w:hAnsi="仿宋" w:eastAsia="仿宋" w:cs="仿宋"/>
          <w:sz w:val="32"/>
          <w:szCs w:val="32"/>
        </w:rPr>
        <w:t>预算安排增加。</w:t>
      </w:r>
    </w:p>
    <w:p w14:paraId="5E8329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20" w:lineRule="exact"/>
        <w:ind w:firstLine="643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楷体_GB2312" w:hAnsi="仿宋" w:eastAsia="楷体_GB2312"/>
          <w:b/>
          <w:sz w:val="32"/>
          <w:szCs w:val="32"/>
        </w:rPr>
        <w:t>二、收入支出预算执行情况。</w:t>
      </w:r>
    </w:p>
    <w:p w14:paraId="0C75E5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20" w:lineRule="exact"/>
        <w:ind w:firstLine="640" w:firstLineChars="200"/>
        <w:textAlignment w:val="auto"/>
        <w:rPr>
          <w:rFonts w:hint="eastAsia" w:ascii="仿宋" w:hAnsi="仿宋" w:eastAsia="仿宋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年实际支出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32.89</w:t>
      </w:r>
      <w:r>
        <w:rPr>
          <w:rFonts w:hint="eastAsia" w:ascii="仿宋" w:hAnsi="仿宋" w:eastAsia="仿宋" w:cs="仿宋"/>
          <w:sz w:val="32"/>
          <w:szCs w:val="32"/>
        </w:rPr>
        <w:t>万元，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用于项目支出；</w:t>
      </w:r>
      <w:r>
        <w:rPr>
          <w:rFonts w:hint="eastAsia" w:ascii="仿宋" w:hAnsi="仿宋" w:eastAsia="仿宋" w:cs="仿宋"/>
          <w:sz w:val="32"/>
          <w:szCs w:val="32"/>
        </w:rPr>
        <w:t>比202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年实际支出增加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16.13</w:t>
      </w:r>
      <w:r>
        <w:rPr>
          <w:rFonts w:hint="eastAsia" w:ascii="仿宋" w:hAnsi="仿宋" w:eastAsia="仿宋" w:cs="仿宋"/>
          <w:sz w:val="32"/>
          <w:szCs w:val="32"/>
        </w:rPr>
        <w:t>万元，项目支出增加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16.13</w:t>
      </w:r>
      <w:r>
        <w:rPr>
          <w:rFonts w:hint="eastAsia" w:ascii="仿宋" w:hAnsi="仿宋" w:eastAsia="仿宋" w:cs="仿宋"/>
          <w:sz w:val="32"/>
          <w:szCs w:val="32"/>
        </w:rPr>
        <w:t>万元。因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劳务派遣经费</w:t>
      </w:r>
      <w:r>
        <w:rPr>
          <w:rFonts w:hint="eastAsia" w:ascii="仿宋" w:hAnsi="仿宋" w:eastAsia="仿宋" w:cs="仿宋"/>
          <w:sz w:val="32"/>
          <w:szCs w:val="32"/>
        </w:rPr>
        <w:t>预算安排增加。</w:t>
      </w:r>
    </w:p>
    <w:p w14:paraId="23FD9A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320" w:firstLineChars="1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0A0087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参照部门预算绩效文本中绩效目标、指标。</w:t>
      </w:r>
    </w:p>
    <w:p w14:paraId="20166E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4C9612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textAlignment w:val="auto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1B4EFF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说明评价资料收集、评价过程、评价工作管理组织等情况。</w:t>
      </w:r>
    </w:p>
    <w:p w14:paraId="02F3D3C6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20" w:lineRule="exact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7E71F5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textAlignment w:val="auto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10D07601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520" w:lineRule="exact"/>
        <w:ind w:left="0" w:firstLine="640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06C6F5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800" w:firstLineChars="25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参照预算绩效文本中总体绩效目标，说明整体绩效目标实现情况。</w:t>
      </w:r>
    </w:p>
    <w:p w14:paraId="4854A1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237211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800" w:firstLineChars="25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参照预算绩效文本中分项绩效目标、指标，从完成数量、质量、时效、成本效益等方面，对分项目标指标完成情况进行评价，指标要细化、量化，得分依据要充分。</w:t>
      </w:r>
    </w:p>
    <w:p w14:paraId="53CAB2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443288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 w14:paraId="12B63A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002A40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5E540F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960" w:firstLineChars="300"/>
        <w:textAlignment w:val="auto"/>
        <w:rPr>
          <w:rFonts w:hint="eastAsia" w:ascii="楷体" w:hAnsi="楷体" w:eastAsia="楷体"/>
          <w:bCs/>
          <w:sz w:val="32"/>
          <w:szCs w:val="32"/>
          <w:lang w:eastAsia="zh-CN"/>
        </w:rPr>
      </w:pPr>
      <w:r>
        <w:rPr>
          <w:rFonts w:hint="eastAsia" w:ascii="楷体" w:hAnsi="楷体" w:eastAsia="楷体"/>
          <w:bCs/>
          <w:sz w:val="32"/>
          <w:szCs w:val="32"/>
          <w:lang w:eastAsia="zh-CN"/>
        </w:rPr>
        <w:t>无</w:t>
      </w:r>
    </w:p>
    <w:p w14:paraId="5241BA5C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520" w:lineRule="exact"/>
        <w:ind w:left="0" w:leftChars="0" w:firstLine="640" w:firstLineChars="200"/>
        <w:textAlignment w:val="auto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347E487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20" w:lineRule="exact"/>
        <w:ind w:leftChars="200" w:firstLine="320" w:firstLineChars="100"/>
        <w:textAlignment w:val="auto"/>
        <w:rPr>
          <w:rFonts w:hint="eastAsia" w:ascii="楷体" w:hAnsi="楷体" w:eastAsia="楷体"/>
          <w:bCs/>
          <w:sz w:val="32"/>
          <w:szCs w:val="32"/>
          <w:lang w:eastAsia="zh-CN"/>
        </w:rPr>
      </w:pPr>
      <w:r>
        <w:rPr>
          <w:rFonts w:hint="eastAsia" w:ascii="楷体" w:hAnsi="楷体" w:eastAsia="楷体"/>
          <w:bCs/>
          <w:sz w:val="32"/>
          <w:szCs w:val="32"/>
          <w:lang w:eastAsia="zh-CN"/>
        </w:rPr>
        <w:t>无</w:t>
      </w:r>
    </w:p>
    <w:p w14:paraId="6EC24E04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8"/>
        <w:tblW w:w="891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73"/>
        <w:gridCol w:w="3166"/>
        <w:gridCol w:w="2772"/>
        <w:gridCol w:w="1406"/>
      </w:tblGrid>
      <w:tr w14:paraId="3530B8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</w:trPr>
        <w:tc>
          <w:tcPr>
            <w:tcW w:w="1573" w:type="dxa"/>
          </w:tcPr>
          <w:p w14:paraId="61FB47D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姓名</w:t>
            </w:r>
          </w:p>
        </w:tc>
        <w:tc>
          <w:tcPr>
            <w:tcW w:w="3166" w:type="dxa"/>
          </w:tcPr>
          <w:p w14:paraId="1C5E6E1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工作单位</w:t>
            </w:r>
          </w:p>
        </w:tc>
        <w:tc>
          <w:tcPr>
            <w:tcW w:w="2772" w:type="dxa"/>
          </w:tcPr>
          <w:p w14:paraId="171B7DB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职务</w:t>
            </w:r>
          </w:p>
        </w:tc>
        <w:tc>
          <w:tcPr>
            <w:tcW w:w="1406" w:type="dxa"/>
          </w:tcPr>
          <w:p w14:paraId="54C34D0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签字</w:t>
            </w:r>
          </w:p>
        </w:tc>
      </w:tr>
      <w:tr w14:paraId="71D19C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1573" w:type="dxa"/>
          </w:tcPr>
          <w:p w14:paraId="2BCE0CA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王元龙</w:t>
            </w:r>
          </w:p>
        </w:tc>
        <w:tc>
          <w:tcPr>
            <w:tcW w:w="3166" w:type="dxa"/>
          </w:tcPr>
          <w:p w14:paraId="77E554D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矿区供销社</w:t>
            </w:r>
          </w:p>
        </w:tc>
        <w:tc>
          <w:tcPr>
            <w:tcW w:w="2772" w:type="dxa"/>
          </w:tcPr>
          <w:p w14:paraId="13CCC18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主管领导</w:t>
            </w:r>
          </w:p>
        </w:tc>
        <w:tc>
          <w:tcPr>
            <w:tcW w:w="1406" w:type="dxa"/>
          </w:tcPr>
          <w:p w14:paraId="22D3F60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</w:tr>
      <w:tr w14:paraId="7EC200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</w:trPr>
        <w:tc>
          <w:tcPr>
            <w:tcW w:w="1573" w:type="dxa"/>
          </w:tcPr>
          <w:p w14:paraId="2826431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张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清</w:t>
            </w:r>
          </w:p>
        </w:tc>
        <w:tc>
          <w:tcPr>
            <w:tcW w:w="3166" w:type="dxa"/>
          </w:tcPr>
          <w:p w14:paraId="20CE318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矿区供销社</w:t>
            </w:r>
          </w:p>
        </w:tc>
        <w:tc>
          <w:tcPr>
            <w:tcW w:w="2772" w:type="dxa"/>
          </w:tcPr>
          <w:p w14:paraId="69DDA14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办公室负责人</w:t>
            </w:r>
          </w:p>
        </w:tc>
        <w:tc>
          <w:tcPr>
            <w:tcW w:w="1406" w:type="dxa"/>
          </w:tcPr>
          <w:p w14:paraId="1782B08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</w:tr>
      <w:tr w14:paraId="77D469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573" w:type="dxa"/>
          </w:tcPr>
          <w:p w14:paraId="2FA7FBC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张立娜</w:t>
            </w:r>
          </w:p>
        </w:tc>
        <w:tc>
          <w:tcPr>
            <w:tcW w:w="3166" w:type="dxa"/>
          </w:tcPr>
          <w:p w14:paraId="614AE08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矿区供销社</w:t>
            </w:r>
          </w:p>
        </w:tc>
        <w:tc>
          <w:tcPr>
            <w:tcW w:w="2772" w:type="dxa"/>
          </w:tcPr>
          <w:p w14:paraId="5E3A754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财务负责人</w:t>
            </w:r>
          </w:p>
        </w:tc>
        <w:tc>
          <w:tcPr>
            <w:tcW w:w="1406" w:type="dxa"/>
          </w:tcPr>
          <w:p w14:paraId="1964FA0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</w:tr>
    </w:tbl>
    <w:p w14:paraId="223218EA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7761EE96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465D0047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书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84DD60">
    <w:pPr>
      <w:pStyle w:val="5"/>
    </w:pPr>
    <w:r>
      <mc:AlternateContent>
        <mc:Choice Requires="wps">
          <w:drawing>
            <wp:anchor distT="0" distB="0" distL="90805" distR="9080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9550" cy="16256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9492" cy="162820"/>
                      </a:xfrm>
                      <a:prstGeom prst="rect">
                        <a:avLst/>
                      </a:prstGeom>
                      <a:noFill/>
                      <a:ln w="9525" cap="flat" cmpd="sng">
                        <a:noFill/>
                        <a:prstDash val="solid"/>
                        <a:miter/>
                      </a:ln>
                    </wps:spPr>
                    <wps:txbx>
                      <w:txbxContent>
                        <w:p w14:paraId="49F703D8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8pt;width:16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1qUiZ0QAAAAMBAAAPAAAAAAAAAAEAIAAAACIAAABkcnMvZG93bnJldi54bWxQSwEC&#10;FAAUAAAACACHTuJAh+iDI/sBAAD4AwAADgAAAAAAAAABACAAAAAgAQAAZHJzL2Uyb0RvYy54bWxQ&#10;SwUGAAAAAAYABgBZAQAAjQUAAAAA&#10;">
              <v:fill on="f" focussize="0,0"/>
              <v:stroke on="f" joinstyle="miter"/>
              <v:imagedata o:title=""/>
              <o:lock v:ext="edit" aspectratio="f"/>
              <v:textbox inset="0mm,0mm,0mm,0mm" style="mso-fit-shape-to-text:t;">
                <w:txbxContent>
                  <w:p w14:paraId="49F703D8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pPr>
        <w:ind w:left="0" w:firstLine="0"/>
      </w:pPr>
      <w:rPr>
        <w:rFonts w:ascii="楷体" w:hAnsi="楷体" w:eastAsia="楷体"/>
      </w:rPr>
    </w:lvl>
  </w:abstractNum>
  <w:abstractNum w:abstractNumId="2">
    <w:nsid w:val="5EA5EEE4"/>
    <w:multiLevelType w:val="singleLevel"/>
    <w:tmpl w:val="5EA5EEE4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00000000"/>
    <w:rsid w:val="21AC3653"/>
    <w:rsid w:val="21E93725"/>
    <w:rsid w:val="72D11E0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0">
    <w:name w:val="单元格样式1"/>
    <w:basedOn w:val="1"/>
    <w:qFormat/>
    <w:uiPriority w:val="0"/>
    <w:pPr>
      <w:widowControl w:val="0"/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kern w:val="2"/>
      <w:sz w:val="21"/>
      <w:szCs w:val="22"/>
      <w:lang w:val="en-US" w:eastAsia="zh-CN" w:bidi="ar-SA"/>
    </w:rPr>
  </w:style>
  <w:style w:type="paragraph" w:customStyle="1" w:styleId="11">
    <w:name w:val="单元格样式2"/>
    <w:basedOn w:val="1"/>
    <w:qFormat/>
    <w:uiPriority w:val="0"/>
    <w:pPr>
      <w:widowControl w:val="0"/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kern w:val="2"/>
      <w:sz w:val="21"/>
      <w:szCs w:val="22"/>
      <w:lang w:val="en-US" w:eastAsia="zh-CN" w:bidi="ar-SA"/>
    </w:rPr>
  </w:style>
  <w:style w:type="paragraph" w:customStyle="1" w:styleId="12">
    <w:name w:val="单元格样式3"/>
    <w:basedOn w:val="1"/>
    <w:qFormat/>
    <w:uiPriority w:val="0"/>
    <w:pPr>
      <w:widowControl w:val="0"/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CFF0AC5-597A-436C-8052-6BABDDFA8FA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3</Pages>
  <Words>1244</Words>
  <Characters>1301</Characters>
  <Lines>0</Lines>
  <Paragraphs>29</Paragraphs>
  <TotalTime>1</TotalTime>
  <ScaleCrop>false</ScaleCrop>
  <LinksUpToDate>false</LinksUpToDate>
  <CharactersWithSpaces>1324</CharactersWithSpaces>
  <Application>WPS Office_12.1.0.21915_F1E327BC-269C-435d-A152-05C5408002CA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2025-07-17T01:16:10Z</cp:lastPrinted>
  <dcterms:modified xsi:type="dcterms:W3CDTF">2025-07-17T01:17:45Z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23EA53051F644B5AAD24CD0E4953B5CB_13</vt:lpwstr>
  </property>
  <property fmtid="{D5CDD505-2E9C-101B-9397-08002B2CF9AE}" pid="4" name="KSOTemplateDocerSaveRecord">
    <vt:lpwstr>eyJoZGlkIjoiYjVjNmU3OWQxYjc1MDQ5MzcxNmU2NmE1NTI1MjJiYTUifQ==</vt:lpwstr>
  </property>
</Properties>
</file>