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eastAsia" w:ascii="黑体" w:hAnsi="黑体" w:eastAsia="黑体" w:cs="黑体"/>
          <w:sz w:val="32"/>
          <w:szCs w:val="32"/>
          <w:lang w:eastAsia="zh-CN"/>
        </w:rPr>
      </w:pPr>
      <w:r>
        <w:rPr>
          <w:rFonts w:hint="eastAsia" w:ascii="黑体" w:hAnsi="黑体" w:eastAsia="黑体" w:cs="黑体"/>
          <w:sz w:val="32"/>
          <w:szCs w:val="32"/>
        </w:rPr>
        <w:t>附件4</w:t>
      </w: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城市管理综合行政执法局</w:t>
      </w:r>
    </w:p>
    <w:p>
      <w:pPr>
        <w:adjustRightInd w:val="0"/>
        <w:snapToGrid w:val="0"/>
        <w:spacing w:line="560" w:lineRule="exact"/>
        <w:ind w:firstLine="883" w:firstLineChars="200"/>
        <w:rPr>
          <w:rFonts w:hint="eastAsia" w:ascii="宋体" w:hAnsi="宋体" w:eastAsia="宋体" w:cs="宋体"/>
          <w:b/>
          <w:bCs/>
          <w:sz w:val="44"/>
          <w:szCs w:val="44"/>
          <w:lang w:eastAsia="zh-CN"/>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城市管理综合行政执法局</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负责贯彻执行国家及省、市、区有关城市管理园林绿化等方面的方针、政策、法律、法规、规章。</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(2)</w:t>
      </w:r>
      <w:r>
        <w:rPr>
          <w:rFonts w:hint="eastAsia" w:ascii="仿宋_GB2312" w:hAnsi="仿宋" w:eastAsia="仿宋_GB2312"/>
          <w:sz w:val="32"/>
          <w:szCs w:val="32"/>
        </w:rPr>
        <w:t>负责城区排水管理工作及城市排水、中水的水质监测及监督管理;负责城区道路、桥梁维护管理;负责城区夜景照明维护管理工作;负责组织、协调、管理城区市政设施改造工作，负责工程质量监督检查，安全监督检查，验收和移交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3</w:t>
      </w:r>
      <w:r>
        <w:rPr>
          <w:rFonts w:hint="eastAsia" w:ascii="仿宋_GB2312" w:hAnsi="仿宋" w:eastAsia="仿宋_GB2312"/>
          <w:sz w:val="32"/>
          <w:szCs w:val="32"/>
        </w:rPr>
        <w:t>)负责制定城区市政基础设施日常管护作业标准和市容环境卫生质量标准并组织实施;负责对城区市政基础设施日常管护、市容环境卫生、行政执法等工作进行督导检查和考核评比;拟订城区市政基础设施日常管护资金使用计划，并监督管理和组织实施。</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4</w:t>
      </w:r>
      <w:r>
        <w:rPr>
          <w:rFonts w:hint="eastAsia" w:ascii="仿宋_GB2312" w:hAnsi="仿宋" w:eastAsia="仿宋_GB2312"/>
          <w:sz w:val="32"/>
          <w:szCs w:val="32"/>
        </w:rPr>
        <w:t>)负责指导、协调、考核各乡镇市政设施管理、市容环境卫生管理等工作。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5</w:t>
      </w:r>
      <w:r>
        <w:rPr>
          <w:rFonts w:hint="eastAsia" w:ascii="仿宋_GB2312" w:hAnsi="仿宋" w:eastAsia="仿宋_GB2312"/>
          <w:sz w:val="32"/>
          <w:szCs w:val="32"/>
        </w:rPr>
        <w:t>)负责城区供水、节水、污水处理工作。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6</w:t>
      </w:r>
      <w:r>
        <w:rPr>
          <w:rFonts w:hint="eastAsia" w:ascii="仿宋_GB2312" w:hAnsi="仿宋" w:eastAsia="仿宋_GB2312"/>
          <w:sz w:val="32"/>
          <w:szCs w:val="32"/>
        </w:rPr>
        <w:t>)负责城区防汛工作，研究部署城区防汛工作，开展城区防汛宣传，提高全社会的防洪减灾意识，会同有关部门做好城区自然灾害应急处置工作。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7</w:t>
      </w:r>
      <w:r>
        <w:rPr>
          <w:rFonts w:hint="eastAsia" w:ascii="仿宋_GB2312" w:hAnsi="仿宋" w:eastAsia="仿宋_GB2312"/>
          <w:sz w:val="32"/>
          <w:szCs w:val="32"/>
        </w:rPr>
        <w:t>)负责城区沿街建筑物、构筑物立面及门店的改造、装饰装修、沿街实体墙改造和沿街楼宇立面清洗保洁活动的监督管理;参与楼宇、桥涵景观及夜景亮化工程的竣工验收;负责城区夜景、照明、户外广告以及门店牌匾设置的监督管理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8</w:t>
      </w:r>
      <w:r>
        <w:rPr>
          <w:rFonts w:hint="eastAsia" w:ascii="仿宋_GB2312" w:hAnsi="仿宋" w:eastAsia="仿宋_GB2312"/>
          <w:sz w:val="32"/>
          <w:szCs w:val="32"/>
        </w:rPr>
        <w:t>)负责协调、监督城乡生活垃圾和城区建筑垃圾、餐厨垃圾、粪便垃圾、医疗废弃垃圾无害化处理工作;参与城区开发和城区改造中有关环卫设施配套项目建设竣工验收;指导协调城区环卫基础设施处理能力建设。</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9</w:t>
      </w:r>
      <w:r>
        <w:rPr>
          <w:rFonts w:hint="eastAsia" w:ascii="仿宋_GB2312" w:hAnsi="仿宋" w:eastAsia="仿宋_GB2312"/>
          <w:sz w:val="32"/>
          <w:szCs w:val="32"/>
        </w:rPr>
        <w:t>)负责城区供热、燃气行业管理工作。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10</w:t>
      </w:r>
      <w:r>
        <w:rPr>
          <w:rFonts w:hint="eastAsia" w:ascii="仿宋_GB2312" w:hAnsi="仿宋" w:eastAsia="仿宋_GB2312"/>
          <w:sz w:val="32"/>
          <w:szCs w:val="32"/>
        </w:rPr>
        <w:t>)负责指导城区城市便道非机动车停放工作。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11</w:t>
      </w:r>
      <w:r>
        <w:rPr>
          <w:rFonts w:hint="eastAsia" w:ascii="仿宋_GB2312" w:hAnsi="仿宋" w:eastAsia="仿宋_GB2312"/>
          <w:sz w:val="32"/>
          <w:szCs w:val="32"/>
        </w:rPr>
        <w:t>)负责城区洗车行业的监督管理工作。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12</w:t>
      </w:r>
      <w:r>
        <w:rPr>
          <w:rFonts w:hint="eastAsia" w:ascii="仿宋_GB2312" w:hAnsi="仿宋" w:eastAsia="仿宋_GB2312"/>
          <w:sz w:val="32"/>
          <w:szCs w:val="32"/>
        </w:rPr>
        <w:t>)负责机关和所属单位的安全生产综合监督管理工</w:t>
      </w:r>
    </w:p>
    <w:p>
      <w:pPr>
        <w:snapToGrid w:val="0"/>
        <w:spacing w:line="520" w:lineRule="exact"/>
        <w:ind w:firstLine="0" w:firstLineChars="0"/>
        <w:rPr>
          <w:rFonts w:hint="eastAsia" w:ascii="仿宋_GB2312" w:hAnsi="仿宋" w:eastAsia="仿宋_GB2312"/>
          <w:sz w:val="32"/>
          <w:szCs w:val="32"/>
        </w:rPr>
      </w:pPr>
      <w:r>
        <w:rPr>
          <w:rFonts w:hint="eastAsia" w:ascii="仿宋_GB2312" w:hAnsi="仿宋" w:eastAsia="仿宋_GB2312"/>
          <w:sz w:val="32"/>
          <w:szCs w:val="32"/>
        </w:rPr>
        <w:t>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13</w:t>
      </w:r>
      <w:r>
        <w:rPr>
          <w:rFonts w:hint="eastAsia" w:ascii="仿宋_GB2312" w:hAnsi="仿宋" w:eastAsia="仿宋_GB2312"/>
          <w:sz w:val="32"/>
          <w:szCs w:val="32"/>
        </w:rPr>
        <w:t>)负责城区容貌整治、环境卫生、园林绿化、市政基础设施日常管护、综合执法、垃圾处理、污水处理等工作。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14</w:t>
      </w:r>
      <w:r>
        <w:rPr>
          <w:rFonts w:hint="eastAsia" w:ascii="仿宋_GB2312" w:hAnsi="仿宋" w:eastAsia="仿宋_GB2312"/>
          <w:sz w:val="32"/>
          <w:szCs w:val="32"/>
        </w:rPr>
        <w:t>)会同有关部门，做好城市建设行业涉及本部门的相关专业规划的编制和实施工作。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15</w:t>
      </w:r>
      <w:r>
        <w:rPr>
          <w:rFonts w:hint="eastAsia" w:ascii="仿宋_GB2312" w:hAnsi="仿宋" w:eastAsia="仿宋_GB2312"/>
          <w:sz w:val="32"/>
          <w:szCs w:val="32"/>
        </w:rPr>
        <w:t>)实施与范围内法律法规规章规定的行政处罚权有关的行政强制措施</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16</w:t>
      </w:r>
      <w:r>
        <w:rPr>
          <w:rFonts w:hint="eastAsia" w:ascii="仿宋_GB2312" w:hAnsi="仿宋" w:eastAsia="仿宋_GB2312"/>
          <w:sz w:val="32"/>
          <w:szCs w:val="32"/>
        </w:rPr>
        <w:t>) 负责城市管理综合行政执法 监督工作， 指导城市管理综合执法队伍规范执法、文明执法。研究拟订城市管理和综合执法资金计划;负责城管综合行政执法队伍正规化建设。</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17</w:t>
      </w:r>
      <w:r>
        <w:rPr>
          <w:rFonts w:hint="eastAsia" w:ascii="仿宋_GB2312" w:hAnsi="仿宋" w:eastAsia="仿宋_GB2312"/>
          <w:sz w:val="32"/>
          <w:szCs w:val="32"/>
        </w:rPr>
        <w:t>)负责编制城区绿地系统规划并组织实施，负责建成区主要街道、公园、广场的规划、设计、建设和管理。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18</w:t>
      </w:r>
      <w:r>
        <w:rPr>
          <w:rFonts w:hint="eastAsia" w:ascii="仿宋_GB2312" w:hAnsi="仿宋" w:eastAsia="仿宋_GB2312"/>
          <w:sz w:val="32"/>
          <w:szCs w:val="32"/>
        </w:rPr>
        <w:t>)负责街道绿化、公园广场及水系综合管护的检查、考核、督导工作，对区内公园、广场及水系经营项目和公益活动进行监督管理。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19</w:t>
      </w:r>
      <w:r>
        <w:rPr>
          <w:rFonts w:hint="eastAsia" w:ascii="仿宋_GB2312" w:hAnsi="仿宋" w:eastAsia="仿宋_GB2312"/>
          <w:sz w:val="32"/>
          <w:szCs w:val="32"/>
        </w:rPr>
        <w:t>)执行城区绿化“绿线”管制制度;监督检查城区各类绿地的达标情况;监督管理城区建设项目中的园林绿化比例和布局;负责伐移树木的初审、上报、监管工作。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20</w:t>
      </w:r>
      <w:r>
        <w:rPr>
          <w:rFonts w:hint="eastAsia" w:ascii="仿宋_GB2312" w:hAnsi="仿宋" w:eastAsia="仿宋_GB2312"/>
          <w:sz w:val="32"/>
          <w:szCs w:val="32"/>
        </w:rPr>
        <w:t>)指导监督园林绿化工程建设招标工作，负责工程质量监督、安全生产及验收工作。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21</w:t>
      </w:r>
      <w:r>
        <w:rPr>
          <w:rFonts w:hint="eastAsia" w:ascii="仿宋_GB2312" w:hAnsi="仿宋" w:eastAsia="仿宋_GB2312"/>
          <w:sz w:val="32"/>
          <w:szCs w:val="32"/>
        </w:rPr>
        <w:t>)负责城区园林绿化工程立项及各种专项资金的使用、管理和监督检查工作。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22</w:t>
      </w:r>
      <w:r>
        <w:rPr>
          <w:rFonts w:hint="eastAsia" w:ascii="仿宋_GB2312" w:hAnsi="仿宋" w:eastAsia="仿宋_GB2312"/>
          <w:sz w:val="32"/>
          <w:szCs w:val="32"/>
        </w:rPr>
        <w:t>)负责制定园林绿化科技发展规划、科研计划并组织重点科研项目试验研究;会同有关部门做好科技成果鉴定工作，负责科技成果申报和推广工作。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23</w:t>
      </w:r>
      <w:r>
        <w:rPr>
          <w:rFonts w:hint="eastAsia" w:ascii="仿宋_GB2312" w:hAnsi="仿宋" w:eastAsia="仿宋_GB2312"/>
          <w:sz w:val="32"/>
          <w:szCs w:val="32"/>
        </w:rPr>
        <w:t>)参与圃地、花木市场的规划、建设和管理;负责城区园林植物病虫害的预测预报。</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24</w:t>
      </w:r>
      <w:r>
        <w:rPr>
          <w:rFonts w:hint="eastAsia" w:ascii="仿宋_GB2312" w:hAnsi="仿宋" w:eastAsia="仿宋_GB2312"/>
          <w:sz w:val="32"/>
          <w:szCs w:val="32"/>
        </w:rPr>
        <w:t>)负责城区内园林绿化和创建园林城工作。</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25</w:t>
      </w:r>
      <w:r>
        <w:rPr>
          <w:rFonts w:hint="eastAsia" w:ascii="仿宋_GB2312" w:hAnsi="仿宋" w:eastAsia="仿宋_GB2312"/>
          <w:sz w:val="32"/>
          <w:szCs w:val="32"/>
        </w:rPr>
        <w:t>)负责园林绿化相关企业的信息收集、登记和信用综合评价体系建设。</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26</w:t>
      </w:r>
      <w:r>
        <w:rPr>
          <w:rFonts w:hint="eastAsia" w:ascii="仿宋_GB2312" w:hAnsi="仿宋" w:eastAsia="仿宋_GB2312"/>
          <w:sz w:val="32"/>
          <w:szCs w:val="32"/>
        </w:rPr>
        <w:t>)完成区委、区政府交办的其他任务。</w:t>
      </w:r>
    </w:p>
    <w:p>
      <w:pPr>
        <w:snapToGrid/>
        <w:spacing w:line="240" w:lineRule="auto"/>
        <w:ind w:firstLine="709" w:firstLineChars="0"/>
        <w:rPr>
          <w:rFonts w:hint="default" w:eastAsia="仿宋_GB2312"/>
          <w:lang w:val="en-US" w:eastAsia="zh-CN"/>
        </w:rPr>
      </w:pPr>
      <w:r>
        <w:rPr>
          <w:rFonts w:hint="eastAsia" w:ascii="仿宋_GB2312" w:hAnsi="仿宋" w:eastAsia="仿宋_GB2312"/>
          <w:sz w:val="32"/>
          <w:szCs w:val="32"/>
          <w:lang w:val="en-US" w:eastAsia="zh-CN"/>
        </w:rPr>
        <w:t>2.</w:t>
      </w:r>
      <w:r>
        <w:rPr>
          <w:rFonts w:hint="eastAsia" w:ascii="仿宋_GB2312" w:hAnsi="仿宋" w:eastAsia="仿宋_GB2312" w:cs="仿宋"/>
          <w:color w:val="000000"/>
          <w:sz w:val="32"/>
          <w:szCs w:val="32"/>
        </w:rPr>
        <w:t>我单位年初实有数为</w:t>
      </w:r>
      <w:r>
        <w:rPr>
          <w:rFonts w:hint="eastAsia" w:ascii="仿宋_GB2312" w:hAnsi="仿宋" w:eastAsia="仿宋_GB2312" w:cs="仿宋"/>
          <w:color w:val="000000"/>
          <w:sz w:val="32"/>
          <w:szCs w:val="32"/>
          <w:lang w:val="en-US" w:eastAsia="zh-CN"/>
        </w:rPr>
        <w:t>28</w:t>
      </w:r>
      <w:r>
        <w:rPr>
          <w:rFonts w:hint="eastAsia" w:ascii="仿宋_GB2312" w:hAnsi="仿宋" w:eastAsia="仿宋_GB2312" w:cs="仿宋"/>
          <w:color w:val="000000"/>
          <w:sz w:val="32"/>
          <w:szCs w:val="32"/>
        </w:rPr>
        <w:t>人，年末实有数为</w:t>
      </w:r>
      <w:r>
        <w:rPr>
          <w:rFonts w:hint="eastAsia" w:ascii="仿宋_GB2312" w:hAnsi="仿宋" w:eastAsia="仿宋_GB2312" w:cs="仿宋"/>
          <w:color w:val="000000"/>
          <w:sz w:val="32"/>
          <w:szCs w:val="32"/>
          <w:lang w:val="en-US" w:eastAsia="zh-CN"/>
        </w:rPr>
        <w:t>26</w:t>
      </w:r>
      <w:r>
        <w:rPr>
          <w:rFonts w:hint="eastAsia" w:ascii="仿宋_GB2312" w:hAnsi="仿宋" w:eastAsia="仿宋_GB2312" w:cs="仿宋"/>
          <w:color w:val="000000"/>
          <w:sz w:val="32"/>
          <w:szCs w:val="32"/>
        </w:rPr>
        <w:t>人，</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pStyle w:val="2"/>
      </w:pPr>
      <w:r>
        <w:rPr>
          <w:rFonts w:ascii="仿宋_GB2312" w:hAnsi="宋体" w:eastAsia="仿宋_GB2312" w:cs="仿宋_GB2312"/>
          <w:sz w:val="32"/>
          <w:szCs w:val="32"/>
        </w:rPr>
        <w:t>20</w:t>
      </w:r>
      <w:r>
        <w:rPr>
          <w:rFonts w:hint="eastAsia" w:ascii="仿宋_GB2312" w:hAnsi="宋体" w:eastAsia="仿宋_GB2312" w:cs="仿宋_GB2312"/>
          <w:sz w:val="32"/>
          <w:szCs w:val="32"/>
          <w:lang w:val="en-US" w:eastAsia="zh-CN"/>
        </w:rPr>
        <w:t>24</w:t>
      </w:r>
      <w:r>
        <w:rPr>
          <w:rFonts w:hint="eastAsia" w:ascii="仿宋_GB2312" w:hAnsi="宋体" w:eastAsia="仿宋_GB2312" w:cs="仿宋_GB2312"/>
          <w:sz w:val="32"/>
          <w:szCs w:val="32"/>
        </w:rPr>
        <w:t>年度部门</w:t>
      </w:r>
      <w:r>
        <w:rPr>
          <w:rFonts w:hint="eastAsia" w:ascii="仿宋_GB2312" w:hAnsi="宋体" w:eastAsia="仿宋_GB2312" w:cs="仿宋_GB2312"/>
          <w:sz w:val="32"/>
          <w:szCs w:val="32"/>
          <w:lang w:eastAsia="zh-CN"/>
        </w:rPr>
        <w:t>年初</w:t>
      </w:r>
      <w:r>
        <w:rPr>
          <w:rFonts w:hint="eastAsia" w:ascii="仿宋_GB2312" w:hAnsi="宋体" w:eastAsia="仿宋_GB2312" w:cs="仿宋_GB2312"/>
          <w:sz w:val="32"/>
          <w:szCs w:val="32"/>
        </w:rPr>
        <w:t>预算收入安排7842.22万元</w:t>
      </w:r>
      <w:r>
        <w:rPr>
          <w:rFonts w:hint="eastAsia" w:ascii="仿宋_GB2312" w:hAnsi="宋体" w:eastAsia="仿宋_GB2312" w:cs="仿宋_GB2312"/>
          <w:sz w:val="32"/>
          <w:szCs w:val="32"/>
          <w:lang w:eastAsia="zh-CN"/>
        </w:rPr>
        <w:t>，调整预算收入</w:t>
      </w:r>
      <w:r>
        <w:rPr>
          <w:rFonts w:hint="eastAsia" w:ascii="仿宋_GB2312" w:hAnsi="宋体" w:eastAsia="仿宋_GB2312" w:cs="仿宋_GB2312"/>
          <w:sz w:val="32"/>
          <w:szCs w:val="32"/>
          <w:lang w:val="en-US" w:eastAsia="zh-CN"/>
        </w:rPr>
        <w:t>9348.787689万元，</w:t>
      </w:r>
      <w:r>
        <w:rPr>
          <w:rFonts w:hint="eastAsia" w:ascii="仿宋_GB2312" w:hAnsi="宋体" w:eastAsia="仿宋_GB2312" w:cs="仿宋_GB2312"/>
          <w:sz w:val="32"/>
          <w:szCs w:val="32"/>
        </w:rPr>
        <w:t>实际支出</w:t>
      </w:r>
      <w:r>
        <w:rPr>
          <w:rFonts w:hint="eastAsia" w:ascii="仿宋_GB2312" w:hAnsi="宋体" w:eastAsia="仿宋_GB2312" w:cs="仿宋_GB2312"/>
          <w:sz w:val="32"/>
          <w:szCs w:val="32"/>
          <w:lang w:val="en-US" w:eastAsia="zh-CN"/>
        </w:rPr>
        <w:t>5934.487689</w:t>
      </w:r>
      <w:r>
        <w:rPr>
          <w:rFonts w:hint="eastAsia" w:ascii="仿宋_GB2312" w:hAnsi="宋体" w:eastAsia="仿宋_GB2312" w:cs="仿宋_GB2312"/>
          <w:sz w:val="32"/>
          <w:szCs w:val="32"/>
        </w:rPr>
        <w:t>万元，</w:t>
      </w:r>
      <w:r>
        <w:rPr>
          <w:rFonts w:hint="eastAsia" w:ascii="仿宋_GB2312" w:hAnsi="宋体" w:eastAsia="仿宋_GB2312" w:cs="仿宋_GB2312"/>
          <w:sz w:val="32"/>
          <w:szCs w:val="32"/>
          <w:lang w:eastAsia="zh-CN"/>
        </w:rPr>
        <w:t>无结转结余。</w:t>
      </w:r>
    </w:p>
    <w:p>
      <w:pPr>
        <w:numPr>
          <w:ilvl w:val="0"/>
          <w:numId w:val="1"/>
        </w:numPr>
        <w:spacing w:before="0" w:after="0" w:line="500" w:lineRule="exact"/>
        <w:ind w:firstLine="640" w:firstLineChars="200"/>
        <w:jc w:val="left"/>
        <w:outlineLvl w:val="9"/>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部门整体支出绩效目标、指标</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1.总体绩效目标</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加大重点区域管控，提高市容秩序标准，为卫生城市文明建设营造良好的外围环境和舆论氛围。加强队伍建设，塑造全新城管队伍形象，为提升城市管理水平夯实基础。积极配合相关部门，完成县城执法体制改革。围绕服务之美，提升民生保障能力。</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2.分项绩效目标</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目标1：保障人员支出金额单位正常运转；目标2：认真贯彻执行党的基本路线、方针政策和上级组织的决议、知识、命令；目标3：对单位的重大问题进行决策。</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3.工作保障措施</w:t>
      </w:r>
    </w:p>
    <w:p>
      <w:pPr>
        <w:pStyle w:val="2"/>
        <w:rPr>
          <w:rFonts w:hint="eastAsia" w:ascii="仿宋_GB2312" w:hAnsi="宋体" w:eastAsia="仿宋_GB2312" w:cs="仿宋_GB2312"/>
          <w:sz w:val="32"/>
          <w:szCs w:val="32"/>
          <w:lang w:val="en-US" w:eastAsia="zh-CN"/>
        </w:rPr>
      </w:pPr>
      <w:r>
        <w:rPr>
          <w:rFonts w:hint="eastAsia" w:ascii="仿宋_GB2312" w:hAnsi="宋体" w:eastAsia="仿宋_GB2312" w:cs="仿宋_GB2312"/>
          <w:sz w:val="32"/>
          <w:szCs w:val="32"/>
          <w:lang w:val="en-US" w:eastAsia="zh-CN"/>
        </w:rPr>
        <w:t>(1)狠抓班子建设，提高行政能力。1、加强理论学习；2、坚持贯彻民主集中制；3、实行领导分工负责制；（2）加强队伍建设，提高干部素质，理顺管理机制，夯实工作基础。</w:t>
      </w:r>
    </w:p>
    <w:p>
      <w:pPr>
        <w:pStyle w:val="2"/>
        <w:rPr>
          <w:rFonts w:hint="eastAsia"/>
          <w:lang w:eastAsia="zh-CN"/>
        </w:rPr>
      </w:pPr>
    </w:p>
    <w:p>
      <w:pPr>
        <w:pStyle w:val="2"/>
        <w:rPr>
          <w:rFonts w:hint="eastAsia"/>
          <w:lang w:val="en-US" w:eastAsia="zh-CN"/>
        </w:rPr>
      </w:pPr>
    </w:p>
    <w:p>
      <w:pPr>
        <w:adjustRightInd w:val="0"/>
        <w:snapToGrid w:val="0"/>
        <w:spacing w:line="560" w:lineRule="exact"/>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_GB2312" w:hAnsi="宋体" w:eastAsia="仿宋_GB2312" w:cs="仿宋_GB2312"/>
          <w:kern w:val="2"/>
          <w:sz w:val="32"/>
          <w:szCs w:val="32"/>
          <w:lang w:val="en-US" w:eastAsia="zh-CN" w:bidi="ar-SA"/>
        </w:rPr>
      </w:pPr>
      <w:r>
        <w:rPr>
          <w:rFonts w:hint="eastAsia" w:ascii="仿宋" w:hAnsi="仿宋" w:eastAsia="仿宋"/>
          <w:sz w:val="32"/>
          <w:szCs w:val="32"/>
        </w:rPr>
        <w:t xml:space="preserve">    </w:t>
      </w:r>
      <w:r>
        <w:rPr>
          <w:rFonts w:hint="eastAsia" w:ascii="仿宋" w:hAnsi="仿宋" w:eastAsia="仿宋"/>
          <w:sz w:val="32"/>
          <w:szCs w:val="32"/>
          <w:lang w:val="en-US" w:eastAsia="zh-CN"/>
        </w:rPr>
        <w:t xml:space="preserve">  </w:t>
      </w:r>
      <w:r>
        <w:rPr>
          <w:rFonts w:hint="eastAsia" w:ascii="仿宋_GB2312" w:hAnsi="宋体" w:eastAsia="仿宋_GB2312" w:cs="仿宋_GB2312"/>
          <w:kern w:val="2"/>
          <w:sz w:val="32"/>
          <w:szCs w:val="32"/>
          <w:lang w:val="en-US" w:eastAsia="zh-CN" w:bidi="ar-SA"/>
        </w:rPr>
        <w:t>一是局主要领导充分重视预算绩效管理工作，成立预算绩效管理工作领导小组，负责预算绩效管理工作的统一领导，各部门和科室各负其责。领导小组统一、协调推进预算绩效管理工作。并将预算绩效管理工作作为日常性重要工作来抓。</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ascii="仿宋" w:hAnsi="仿宋" w:eastAsia="仿宋"/>
          <w:sz w:val="32"/>
          <w:szCs w:val="32"/>
        </w:rPr>
      </w:pPr>
      <w:r>
        <w:rPr>
          <w:rFonts w:hint="eastAsia" w:ascii="仿宋_GB2312" w:hAnsi="宋体" w:eastAsia="仿宋_GB2312" w:cs="仿宋_GB2312"/>
          <w:kern w:val="2"/>
          <w:sz w:val="32"/>
          <w:szCs w:val="32"/>
          <w:lang w:val="en-US" w:eastAsia="zh-CN" w:bidi="ar-SA"/>
        </w:rPr>
        <w:t>二是结合我局预算绩效管理工作的具体情况，制定了本单位制度体系和工作流程，健全预算绩效管理运行机制，强化全过程预算绩效管理。积极参加财政部门组织的预算绩效评价相关培训，并及时组织预算绩效工作人员开展业务培训和学习。</w:t>
      </w:r>
    </w:p>
    <w:p>
      <w:pPr>
        <w:pStyle w:val="2"/>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仿宋_GB2312" w:hAnsi="宋体" w:eastAsia="仿宋_GB2312" w:cs="仿宋_GB2312"/>
          <w:kern w:val="2"/>
          <w:sz w:val="32"/>
          <w:szCs w:val="32"/>
          <w:lang w:val="en-US" w:eastAsia="zh-CN" w:bidi="ar-SA"/>
        </w:rPr>
      </w:pPr>
      <w:r>
        <w:rPr>
          <w:rFonts w:hint="eastAsia" w:ascii="仿宋_GB2312" w:hAnsi="宋体" w:eastAsia="仿宋_GB2312" w:cs="仿宋_GB2312"/>
          <w:kern w:val="2"/>
          <w:sz w:val="32"/>
          <w:szCs w:val="32"/>
          <w:lang w:val="en-US" w:eastAsia="zh-CN" w:bidi="ar-SA"/>
        </w:rPr>
        <w:t>建章立制。按照国家、省及市要求，结合我区实际，制定预算绩效管理工作制度，规范预算绩效指标体系建设、跟踪监控、绩效评价、评价结果运用等工作流程，为预算绩效管理提供制度保障。加强预算绩效目标管理。绩效目标是实施预算绩效管理的基础和前提，是开展预算绩效管理工作的首要环节。开展绩效运行跟踪全过程监控。</w:t>
      </w:r>
    </w:p>
    <w:p>
      <w:pPr>
        <w:pStyle w:val="2"/>
      </w:pP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024年，我部门坚持以习近平新时代中国特色社会主义思想为指导，大力弘扬伟大建党精神，聚焦美丽县城建设，以担当作为诠释对党忠诚，以绣花功夫落实精细管理，以温度执法彰显为民情怀。为保障各项工作稳步推进，城市运行安全有序进行，我部门积极筹集预算资金，严格控制成本，保障城市管理资金需要，积极配合上级、业务部门，完成各项任务要求，资金支出执行率达到100%，每一项支出都有所成效，达到预期效果，清扫保洁率98%以上，公园、游园、主干道及其他绿地达到养护标准率98%以上，市政设施修复合格率98%以上，城市环境不断改善，城市功能不断完善，城市品位不断提升，群众满意度达到90%以上，完成</w:t>
      </w:r>
      <w:r>
        <w:rPr>
          <w:rFonts w:hint="eastAsia" w:ascii="仿宋" w:hAnsi="仿宋" w:eastAsia="仿宋"/>
          <w:sz w:val="32"/>
          <w:szCs w:val="32"/>
          <w:lang w:eastAsia="zh-CN"/>
        </w:rPr>
        <w:t>矿区</w:t>
      </w:r>
      <w:r>
        <w:rPr>
          <w:rFonts w:hint="eastAsia" w:ascii="仿宋" w:hAnsi="仿宋" w:eastAsia="仿宋"/>
          <w:sz w:val="32"/>
          <w:szCs w:val="32"/>
        </w:rPr>
        <w:t>城市管理运行维护建设率达100%。</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产出指标</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1、数量指标：维修维护多个市政基础设施，新建供热设施；</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2、质量指标：完工率达到100%；</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3、时效指标：都在规定时间内提前完成；</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4、成本指标:都未超出预算</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效益指标</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1、经济效益：城区市政道路、桥梁、环卫及其他市政设施基本完好，提升了城市管理规范化、科学化、精细化水平，带动了城区经济发展；</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2、社会效益：今年以来大队全力开展城市综合治理工作，有效地遏制了不正之风，提高了城市管理能力，提高了城市的文明程度，提升了城市的形象。</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3、生态效益：全面提升了城市管理水平，不断改善了城市生态环境。</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社会满意度情况</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树立了良好的行政服务形象，有效的提高了城区居民满意度。全面提升城市管理水平，不断改善城市生态环境，增强了城区居民的幸福感。</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经自评，本年度我部门整体支出资金的申报材料规范齐全、评审程序公平公正，宣传政策到位，资金的发放与管理较规范，预算编制比较完整准确。整体支出绩效评价得分95分，结果为优。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jc w:val="both"/>
      </w:pPr>
      <w:r>
        <w:rPr>
          <w:rFonts w:hint="eastAsia" w:ascii="仿宋" w:hAnsi="仿宋" w:eastAsia="仿宋" w:cs="黑体"/>
          <w:kern w:val="2"/>
          <w:sz w:val="32"/>
          <w:szCs w:val="32"/>
          <w:lang w:val="en-US" w:eastAsia="zh-CN" w:bidi="ar-SA"/>
        </w:rPr>
        <w:t>项目</w:t>
      </w:r>
      <w:r>
        <w:rPr>
          <w:rFonts w:hint="default" w:ascii="仿宋" w:hAnsi="仿宋" w:eastAsia="仿宋" w:cs="黑体"/>
          <w:kern w:val="2"/>
          <w:sz w:val="32"/>
          <w:szCs w:val="32"/>
          <w:lang w:val="en-US" w:eastAsia="zh-CN" w:bidi="ar-SA"/>
        </w:rPr>
        <w:t>预算不足,资金缺口大。城市管理工作涉及面广，任务重，群众关注的热点问题多，领导临时交办的任务多，建设维护项目具有很大的突发性和不确定性，年初编制预算时无法预计，导致后期追加项目多，资金缺口大。</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30"/>
        <w:jc w:val="both"/>
        <w:rPr>
          <w:rFonts w:hint="default" w:ascii="仿宋" w:hAnsi="仿宋" w:eastAsia="仿宋" w:cs="黑体"/>
          <w:kern w:val="2"/>
          <w:sz w:val="32"/>
          <w:szCs w:val="32"/>
          <w:lang w:val="en-US" w:eastAsia="zh-CN" w:bidi="ar-SA"/>
        </w:rPr>
      </w:pPr>
      <w:r>
        <w:rPr>
          <w:rFonts w:hint="default" w:ascii="Times New Roman" w:hAnsi="Times New Roman" w:eastAsia="宋体" w:cs="Times New Roman"/>
          <w:i w:val="0"/>
          <w:iCs w:val="0"/>
          <w:caps w:val="0"/>
          <w:color w:val="414141"/>
          <w:spacing w:val="0"/>
          <w:sz w:val="31"/>
          <w:szCs w:val="31"/>
          <w:shd w:val="clear" w:fill="FFFFFF"/>
        </w:rPr>
        <w:t>1</w:t>
      </w:r>
      <w:r>
        <w:rPr>
          <w:rFonts w:hint="default" w:ascii="仿宋" w:hAnsi="仿宋" w:eastAsia="仿宋" w:cs="黑体"/>
          <w:kern w:val="2"/>
          <w:sz w:val="32"/>
          <w:szCs w:val="32"/>
          <w:lang w:val="en-US" w:eastAsia="zh-CN" w:bidi="ar-SA"/>
        </w:rPr>
        <w:t>. 科学编制预算。进一步加强预算管理意识，严格按照预算编制的相关规定要求进行预算编制，优先保障固定性的、相对刚性的费用支出项目，尽量压缩变动性的、有控制空间的费用项目，进一步提高预算编制的科学性、严谨性和可控性。加强内部预算编制的审核和预算控制指标的下达，提高预算的合理性和准确性。</w:t>
      </w:r>
    </w:p>
    <w:p>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30"/>
        <w:jc w:val="both"/>
        <w:rPr>
          <w:rFonts w:hint="eastAsia" w:ascii="仿宋" w:hAnsi="仿宋" w:eastAsia="仿宋" w:cs="黑体"/>
          <w:kern w:val="2"/>
          <w:sz w:val="32"/>
          <w:szCs w:val="32"/>
          <w:lang w:val="en-US" w:eastAsia="zh-CN" w:bidi="ar-SA"/>
        </w:rPr>
      </w:pPr>
      <w:r>
        <w:rPr>
          <w:rFonts w:hint="default" w:ascii="仿宋" w:hAnsi="仿宋" w:eastAsia="仿宋" w:cs="黑体"/>
          <w:kern w:val="2"/>
          <w:sz w:val="32"/>
          <w:szCs w:val="32"/>
          <w:lang w:val="en-US" w:eastAsia="zh-CN" w:bidi="ar-SA"/>
        </w:rPr>
        <w:t>2. 加强财务管理，严格财务审核。在费用报账支付时，按照预算规定的费用项目和用途进行资金使用审核、列报支付、财务核算，杜绝超支现象的发生。</w:t>
      </w:r>
    </w:p>
    <w:p>
      <w:pPr>
        <w:pStyle w:val="2"/>
        <w:numPr>
          <w:ilvl w:val="0"/>
          <w:numId w:val="0"/>
        </w:numPr>
        <w:ind w:leftChars="200"/>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rPr>
        <w:t>六、评价工作组人员名单及签字（姓名、工作单位、职务、职称）</w:t>
      </w:r>
    </w:p>
    <w:tbl>
      <w:tblPr>
        <w:tblStyle w:val="15"/>
        <w:tblW w:w="922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5"/>
        <w:gridCol w:w="2900"/>
        <w:gridCol w:w="2200"/>
        <w:gridCol w:w="276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73" w:hRule="atLeast"/>
        </w:trPr>
        <w:tc>
          <w:tcPr>
            <w:tcW w:w="9222" w:type="dxa"/>
            <w:gridSpan w:val="4"/>
            <w:vAlign w:val="top"/>
          </w:tcPr>
          <w:p>
            <w:pPr>
              <w:spacing w:before="240" w:line="219" w:lineRule="auto"/>
              <w:ind w:firstLine="3352"/>
              <w:rPr>
                <w:rFonts w:ascii="黑体" w:hAnsi="黑体" w:eastAsia="黑体" w:cs="黑体"/>
                <w:sz w:val="28"/>
                <w:szCs w:val="28"/>
              </w:rPr>
            </w:pPr>
            <w:r>
              <w:rPr>
                <w:rFonts w:ascii="黑体" w:hAnsi="黑体" w:eastAsia="黑体" w:cs="黑体"/>
                <w:spacing w:val="-1"/>
                <w:sz w:val="28"/>
                <w:szCs w:val="28"/>
              </w:rPr>
              <w:t>项目绩效评价人员</w:t>
            </w:r>
          </w:p>
          <w:p>
            <w:pPr>
              <w:tabs>
                <w:tab w:val="left" w:pos="5849"/>
              </w:tabs>
              <w:spacing w:before="176" w:line="4" w:lineRule="exact"/>
              <w:ind w:firstLine="5839"/>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48" w:hRule="atLeast"/>
        </w:trPr>
        <w:tc>
          <w:tcPr>
            <w:tcW w:w="1355" w:type="dxa"/>
            <w:vAlign w:val="center"/>
          </w:tcPr>
          <w:p>
            <w:pPr>
              <w:spacing w:before="236" w:line="220" w:lineRule="auto"/>
              <w:ind w:firstLine="280" w:firstLineChars="100"/>
              <w:jc w:val="both"/>
              <w:rPr>
                <w:rFonts w:ascii="黑体" w:hAnsi="黑体" w:eastAsia="黑体" w:cs="黑体"/>
                <w:sz w:val="28"/>
                <w:szCs w:val="28"/>
              </w:rPr>
            </w:pPr>
            <w:r>
              <w:rPr>
                <w:rFonts w:ascii="黑体" w:hAnsi="黑体" w:eastAsia="黑体" w:cs="黑体"/>
                <w:sz w:val="28"/>
                <w:szCs w:val="28"/>
              </w:rPr>
              <w:t>姓</w:t>
            </w:r>
            <w:r>
              <w:rPr>
                <w:rFonts w:ascii="黑体" w:hAnsi="黑体" w:eastAsia="黑体" w:cs="黑体"/>
                <w:spacing w:val="1"/>
                <w:sz w:val="28"/>
                <w:szCs w:val="28"/>
              </w:rPr>
              <w:t xml:space="preserve"> </w:t>
            </w:r>
            <w:r>
              <w:rPr>
                <w:rFonts w:ascii="黑体" w:hAnsi="黑体" w:eastAsia="黑体" w:cs="黑体"/>
                <w:sz w:val="28"/>
                <w:szCs w:val="28"/>
              </w:rPr>
              <w:t xml:space="preserve"> 名</w:t>
            </w:r>
          </w:p>
        </w:tc>
        <w:tc>
          <w:tcPr>
            <w:tcW w:w="2900" w:type="dxa"/>
            <w:vAlign w:val="center"/>
          </w:tcPr>
          <w:p>
            <w:pPr>
              <w:spacing w:before="236" w:line="220" w:lineRule="auto"/>
              <w:ind w:firstLine="1112" w:firstLineChars="400"/>
              <w:jc w:val="both"/>
              <w:rPr>
                <w:rFonts w:ascii="黑体" w:hAnsi="黑体" w:eastAsia="黑体" w:cs="黑体"/>
                <w:sz w:val="28"/>
                <w:szCs w:val="28"/>
              </w:rPr>
            </w:pPr>
            <w:r>
              <w:rPr>
                <w:rFonts w:ascii="黑体" w:hAnsi="黑体" w:eastAsia="黑体" w:cs="黑体"/>
                <w:spacing w:val="-1"/>
                <w:sz w:val="28"/>
                <w:szCs w:val="28"/>
              </w:rPr>
              <w:t>单</w:t>
            </w:r>
            <w:r>
              <w:rPr>
                <w:rFonts w:ascii="黑体" w:hAnsi="黑体" w:eastAsia="黑体" w:cs="黑体"/>
                <w:spacing w:val="-5"/>
                <w:sz w:val="28"/>
                <w:szCs w:val="28"/>
              </w:rPr>
              <w:t xml:space="preserve"> </w:t>
            </w:r>
            <w:r>
              <w:rPr>
                <w:rFonts w:ascii="黑体" w:hAnsi="黑体" w:eastAsia="黑体" w:cs="黑体"/>
                <w:spacing w:val="-4"/>
                <w:sz w:val="28"/>
                <w:szCs w:val="28"/>
              </w:rPr>
              <w:t xml:space="preserve"> </w:t>
            </w:r>
            <w:r>
              <w:rPr>
                <w:rFonts w:ascii="黑体" w:hAnsi="黑体" w:eastAsia="黑体" w:cs="黑体"/>
                <w:spacing w:val="-1"/>
                <w:sz w:val="28"/>
                <w:szCs w:val="28"/>
              </w:rPr>
              <w:t>位</w:t>
            </w:r>
          </w:p>
        </w:tc>
        <w:tc>
          <w:tcPr>
            <w:tcW w:w="2200" w:type="dxa"/>
            <w:vAlign w:val="bottom"/>
          </w:tcPr>
          <w:p>
            <w:pPr>
              <w:spacing w:before="87" w:line="214" w:lineRule="auto"/>
              <w:ind w:right="197" w:firstLine="548" w:firstLineChars="200"/>
              <w:jc w:val="both"/>
              <w:rPr>
                <w:rFonts w:ascii="黑体" w:hAnsi="黑体" w:eastAsia="黑体" w:cs="黑体"/>
                <w:sz w:val="28"/>
                <w:szCs w:val="28"/>
              </w:rPr>
            </w:pPr>
            <w:r>
              <w:rPr>
                <w:rFonts w:ascii="黑体" w:hAnsi="黑体" w:eastAsia="黑体" w:cs="黑体"/>
                <w:spacing w:val="-3"/>
                <w:sz w:val="28"/>
                <w:szCs w:val="28"/>
              </w:rPr>
              <w:t>职称</w:t>
            </w:r>
            <w:r>
              <w:rPr>
                <w:rFonts w:ascii="黑体" w:hAnsi="黑体" w:eastAsia="黑体" w:cs="黑体"/>
                <w:spacing w:val="-2"/>
                <w:sz w:val="28"/>
                <w:szCs w:val="28"/>
              </w:rPr>
              <w:t>/职</w:t>
            </w:r>
            <w:r>
              <w:rPr>
                <w:rFonts w:ascii="黑体" w:hAnsi="黑体" w:eastAsia="黑体" w:cs="黑体"/>
                <w:sz w:val="28"/>
                <w:szCs w:val="28"/>
              </w:rPr>
              <w:t>务</w:t>
            </w:r>
          </w:p>
        </w:tc>
        <w:tc>
          <w:tcPr>
            <w:tcW w:w="2767" w:type="dxa"/>
            <w:vAlign w:val="center"/>
          </w:tcPr>
          <w:p>
            <w:pPr>
              <w:spacing w:before="236" w:line="220" w:lineRule="auto"/>
              <w:ind w:firstLine="865" w:firstLineChars="309"/>
              <w:jc w:val="both"/>
              <w:rPr>
                <w:rFonts w:ascii="黑体" w:hAnsi="黑体" w:eastAsia="黑体" w:cs="黑体"/>
                <w:sz w:val="28"/>
                <w:szCs w:val="28"/>
              </w:rPr>
            </w:pPr>
            <w:r>
              <w:rPr>
                <w:rFonts w:ascii="黑体" w:hAnsi="黑体" w:eastAsia="黑体" w:cs="黑体"/>
                <w:sz w:val="28"/>
                <w:szCs w:val="28"/>
              </w:rPr>
              <w:t>签</w:t>
            </w:r>
            <w:r>
              <w:rPr>
                <w:rFonts w:ascii="黑体" w:hAnsi="黑体" w:eastAsia="黑体" w:cs="黑体"/>
                <w:spacing w:val="1"/>
                <w:sz w:val="28"/>
                <w:szCs w:val="28"/>
              </w:rPr>
              <w:t xml:space="preserve"> </w:t>
            </w:r>
            <w:r>
              <w:rPr>
                <w:rFonts w:ascii="黑体" w:hAnsi="黑体" w:eastAsia="黑体" w:cs="黑体"/>
                <w:sz w:val="28"/>
                <w:szCs w:val="28"/>
              </w:rPr>
              <w:t xml:space="preserve"> 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49" w:hRule="atLeast"/>
        </w:trPr>
        <w:tc>
          <w:tcPr>
            <w:tcW w:w="1355" w:type="dxa"/>
            <w:vAlign w:val="center"/>
          </w:tcPr>
          <w:p>
            <w:pPr>
              <w:jc w:val="center"/>
              <w:rPr>
                <w:rFonts w:hint="eastAsia" w:ascii="Arial" w:eastAsia="宋体"/>
                <w:sz w:val="21"/>
                <w:lang w:eastAsia="zh-CN"/>
              </w:rPr>
            </w:pPr>
            <w:r>
              <w:rPr>
                <w:rFonts w:hint="eastAsia" w:ascii="Arial"/>
                <w:sz w:val="21"/>
                <w:lang w:eastAsia="zh-CN"/>
              </w:rPr>
              <w:t>谷秀峰</w:t>
            </w:r>
          </w:p>
        </w:tc>
        <w:tc>
          <w:tcPr>
            <w:tcW w:w="2900" w:type="dxa"/>
            <w:vAlign w:val="center"/>
          </w:tcPr>
          <w:p>
            <w:pPr>
              <w:jc w:val="center"/>
              <w:rPr>
                <w:rFonts w:hint="eastAsia" w:ascii="Arial" w:eastAsia="宋体"/>
                <w:sz w:val="21"/>
                <w:lang w:eastAsia="zh-CN"/>
              </w:rPr>
            </w:pPr>
            <w:r>
              <w:rPr>
                <w:rFonts w:hint="eastAsia" w:ascii="Arial"/>
                <w:sz w:val="21"/>
                <w:lang w:eastAsia="zh-CN"/>
              </w:rPr>
              <w:t>矿区城管综合执法局</w:t>
            </w:r>
          </w:p>
        </w:tc>
        <w:tc>
          <w:tcPr>
            <w:tcW w:w="2200" w:type="dxa"/>
            <w:vAlign w:val="center"/>
          </w:tcPr>
          <w:p>
            <w:pPr>
              <w:jc w:val="center"/>
              <w:rPr>
                <w:rFonts w:hint="eastAsia" w:ascii="Arial" w:eastAsia="宋体"/>
                <w:sz w:val="21"/>
                <w:lang w:eastAsia="zh-CN"/>
              </w:rPr>
            </w:pPr>
            <w:r>
              <w:rPr>
                <w:rFonts w:hint="eastAsia" w:ascii="Arial"/>
                <w:sz w:val="21"/>
                <w:lang w:eastAsia="zh-CN"/>
              </w:rPr>
              <w:t>单位负责人</w:t>
            </w:r>
          </w:p>
        </w:tc>
        <w:tc>
          <w:tcPr>
            <w:tcW w:w="2767"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43" w:hRule="atLeast"/>
        </w:trPr>
        <w:tc>
          <w:tcPr>
            <w:tcW w:w="1355" w:type="dxa"/>
            <w:vAlign w:val="center"/>
          </w:tcPr>
          <w:p>
            <w:pPr>
              <w:jc w:val="center"/>
              <w:rPr>
                <w:rFonts w:hint="eastAsia" w:ascii="Arial" w:eastAsia="宋体"/>
                <w:sz w:val="21"/>
                <w:lang w:val="en-US" w:eastAsia="zh-CN"/>
              </w:rPr>
            </w:pPr>
            <w:r>
              <w:rPr>
                <w:rFonts w:hint="eastAsia" w:ascii="Arial"/>
                <w:sz w:val="21"/>
                <w:lang w:val="en-US" w:eastAsia="zh-CN"/>
              </w:rPr>
              <w:t>王斌</w:t>
            </w:r>
          </w:p>
        </w:tc>
        <w:tc>
          <w:tcPr>
            <w:tcW w:w="2900" w:type="dxa"/>
            <w:vAlign w:val="center"/>
          </w:tcPr>
          <w:p>
            <w:pPr>
              <w:jc w:val="center"/>
              <w:rPr>
                <w:rFonts w:ascii="Arial"/>
                <w:sz w:val="21"/>
              </w:rPr>
            </w:pPr>
            <w:r>
              <w:rPr>
                <w:rFonts w:hint="eastAsia" w:ascii="Arial"/>
                <w:sz w:val="21"/>
                <w:lang w:eastAsia="zh-CN"/>
              </w:rPr>
              <w:t>矿区城管综合执法局</w:t>
            </w:r>
          </w:p>
        </w:tc>
        <w:tc>
          <w:tcPr>
            <w:tcW w:w="2200" w:type="dxa"/>
            <w:vAlign w:val="center"/>
          </w:tcPr>
          <w:p>
            <w:pPr>
              <w:jc w:val="center"/>
              <w:rPr>
                <w:rFonts w:hint="eastAsia" w:ascii="Arial" w:eastAsia="宋体"/>
                <w:sz w:val="21"/>
                <w:lang w:eastAsia="zh-CN"/>
              </w:rPr>
            </w:pPr>
            <w:r>
              <w:rPr>
                <w:rFonts w:hint="eastAsia" w:ascii="Arial"/>
                <w:sz w:val="21"/>
                <w:lang w:eastAsia="zh-CN"/>
              </w:rPr>
              <w:t>财务负责人</w:t>
            </w:r>
          </w:p>
        </w:tc>
        <w:tc>
          <w:tcPr>
            <w:tcW w:w="2767"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531" w:hRule="atLeast"/>
        </w:trPr>
        <w:tc>
          <w:tcPr>
            <w:tcW w:w="1355" w:type="dxa"/>
            <w:vAlign w:val="center"/>
          </w:tcPr>
          <w:p>
            <w:pPr>
              <w:jc w:val="center"/>
              <w:rPr>
                <w:rFonts w:hint="eastAsia" w:ascii="Arial" w:eastAsia="宋体"/>
                <w:sz w:val="21"/>
                <w:lang w:eastAsia="zh-CN"/>
              </w:rPr>
            </w:pPr>
            <w:r>
              <w:rPr>
                <w:rFonts w:hint="eastAsia" w:ascii="Arial"/>
                <w:sz w:val="21"/>
                <w:lang w:eastAsia="zh-CN"/>
              </w:rPr>
              <w:t>冯丽英</w:t>
            </w:r>
          </w:p>
        </w:tc>
        <w:tc>
          <w:tcPr>
            <w:tcW w:w="2900" w:type="dxa"/>
            <w:vAlign w:val="center"/>
          </w:tcPr>
          <w:p>
            <w:pPr>
              <w:jc w:val="center"/>
              <w:rPr>
                <w:rFonts w:ascii="Arial"/>
                <w:sz w:val="21"/>
              </w:rPr>
            </w:pPr>
            <w:r>
              <w:rPr>
                <w:rFonts w:hint="eastAsia" w:ascii="Arial"/>
                <w:sz w:val="21"/>
                <w:lang w:eastAsia="zh-CN"/>
              </w:rPr>
              <w:t>矿区城管综合执法局</w:t>
            </w:r>
          </w:p>
        </w:tc>
        <w:tc>
          <w:tcPr>
            <w:tcW w:w="2200" w:type="dxa"/>
            <w:vAlign w:val="center"/>
          </w:tcPr>
          <w:p>
            <w:pPr>
              <w:jc w:val="center"/>
              <w:rPr>
                <w:rFonts w:hint="eastAsia" w:ascii="Arial" w:eastAsia="宋体"/>
                <w:sz w:val="21"/>
                <w:lang w:eastAsia="zh-CN"/>
              </w:rPr>
            </w:pPr>
            <w:r>
              <w:rPr>
                <w:rFonts w:hint="eastAsia" w:ascii="Arial"/>
                <w:sz w:val="21"/>
                <w:lang w:eastAsia="zh-CN"/>
              </w:rPr>
              <w:t>财务科职员</w:t>
            </w:r>
          </w:p>
        </w:tc>
        <w:tc>
          <w:tcPr>
            <w:tcW w:w="2767" w:type="dxa"/>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397" w:hRule="atLeast"/>
        </w:trPr>
        <w:tc>
          <w:tcPr>
            <w:tcW w:w="1355" w:type="dxa"/>
            <w:vAlign w:val="center"/>
          </w:tcPr>
          <w:p>
            <w:pPr>
              <w:jc w:val="center"/>
              <w:rPr>
                <w:rFonts w:hint="eastAsia" w:ascii="Arial" w:eastAsia="宋体"/>
                <w:sz w:val="21"/>
                <w:lang w:eastAsia="zh-CN"/>
              </w:rPr>
            </w:pPr>
            <w:r>
              <w:rPr>
                <w:rFonts w:hint="eastAsia" w:ascii="Arial"/>
                <w:sz w:val="21"/>
                <w:lang w:eastAsia="zh-CN"/>
              </w:rPr>
              <w:t>郝子璇</w:t>
            </w:r>
          </w:p>
        </w:tc>
        <w:tc>
          <w:tcPr>
            <w:tcW w:w="2900" w:type="dxa"/>
            <w:vAlign w:val="center"/>
          </w:tcPr>
          <w:p>
            <w:pPr>
              <w:jc w:val="center"/>
              <w:rPr>
                <w:rFonts w:ascii="Arial"/>
                <w:sz w:val="21"/>
              </w:rPr>
            </w:pPr>
            <w:r>
              <w:rPr>
                <w:rFonts w:hint="eastAsia" w:ascii="Arial"/>
                <w:sz w:val="21"/>
                <w:lang w:eastAsia="zh-CN"/>
              </w:rPr>
              <w:t>矿区城管综合执法局</w:t>
            </w:r>
          </w:p>
        </w:tc>
        <w:tc>
          <w:tcPr>
            <w:tcW w:w="2200" w:type="dxa"/>
            <w:vAlign w:val="center"/>
          </w:tcPr>
          <w:p>
            <w:pPr>
              <w:jc w:val="center"/>
              <w:rPr>
                <w:rFonts w:hint="eastAsia" w:ascii="Arial" w:eastAsia="宋体"/>
                <w:sz w:val="21"/>
                <w:lang w:eastAsia="zh-CN"/>
              </w:rPr>
            </w:pPr>
            <w:r>
              <w:rPr>
                <w:rFonts w:hint="eastAsia" w:ascii="Arial"/>
                <w:sz w:val="21"/>
                <w:lang w:eastAsia="zh-CN"/>
              </w:rPr>
              <w:t>财务科职员</w:t>
            </w:r>
            <w:bookmarkStart w:id="0" w:name="_GoBack"/>
            <w:bookmarkEnd w:id="0"/>
          </w:p>
        </w:tc>
        <w:tc>
          <w:tcPr>
            <w:tcW w:w="2767" w:type="dxa"/>
            <w:vAlign w:val="top"/>
          </w:tcPr>
          <w:p>
            <w:pPr>
              <w:rPr>
                <w:rFonts w:ascii="Arial"/>
                <w:sz w:val="21"/>
              </w:rPr>
            </w:pPr>
          </w:p>
        </w:tc>
      </w:tr>
    </w:tbl>
    <w:p>
      <w:pPr>
        <w:pStyle w:val="2"/>
        <w:rPr>
          <w:rFonts w:hint="eastAsia"/>
          <w:lang w:eastAsia="zh-CN"/>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2">
    <w:nsid w:val="7882F1D3"/>
    <w:multiLevelType w:val="singleLevel"/>
    <w:tmpl w:val="7882F1D3"/>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30F01992"/>
    <w:rsid w:val="3B690A0C"/>
    <w:rsid w:val="4B453F52"/>
    <w:rsid w:val="4F214C15"/>
    <w:rsid w:val="527935CA"/>
    <w:rsid w:val="58013723"/>
    <w:rsid w:val="58C63C9F"/>
    <w:rsid w:val="59077643"/>
    <w:rsid w:val="59116C47"/>
    <w:rsid w:val="5B6B7F73"/>
    <w:rsid w:val="61203F2E"/>
    <w:rsid w:val="6F97453E"/>
    <w:rsid w:val="74BD0C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5">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6">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hint="default"/>
      <w:sz w:val="21"/>
    </w:rPr>
  </w:style>
  <w:style w:type="paragraph" w:styleId="3">
    <w:name w:val="Subtitle"/>
    <w:basedOn w:val="1"/>
    <w:unhideWhenUsed/>
    <w:qFormat/>
    <w:uiPriority w:val="11"/>
    <w:pPr>
      <w:wordWrap w:val="0"/>
      <w:spacing w:beforeLines="0" w:after="60"/>
      <w:jc w:val="center"/>
    </w:pPr>
    <w:rPr>
      <w:rFonts w:hint="default"/>
      <w:sz w:val="24"/>
    </w:rPr>
  </w:style>
  <w:style w:type="paragraph" w:styleId="7">
    <w:name w:val="footer"/>
    <w:basedOn w:val="1"/>
    <w:uiPriority w:val="0"/>
    <w:pPr>
      <w:tabs>
        <w:tab w:val="center" w:pos="4153"/>
        <w:tab w:val="right" w:pos="8306"/>
      </w:tabs>
      <w:snapToGrid w:val="0"/>
      <w:jc w:val="left"/>
    </w:pPr>
    <w:rPr>
      <w:sz w:val="18"/>
    </w:rPr>
  </w:style>
  <w:style w:type="paragraph" w:styleId="8">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table" w:customStyle="1" w:styleId="15">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23</TotalTime>
  <ScaleCrop>false</ScaleCrop>
  <LinksUpToDate>false</LinksUpToDate>
  <CharactersWithSpaces>670</CharactersWithSpaces>
  <Application>WPS Office_11.1.0.8799_F1E327BC-269C-435d-A152-05C5408002CA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2025-07-17T09:03:29Z</cp:lastPrinted>
  <dcterms:modified xsi:type="dcterms:W3CDTF">2025-07-17T09:03:37Z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96934721B1514D3FBAA28020338CE855_12</vt:lpwstr>
  </property>
</Properties>
</file>