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eastAsia="宋体" w:cs="宋体"/>
          <w:b/>
          <w:bCs/>
          <w:sz w:val="44"/>
          <w:szCs w:val="44"/>
          <w:lang w:eastAsia="zh-CN"/>
        </w:rPr>
      </w:pPr>
      <w:bookmarkStart w:id="0" w:name="OLE_LINK2"/>
      <w:r>
        <w:rPr>
          <w:rFonts w:hint="eastAsia" w:ascii="宋体" w:hAnsi="宋体" w:cs="宋体"/>
          <w:b/>
          <w:bCs/>
          <w:sz w:val="44"/>
          <w:szCs w:val="44"/>
          <w:lang w:eastAsia="zh-CN"/>
        </w:rPr>
        <w:t>中共井陉矿区委统战部</w:t>
      </w:r>
    </w:p>
    <w:bookmarkEnd w:id="0"/>
    <w:p>
      <w:pPr>
        <w:spacing w:line="560" w:lineRule="exact"/>
        <w:jc w:val="center"/>
        <w:rPr>
          <w:rFonts w:ascii="宋体" w:hAnsi="宋体" w:cs="宋体"/>
          <w:b/>
          <w:bCs/>
          <w:sz w:val="44"/>
          <w:szCs w:val="44"/>
        </w:rPr>
      </w:pPr>
      <w:r>
        <w:rPr>
          <w:rFonts w:hint="eastAsia" w:ascii="宋体" w:hAnsi="宋体" w:cs="宋体"/>
          <w:b/>
          <w:bCs/>
          <w:sz w:val="44"/>
          <w:szCs w:val="44"/>
        </w:rPr>
        <w:t>202</w:t>
      </w:r>
      <w:r>
        <w:rPr>
          <w:rFonts w:ascii="宋体" w:hAnsi="宋体" w:cs="宋体"/>
          <w:b/>
          <w:bCs/>
          <w:sz w:val="44"/>
          <w:szCs w:val="44"/>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eastAsia="zh-CN"/>
        </w:rPr>
        <w:t>统战部</w:t>
      </w:r>
      <w:r>
        <w:rPr>
          <w:rFonts w:hint="eastAsia" w:ascii="仿宋" w:hAnsi="仿宋" w:eastAsia="仿宋"/>
          <w:sz w:val="32"/>
          <w:szCs w:val="32"/>
        </w:rPr>
        <w:t>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中共石家庄市井陉矿区委统战部的主要职责是贯彻落实加强党对统一战线工作集中统一领导的要求，开展统一战线理论研究，负责发现、培养党外代表人士，负责党外代表人士的政治安排，贯彻落实党的宣传工作方针，负责联系各民主党派，通报情况、反馈意见，统一领导民族宗教工作，负责联系培养无党派代表人士，参与制定、推动落实鼓励支持引导非公有制经济发展的政策措施，统一领导全区海外统战工作，统一管理全区侨务工作，负责全区涉台工作，指导乡镇（街道）党委（党工委）统一战线工作，完成区委交办的其他任务。</w:t>
      </w:r>
    </w:p>
    <w:p>
      <w:pPr>
        <w:pStyle w:val="9"/>
        <w:keepNext w:val="0"/>
        <w:keepLines w:val="0"/>
        <w:widowControl/>
        <w:suppressLineNumbers w:val="0"/>
        <w:spacing w:before="100" w:beforeAutospacing="0" w:after="75" w:afterAutospacing="0" w:line="540" w:lineRule="exact"/>
        <w:ind w:left="0" w:right="0" w:firstLine="640" w:firstLineChars="200"/>
        <w:jc w:val="left"/>
        <w:rPr>
          <w:rFonts w:ascii="仿宋" w:hAnsi="仿宋" w:eastAsia="仿宋"/>
          <w:sz w:val="32"/>
          <w:szCs w:val="32"/>
        </w:rPr>
      </w:pPr>
      <w:r>
        <w:rPr>
          <w:rFonts w:hint="eastAsia" w:ascii="仿宋_GB2312" w:hAnsi="Times New Roman" w:eastAsia="仿宋_GB2312" w:cs="Times New Roman"/>
          <w:i w:val="0"/>
          <w:iCs w:val="0"/>
          <w:caps w:val="0"/>
          <w:color w:val="000000" w:themeColor="text1"/>
          <w:spacing w:val="0"/>
          <w:kern w:val="0"/>
          <w:sz w:val="32"/>
          <w:szCs w:val="32"/>
        </w:rPr>
        <w:t>截至2024年12月31日，</w:t>
      </w:r>
      <w:r>
        <w:rPr>
          <w:rFonts w:hint="eastAsia" w:ascii="仿宋_GB2312" w:hAnsi="Times New Roman" w:eastAsia="仿宋_GB2312" w:cs="Times New Roman"/>
          <w:i w:val="0"/>
          <w:iCs w:val="0"/>
          <w:caps w:val="0"/>
          <w:color w:val="000000" w:themeColor="text1"/>
          <w:spacing w:val="0"/>
          <w:kern w:val="0"/>
          <w:sz w:val="32"/>
          <w:szCs w:val="32"/>
          <w:lang w:eastAsia="zh-CN"/>
        </w:rPr>
        <w:t>我部门独立编制机构</w:t>
      </w:r>
      <w:r>
        <w:rPr>
          <w:rFonts w:hint="eastAsia" w:ascii="仿宋_GB2312" w:hAnsi="Times New Roman" w:eastAsia="仿宋_GB2312" w:cs="Times New Roman"/>
          <w:i w:val="0"/>
          <w:iCs w:val="0"/>
          <w:caps w:val="0"/>
          <w:color w:val="000000" w:themeColor="text1"/>
          <w:spacing w:val="0"/>
          <w:kern w:val="0"/>
          <w:sz w:val="32"/>
          <w:szCs w:val="32"/>
          <w:lang w:val="en-US" w:eastAsia="zh-CN"/>
        </w:rPr>
        <w:t>2个，中共石家庄市井陉矿区委统战部、矿区统战事务中心，行政编制6个，事业编制3个，</w:t>
      </w:r>
      <w:r>
        <w:rPr>
          <w:rFonts w:hint="eastAsia" w:ascii="仿宋_GB2312" w:hAnsi="Times New Roman" w:eastAsia="仿宋_GB2312" w:cs="Times New Roman"/>
          <w:i w:val="0"/>
          <w:iCs w:val="0"/>
          <w:caps w:val="0"/>
          <w:color w:val="000000" w:themeColor="text1"/>
          <w:spacing w:val="0"/>
          <w:kern w:val="0"/>
          <w:sz w:val="32"/>
          <w:szCs w:val="32"/>
        </w:rPr>
        <w:t>编制人数9人，年末实有人数7人</w:t>
      </w:r>
      <w:r>
        <w:rPr>
          <w:rFonts w:hint="eastAsia" w:ascii="仿宋_GB2312" w:hAnsi="Times New Roman" w:eastAsia="仿宋_GB2312" w:cs="Times New Roman"/>
          <w:i w:val="0"/>
          <w:iCs w:val="0"/>
          <w:caps w:val="0"/>
          <w:color w:val="000000" w:themeColor="text1"/>
          <w:spacing w:val="0"/>
          <w:kern w:val="0"/>
          <w:sz w:val="32"/>
          <w:szCs w:val="32"/>
          <w:lang w:eastAsia="zh-CN"/>
        </w:rPr>
        <w:t>（行政编</w:t>
      </w:r>
      <w:r>
        <w:rPr>
          <w:rFonts w:hint="eastAsia" w:ascii="仿宋_GB2312" w:hAnsi="Times New Roman" w:eastAsia="仿宋_GB2312" w:cs="Times New Roman"/>
          <w:i w:val="0"/>
          <w:iCs w:val="0"/>
          <w:caps w:val="0"/>
          <w:color w:val="000000" w:themeColor="text1"/>
          <w:spacing w:val="0"/>
          <w:kern w:val="0"/>
          <w:sz w:val="32"/>
          <w:szCs w:val="32"/>
          <w:lang w:val="en-US" w:eastAsia="zh-CN"/>
        </w:rPr>
        <w:t>5人，事业编2人</w:t>
      </w:r>
      <w:r>
        <w:rPr>
          <w:rFonts w:hint="eastAsia" w:ascii="仿宋_GB2312" w:hAnsi="Times New Roman" w:eastAsia="仿宋_GB2312" w:cs="Times New Roman"/>
          <w:i w:val="0"/>
          <w:iCs w:val="0"/>
          <w:caps w:val="0"/>
          <w:color w:val="000000" w:themeColor="text1"/>
          <w:spacing w:val="0"/>
          <w:kern w:val="0"/>
          <w:sz w:val="32"/>
          <w:szCs w:val="32"/>
          <w:lang w:eastAsia="zh-CN"/>
        </w:rPr>
        <w:t>）</w:t>
      </w:r>
      <w:r>
        <w:rPr>
          <w:rFonts w:hint="eastAsia" w:ascii="仿宋_GB2312" w:hAnsi="Times New Roman" w:eastAsia="仿宋_GB2312" w:cs="Times New Roman"/>
          <w:i w:val="0"/>
          <w:iCs w:val="0"/>
          <w:caps w:val="0"/>
          <w:color w:val="000000" w:themeColor="text1"/>
          <w:spacing w:val="0"/>
          <w:kern w:val="0"/>
          <w:sz w:val="32"/>
          <w:szCs w:val="32"/>
        </w:rPr>
        <w:t>，较上年度增加1人。</w:t>
      </w:r>
      <w:r>
        <w:rPr>
          <w:rFonts w:hint="eastAsia" w:ascii="仿宋_GB2312" w:hAnsi="Times New Roman" w:eastAsia="仿宋_GB2312" w:cs="Times New Roman"/>
          <w:i w:val="0"/>
          <w:iCs w:val="0"/>
          <w:caps w:val="0"/>
          <w:color w:val="000000" w:themeColor="text1"/>
          <w:spacing w:val="0"/>
          <w:sz w:val="32"/>
          <w:szCs w:val="32"/>
          <w:lang w:bidi="ar-SA"/>
        </w:rPr>
        <w:t>截至2024年12月31日，资产总额（账面净值，下同）3.39万元，较上年减少1.1%。负债总额0万元,较上年减少100%。净资产3.39万元 ,较上年减少1.1%。</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numPr>
          <w:ilvl w:val="0"/>
          <w:numId w:val="0"/>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仿宋_GB2312" w:eastAsia="仿宋_GB2312" w:cs="仿宋_GB2312"/>
          <w:sz w:val="32"/>
          <w:szCs w:val="32"/>
          <w:shd w:val="clear" w:color="auto" w:fill="auto"/>
          <w:lang w:bidi="ar-SA"/>
        </w:rPr>
        <w:t>20</w:t>
      </w:r>
      <w:r>
        <w:rPr>
          <w:rFonts w:hint="eastAsia" w:ascii="仿宋_GB2312" w:eastAsia="仿宋_GB2312" w:cs="仿宋_GB2312"/>
          <w:sz w:val="32"/>
          <w:szCs w:val="32"/>
          <w:shd w:val="clear" w:color="auto" w:fill="auto"/>
          <w:lang w:val="en-US" w:eastAsia="zh-CN" w:bidi="ar-SA"/>
        </w:rPr>
        <w:t>24</w:t>
      </w:r>
      <w:r>
        <w:rPr>
          <w:rFonts w:hint="eastAsia" w:ascii="仿宋_GB2312" w:eastAsia="仿宋_GB2312" w:cs="仿宋_GB2312"/>
          <w:sz w:val="32"/>
          <w:szCs w:val="32"/>
          <w:shd w:val="clear" w:color="auto" w:fill="auto"/>
          <w:lang w:bidi="ar-SA"/>
        </w:rPr>
        <w:t>年度</w:t>
      </w:r>
      <w:r>
        <w:rPr>
          <w:rFonts w:hint="eastAsia" w:ascii="仿宋_GB2312" w:eastAsia="仿宋_GB2312" w:cs="仿宋_GB2312"/>
          <w:sz w:val="32"/>
          <w:szCs w:val="32"/>
          <w:shd w:val="clear" w:color="auto" w:fill="auto"/>
          <w:lang w:eastAsia="zh-CN" w:bidi="ar-SA"/>
        </w:rPr>
        <w:t>预算</w:t>
      </w:r>
      <w:r>
        <w:rPr>
          <w:rFonts w:hint="eastAsia" w:ascii="仿宋_GB2312" w:eastAsia="仿宋_GB2312" w:cs="仿宋_GB2312"/>
          <w:sz w:val="32"/>
          <w:szCs w:val="32"/>
          <w:shd w:val="clear" w:color="auto" w:fill="auto"/>
          <w:lang w:bidi="ar-SA"/>
        </w:rPr>
        <w:t>收入万元</w:t>
      </w:r>
      <w:r>
        <w:rPr>
          <w:rFonts w:hint="eastAsia" w:ascii="仿宋_GB2312" w:eastAsia="仿宋_GB2312" w:cs="仿宋_GB2312"/>
          <w:sz w:val="32"/>
          <w:szCs w:val="32"/>
          <w:shd w:val="clear" w:color="auto" w:fill="auto"/>
          <w:lang w:val="en-US" w:eastAsia="zh-CN" w:bidi="ar-SA"/>
        </w:rPr>
        <w:t>136.12万元</w:t>
      </w:r>
      <w:r>
        <w:rPr>
          <w:rFonts w:hint="eastAsia" w:ascii="仿宋_GB2312" w:eastAsia="仿宋_GB2312" w:cs="仿宋_GB2312"/>
          <w:sz w:val="32"/>
          <w:szCs w:val="32"/>
          <w:shd w:val="clear" w:color="auto" w:fill="auto"/>
          <w:lang w:bidi="ar-SA"/>
        </w:rPr>
        <w:t>，</w:t>
      </w:r>
      <w:r>
        <w:rPr>
          <w:rFonts w:hint="eastAsia" w:ascii="仿宋_GB2312" w:eastAsia="仿宋_GB2312" w:cs="仿宋_GB2312"/>
          <w:color w:val="auto"/>
          <w:kern w:val="0"/>
          <w:sz w:val="32"/>
          <w:szCs w:val="32"/>
          <w:lang w:bidi="ar"/>
        </w:rPr>
        <w:t>20</w:t>
      </w:r>
      <w:r>
        <w:rPr>
          <w:rFonts w:hint="eastAsia" w:ascii="仿宋_GB2312" w:eastAsia="仿宋_GB2312" w:cs="仿宋_GB2312"/>
          <w:color w:val="auto"/>
          <w:kern w:val="0"/>
          <w:sz w:val="32"/>
          <w:szCs w:val="32"/>
          <w:lang w:val="en-US" w:eastAsia="zh-CN" w:bidi="ar"/>
        </w:rPr>
        <w:t>24</w:t>
      </w:r>
      <w:r>
        <w:rPr>
          <w:rFonts w:hint="eastAsia" w:ascii="仿宋_GB2312" w:eastAsia="仿宋_GB2312" w:cs="仿宋_GB2312"/>
          <w:color w:val="auto"/>
          <w:kern w:val="0"/>
          <w:sz w:val="32"/>
          <w:szCs w:val="32"/>
          <w:lang w:bidi="ar"/>
        </w:rPr>
        <w:t>年实际总收入</w:t>
      </w:r>
      <w:r>
        <w:rPr>
          <w:rFonts w:hint="eastAsia" w:ascii="仿宋_GB2312" w:eastAsia="仿宋_GB2312" w:cs="仿宋_GB2312"/>
          <w:color w:val="auto"/>
          <w:sz w:val="32"/>
          <w:szCs w:val="32"/>
          <w:shd w:val="clear" w:color="auto" w:fill="auto"/>
          <w:lang w:val="en-US" w:eastAsia="zh-CN" w:bidi="ar-SA"/>
        </w:rPr>
        <w:t>137.32</w:t>
      </w:r>
      <w:r>
        <w:rPr>
          <w:rFonts w:hint="eastAsia" w:ascii="仿宋_GB2312" w:eastAsia="仿宋_GB2312" w:cs="仿宋_GB2312"/>
          <w:color w:val="auto"/>
          <w:kern w:val="0"/>
          <w:sz w:val="32"/>
          <w:szCs w:val="32"/>
          <w:lang w:bidi="ar"/>
        </w:rPr>
        <w:t>万元</w:t>
      </w:r>
      <w:r>
        <w:rPr>
          <w:rFonts w:hint="eastAsia" w:ascii="仿宋_GB2312" w:eastAsia="仿宋_GB2312" w:cs="仿宋_GB2312"/>
          <w:color w:val="auto"/>
          <w:kern w:val="0"/>
          <w:sz w:val="32"/>
          <w:szCs w:val="32"/>
          <w:lang w:eastAsia="zh-CN" w:bidi="ar"/>
        </w:rPr>
        <w:t>（一般财政预算收入</w:t>
      </w:r>
      <w:r>
        <w:rPr>
          <w:rFonts w:hint="eastAsia" w:ascii="仿宋_GB2312" w:eastAsia="仿宋_GB2312" w:cs="仿宋_GB2312"/>
          <w:color w:val="auto"/>
          <w:kern w:val="0"/>
          <w:sz w:val="32"/>
          <w:szCs w:val="32"/>
          <w:lang w:val="en-US" w:eastAsia="zh-CN" w:bidi="ar"/>
        </w:rPr>
        <w:t>136.12万元，市级专款1.2万元</w:t>
      </w:r>
      <w:r>
        <w:rPr>
          <w:rFonts w:hint="eastAsia" w:ascii="仿宋_GB2312" w:eastAsia="仿宋_GB2312" w:cs="仿宋_GB2312"/>
          <w:color w:val="auto"/>
          <w:kern w:val="0"/>
          <w:sz w:val="32"/>
          <w:szCs w:val="32"/>
          <w:lang w:eastAsia="zh-CN" w:bidi="ar"/>
        </w:rPr>
        <w:t>）</w:t>
      </w:r>
      <w:r>
        <w:rPr>
          <w:rFonts w:hint="eastAsia" w:ascii="仿宋_GB2312" w:eastAsia="仿宋_GB2312" w:cs="仿宋_GB2312"/>
          <w:color w:val="auto"/>
          <w:kern w:val="0"/>
          <w:sz w:val="32"/>
          <w:szCs w:val="32"/>
          <w:lang w:bidi="ar"/>
        </w:rPr>
        <w:t>，基本支出</w:t>
      </w:r>
      <w:r>
        <w:rPr>
          <w:rFonts w:hint="eastAsia" w:ascii="仿宋_GB2312" w:eastAsia="仿宋_GB2312" w:cs="仿宋_GB2312"/>
          <w:color w:val="auto"/>
          <w:sz w:val="32"/>
          <w:szCs w:val="32"/>
          <w:lang w:val="en-US" w:eastAsia="zh-CN" w:bidi="ar-SA"/>
        </w:rPr>
        <w:t>123.94</w:t>
      </w:r>
      <w:r>
        <w:rPr>
          <w:rFonts w:hint="eastAsia" w:ascii="仿宋_GB2312" w:eastAsia="仿宋_GB2312" w:cs="仿宋_GB2312"/>
          <w:color w:val="auto"/>
          <w:kern w:val="0"/>
          <w:sz w:val="32"/>
          <w:szCs w:val="32"/>
          <w:lang w:bidi="ar"/>
        </w:rPr>
        <w:t>万元</w:t>
      </w:r>
      <w:r>
        <w:rPr>
          <w:rFonts w:hint="eastAsia" w:ascii="仿宋_GB2312" w:eastAsia="仿宋_GB2312" w:cs="仿宋_GB2312"/>
          <w:color w:val="auto"/>
          <w:kern w:val="0"/>
          <w:sz w:val="32"/>
          <w:szCs w:val="32"/>
          <w:lang w:eastAsia="zh-CN" w:bidi="ar"/>
        </w:rPr>
        <w:t>，</w:t>
      </w:r>
      <w:r>
        <w:rPr>
          <w:rFonts w:hint="eastAsia" w:ascii="仿宋_GB2312" w:eastAsia="仿宋_GB2312" w:cs="仿宋_GB2312"/>
          <w:color w:val="auto"/>
          <w:kern w:val="0"/>
          <w:sz w:val="32"/>
          <w:szCs w:val="32"/>
          <w:lang w:bidi="ar"/>
        </w:rPr>
        <w:t>占总支出</w:t>
      </w:r>
      <w:r>
        <w:rPr>
          <w:rFonts w:hint="eastAsia" w:ascii="仿宋_GB2312" w:eastAsia="仿宋_GB2312" w:cs="仿宋_GB2312"/>
          <w:color w:val="auto"/>
          <w:kern w:val="0"/>
          <w:sz w:val="32"/>
          <w:szCs w:val="32"/>
          <w:lang w:val="en-US" w:eastAsia="zh-CN" w:bidi="ar"/>
        </w:rPr>
        <w:t>91</w:t>
      </w:r>
      <w:r>
        <w:rPr>
          <w:rFonts w:hint="eastAsia" w:ascii="仿宋_GB2312" w:eastAsia="仿宋_GB2312" w:cs="仿宋_GB2312"/>
          <w:color w:val="auto"/>
          <w:kern w:val="0"/>
          <w:sz w:val="32"/>
          <w:szCs w:val="32"/>
          <w:lang w:bidi="ar"/>
        </w:rPr>
        <w:t>%；项目支出</w:t>
      </w:r>
      <w:r>
        <w:rPr>
          <w:rFonts w:hint="eastAsia" w:ascii="仿宋_GB2312" w:eastAsia="仿宋_GB2312" w:cs="仿宋_GB2312"/>
          <w:color w:val="auto"/>
          <w:sz w:val="32"/>
          <w:szCs w:val="32"/>
          <w:lang w:val="en-US" w:eastAsia="zh-CN" w:bidi="ar-SA"/>
        </w:rPr>
        <w:t>13.38</w:t>
      </w:r>
      <w:r>
        <w:rPr>
          <w:rFonts w:hint="eastAsia" w:ascii="仿宋_GB2312" w:eastAsia="仿宋_GB2312" w:cs="仿宋_GB2312"/>
          <w:color w:val="auto"/>
          <w:kern w:val="0"/>
          <w:sz w:val="32"/>
          <w:szCs w:val="32"/>
          <w:lang w:bidi="ar"/>
        </w:rPr>
        <w:t>万元</w:t>
      </w:r>
      <w:r>
        <w:rPr>
          <w:rFonts w:hint="eastAsia" w:ascii="仿宋_GB2312" w:eastAsia="仿宋_GB2312" w:cs="仿宋_GB2312"/>
          <w:color w:val="auto"/>
          <w:kern w:val="0"/>
          <w:sz w:val="32"/>
          <w:szCs w:val="32"/>
          <w:lang w:eastAsia="zh-CN" w:bidi="ar"/>
        </w:rPr>
        <w:t>，</w:t>
      </w:r>
      <w:r>
        <w:rPr>
          <w:rFonts w:hint="eastAsia" w:ascii="仿宋_GB2312" w:eastAsia="仿宋_GB2312" w:cs="仿宋_GB2312"/>
          <w:color w:val="auto"/>
          <w:kern w:val="0"/>
          <w:sz w:val="32"/>
          <w:szCs w:val="32"/>
          <w:lang w:bidi="ar"/>
        </w:rPr>
        <w:t>占总收入</w:t>
      </w:r>
      <w:r>
        <w:rPr>
          <w:rFonts w:hint="eastAsia" w:ascii="仿宋_GB2312" w:eastAsia="仿宋_GB2312" w:cs="仿宋_GB2312"/>
          <w:color w:val="auto"/>
          <w:kern w:val="0"/>
          <w:sz w:val="32"/>
          <w:szCs w:val="32"/>
          <w:lang w:val="en-US" w:eastAsia="zh-CN" w:bidi="ar"/>
        </w:rPr>
        <w:t>9</w:t>
      </w:r>
      <w:r>
        <w:rPr>
          <w:rFonts w:hint="eastAsia" w:ascii="仿宋_GB2312" w:eastAsia="仿宋_GB2312" w:cs="仿宋_GB2312"/>
          <w:color w:val="auto"/>
          <w:kern w:val="0"/>
          <w:sz w:val="32"/>
          <w:szCs w:val="32"/>
          <w:lang w:bidi="ar"/>
        </w:rPr>
        <w:t>%。</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cs="仿宋"/>
          <w:sz w:val="32"/>
          <w:szCs w:val="32"/>
          <w:lang w:eastAsia="zh-CN"/>
        </w:rPr>
        <w:t>按照要求，我部严格项目资金使用程序，做到财尽其用，</w:t>
      </w:r>
      <w:r>
        <w:rPr>
          <w:rFonts w:hint="eastAsia" w:ascii="仿宋" w:hAnsi="仿宋" w:eastAsia="仿宋" w:cs="仿宋"/>
          <w:sz w:val="32"/>
          <w:szCs w:val="32"/>
          <w:lang w:val="en-US" w:eastAsia="zh-CN"/>
        </w:rPr>
        <w:t>截止，2024年12月底，预算调整后资金11.36万元，</w:t>
      </w:r>
      <w:r>
        <w:rPr>
          <w:rFonts w:hint="eastAsia" w:ascii="仿宋" w:hAnsi="仿宋" w:eastAsia="仿宋" w:cs="仿宋"/>
          <w:sz w:val="32"/>
          <w:szCs w:val="32"/>
        </w:rPr>
        <w:t>到位资金</w:t>
      </w:r>
      <w:r>
        <w:rPr>
          <w:rFonts w:hint="eastAsia" w:ascii="仿宋" w:hAnsi="仿宋" w:eastAsia="仿宋" w:cs="仿宋"/>
          <w:sz w:val="32"/>
          <w:szCs w:val="32"/>
          <w:lang w:val="en-US" w:eastAsia="zh-CN"/>
        </w:rPr>
        <w:t>11.36</w:t>
      </w:r>
      <w:r>
        <w:rPr>
          <w:rFonts w:hint="eastAsia" w:ascii="仿宋" w:hAnsi="仿宋" w:eastAsia="仿宋" w:cs="仿宋"/>
          <w:sz w:val="32"/>
          <w:szCs w:val="32"/>
        </w:rPr>
        <w:t>万元，执行资金</w:t>
      </w:r>
      <w:r>
        <w:rPr>
          <w:rFonts w:hint="eastAsia" w:ascii="仿宋" w:hAnsi="仿宋" w:eastAsia="仿宋" w:cs="仿宋"/>
          <w:sz w:val="32"/>
          <w:szCs w:val="32"/>
          <w:lang w:val="en-US" w:eastAsia="zh-CN"/>
        </w:rPr>
        <w:t>11.36</w:t>
      </w:r>
      <w:r>
        <w:rPr>
          <w:rFonts w:hint="eastAsia" w:ascii="仿宋" w:hAnsi="仿宋" w:eastAsia="仿宋" w:cs="仿宋"/>
          <w:sz w:val="32"/>
          <w:szCs w:val="32"/>
        </w:rPr>
        <w:t>万元，预算执行率</w:t>
      </w:r>
      <w:r>
        <w:rPr>
          <w:rFonts w:hint="eastAsia" w:ascii="仿宋" w:hAnsi="仿宋" w:eastAsia="仿宋" w:cs="仿宋"/>
          <w:sz w:val="32"/>
          <w:szCs w:val="32"/>
          <w:lang w:val="en-US" w:eastAsia="zh-CN"/>
        </w:rPr>
        <w:t>100</w:t>
      </w:r>
      <w:r>
        <w:rPr>
          <w:rFonts w:hint="eastAsia" w:ascii="仿宋" w:hAnsi="仿宋" w:eastAsia="仿宋" w:cs="仿宋"/>
          <w:sz w:val="32"/>
          <w:szCs w:val="32"/>
        </w:rPr>
        <w:t>%。</w:t>
      </w:r>
      <w:r>
        <w:rPr>
          <w:rFonts w:hint="eastAsia" w:ascii="仿宋" w:hAnsi="仿宋" w:eastAsia="仿宋" w:cs="仿宋"/>
          <w:sz w:val="32"/>
          <w:szCs w:val="32"/>
          <w:lang w:val="en-US" w:eastAsia="zh-CN"/>
        </w:rPr>
        <w:t>云视频网费</w:t>
      </w:r>
      <w:r>
        <w:rPr>
          <w:rFonts w:hint="eastAsia" w:ascii="仿宋" w:hAnsi="仿宋" w:eastAsia="仿宋" w:cs="仿宋"/>
          <w:sz w:val="32"/>
          <w:szCs w:val="32"/>
          <w:lang w:eastAsia="zh-CN"/>
        </w:rPr>
        <w:t>使用</w:t>
      </w:r>
      <w:r>
        <w:rPr>
          <w:rFonts w:hint="eastAsia" w:ascii="仿宋" w:hAnsi="仿宋" w:eastAsia="仿宋" w:cs="仿宋"/>
          <w:sz w:val="32"/>
          <w:szCs w:val="32"/>
          <w:lang w:val="en-US" w:eastAsia="zh-CN"/>
        </w:rPr>
        <w:t>1.272万元，</w:t>
      </w:r>
      <w:r>
        <w:rPr>
          <w:rFonts w:hint="eastAsia" w:ascii="仿宋" w:hAnsi="仿宋" w:eastAsia="仿宋" w:cs="仿宋"/>
          <w:sz w:val="32"/>
          <w:szCs w:val="32"/>
        </w:rPr>
        <w:t>预算执行率</w:t>
      </w:r>
      <w:r>
        <w:rPr>
          <w:rFonts w:hint="eastAsia" w:ascii="仿宋" w:hAnsi="仿宋" w:eastAsia="仿宋" w:cs="仿宋"/>
          <w:sz w:val="32"/>
          <w:szCs w:val="32"/>
          <w:lang w:val="en-US" w:eastAsia="zh-CN"/>
        </w:rPr>
        <w:t>100</w:t>
      </w:r>
      <w:r>
        <w:rPr>
          <w:rFonts w:hint="eastAsia" w:ascii="仿宋" w:hAnsi="仿宋" w:eastAsia="仿宋" w:cs="仿宋"/>
          <w:sz w:val="32"/>
          <w:szCs w:val="32"/>
        </w:rPr>
        <w:t>%</w:t>
      </w:r>
      <w:r>
        <w:rPr>
          <w:rFonts w:hint="eastAsia" w:ascii="仿宋" w:hAnsi="仿宋" w:eastAsia="仿宋" w:cs="仿宋"/>
          <w:sz w:val="32"/>
          <w:szCs w:val="32"/>
          <w:lang w:eastAsia="zh-CN"/>
        </w:rPr>
        <w:t>，目标总体完成率</w:t>
      </w:r>
      <w:r>
        <w:rPr>
          <w:rFonts w:hint="eastAsia" w:ascii="仿宋" w:hAnsi="仿宋" w:eastAsia="仿宋" w:cs="仿宋"/>
          <w:sz w:val="32"/>
          <w:szCs w:val="32"/>
          <w:lang w:val="en-US" w:eastAsia="zh-CN"/>
        </w:rPr>
        <w:t>100%</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劳务派遣人员经费使用2.91万元，</w:t>
      </w:r>
      <w:r>
        <w:rPr>
          <w:rFonts w:hint="eastAsia" w:ascii="仿宋" w:hAnsi="仿宋" w:eastAsia="仿宋" w:cs="仿宋"/>
          <w:sz w:val="32"/>
          <w:szCs w:val="32"/>
        </w:rPr>
        <w:t>预算执行率</w:t>
      </w:r>
      <w:r>
        <w:rPr>
          <w:rFonts w:hint="eastAsia" w:ascii="仿宋" w:hAnsi="仿宋" w:eastAsia="仿宋" w:cs="仿宋"/>
          <w:sz w:val="32"/>
          <w:szCs w:val="32"/>
          <w:lang w:val="en-US" w:eastAsia="zh-CN"/>
        </w:rPr>
        <w:t>100</w:t>
      </w:r>
      <w:r>
        <w:rPr>
          <w:rFonts w:hint="eastAsia" w:ascii="仿宋" w:hAnsi="仿宋" w:eastAsia="仿宋" w:cs="仿宋"/>
          <w:sz w:val="32"/>
          <w:szCs w:val="32"/>
        </w:rPr>
        <w:t>%</w:t>
      </w:r>
      <w:r>
        <w:rPr>
          <w:rFonts w:hint="eastAsia" w:ascii="仿宋" w:hAnsi="仿宋" w:eastAsia="仿宋" w:cs="仿宋"/>
          <w:sz w:val="32"/>
          <w:szCs w:val="32"/>
          <w:lang w:eastAsia="zh-CN"/>
        </w:rPr>
        <w:t>，目标总体完成率</w:t>
      </w:r>
      <w:r>
        <w:rPr>
          <w:rFonts w:hint="eastAsia" w:ascii="仿宋" w:hAnsi="仿宋" w:eastAsia="仿宋" w:cs="仿宋"/>
          <w:sz w:val="32"/>
          <w:szCs w:val="32"/>
          <w:lang w:val="en-US" w:eastAsia="zh-CN"/>
        </w:rPr>
        <w:t>100%</w:t>
      </w:r>
      <w:r>
        <w:rPr>
          <w:rFonts w:hint="eastAsia" w:ascii="仿宋" w:hAnsi="仿宋" w:eastAsia="仿宋" w:cs="仿宋"/>
          <w:sz w:val="32"/>
          <w:szCs w:val="32"/>
          <w:lang w:eastAsia="zh-CN"/>
        </w:rPr>
        <w:t>；</w:t>
      </w:r>
      <w:bookmarkStart w:id="1" w:name="OLE_LINK4"/>
      <w:r>
        <w:rPr>
          <w:rFonts w:hint="eastAsia" w:ascii="仿宋" w:hAnsi="仿宋" w:eastAsia="仿宋" w:cs="仿宋"/>
          <w:sz w:val="32"/>
          <w:szCs w:val="32"/>
          <w:lang w:val="en-US" w:eastAsia="zh-CN"/>
        </w:rPr>
        <w:t>2023年省市级宗教事务补助经费</w:t>
      </w:r>
      <w:bookmarkEnd w:id="1"/>
      <w:r>
        <w:rPr>
          <w:rFonts w:hint="eastAsia" w:ascii="仿宋" w:hAnsi="仿宋" w:eastAsia="仿宋" w:cs="仿宋"/>
          <w:sz w:val="32"/>
          <w:szCs w:val="32"/>
          <w:lang w:eastAsia="zh-CN"/>
        </w:rPr>
        <w:t>使用</w:t>
      </w:r>
      <w:r>
        <w:rPr>
          <w:rFonts w:hint="eastAsia" w:ascii="仿宋" w:hAnsi="仿宋" w:eastAsia="仿宋" w:cs="仿宋"/>
          <w:sz w:val="32"/>
          <w:szCs w:val="32"/>
          <w:lang w:val="en-US" w:eastAsia="zh-CN"/>
        </w:rPr>
        <w:t>2万元，</w:t>
      </w:r>
      <w:r>
        <w:rPr>
          <w:rFonts w:hint="eastAsia" w:ascii="仿宋" w:hAnsi="仿宋" w:eastAsia="仿宋" w:cs="仿宋"/>
          <w:sz w:val="32"/>
          <w:szCs w:val="32"/>
        </w:rPr>
        <w:t>预算执行率</w:t>
      </w:r>
      <w:r>
        <w:rPr>
          <w:rFonts w:hint="eastAsia" w:ascii="仿宋" w:hAnsi="仿宋" w:eastAsia="仿宋" w:cs="仿宋"/>
          <w:sz w:val="32"/>
          <w:szCs w:val="32"/>
          <w:lang w:val="en-US" w:eastAsia="zh-CN"/>
        </w:rPr>
        <w:t>100</w:t>
      </w:r>
      <w:r>
        <w:rPr>
          <w:rFonts w:hint="eastAsia" w:ascii="仿宋" w:hAnsi="仿宋" w:eastAsia="仿宋" w:cs="仿宋"/>
          <w:sz w:val="32"/>
          <w:szCs w:val="32"/>
        </w:rPr>
        <w:t>%</w:t>
      </w:r>
      <w:r>
        <w:rPr>
          <w:rFonts w:hint="eastAsia" w:ascii="仿宋" w:hAnsi="仿宋" w:eastAsia="仿宋" w:cs="仿宋"/>
          <w:sz w:val="32"/>
          <w:szCs w:val="32"/>
          <w:lang w:eastAsia="zh-CN"/>
        </w:rPr>
        <w:t>，</w:t>
      </w:r>
      <w:bookmarkStart w:id="2" w:name="OLE_LINK3"/>
      <w:r>
        <w:rPr>
          <w:rFonts w:hint="eastAsia" w:ascii="仿宋" w:hAnsi="仿宋" w:eastAsia="仿宋" w:cs="仿宋"/>
          <w:sz w:val="32"/>
          <w:szCs w:val="32"/>
          <w:lang w:eastAsia="zh-CN"/>
        </w:rPr>
        <w:t>目标总体完成率</w:t>
      </w:r>
      <w:r>
        <w:rPr>
          <w:rFonts w:hint="eastAsia" w:ascii="仿宋" w:hAnsi="仿宋" w:eastAsia="仿宋" w:cs="仿宋"/>
          <w:sz w:val="32"/>
          <w:szCs w:val="32"/>
          <w:lang w:val="en-US" w:eastAsia="zh-CN"/>
        </w:rPr>
        <w:t>100%</w:t>
      </w:r>
      <w:r>
        <w:rPr>
          <w:rFonts w:hint="eastAsia" w:ascii="仿宋" w:hAnsi="仿宋" w:eastAsia="仿宋" w:cs="仿宋"/>
          <w:sz w:val="32"/>
          <w:szCs w:val="32"/>
          <w:lang w:eastAsia="zh-CN"/>
        </w:rPr>
        <w:t>；</w:t>
      </w:r>
      <w:bookmarkEnd w:id="2"/>
      <w:r>
        <w:rPr>
          <w:rFonts w:hint="eastAsia" w:ascii="仿宋" w:hAnsi="仿宋" w:eastAsia="仿宋" w:cs="仿宋"/>
          <w:sz w:val="32"/>
          <w:szCs w:val="32"/>
          <w:lang w:val="en-US" w:eastAsia="zh-CN"/>
        </w:rPr>
        <w:t>2024年市级基层宗教工作专项经费2万元，</w:t>
      </w:r>
      <w:r>
        <w:rPr>
          <w:rFonts w:hint="eastAsia" w:ascii="仿宋" w:hAnsi="仿宋" w:eastAsia="仿宋" w:cs="仿宋"/>
          <w:sz w:val="32"/>
          <w:szCs w:val="32"/>
          <w:lang w:eastAsia="zh-CN"/>
        </w:rPr>
        <w:t>目标总体完成率</w:t>
      </w:r>
      <w:r>
        <w:rPr>
          <w:rFonts w:hint="eastAsia" w:ascii="仿宋" w:hAnsi="仿宋" w:eastAsia="仿宋" w:cs="仿宋"/>
          <w:sz w:val="32"/>
          <w:szCs w:val="32"/>
          <w:lang w:val="en-US" w:eastAsia="zh-CN"/>
        </w:rPr>
        <w:t>100%</w:t>
      </w:r>
      <w:r>
        <w:rPr>
          <w:rFonts w:hint="eastAsia" w:ascii="仿宋" w:hAnsi="仿宋" w:eastAsia="仿宋" w:cs="仿宋"/>
          <w:sz w:val="32"/>
          <w:szCs w:val="32"/>
          <w:lang w:eastAsia="zh-CN"/>
        </w:rPr>
        <w:t>；台办、侨联、统战工作经费使用</w:t>
      </w:r>
      <w:r>
        <w:rPr>
          <w:rFonts w:hint="eastAsia" w:ascii="仿宋" w:hAnsi="仿宋" w:eastAsia="仿宋" w:cs="仿宋"/>
          <w:sz w:val="32"/>
          <w:szCs w:val="32"/>
          <w:lang w:val="en-US" w:eastAsia="zh-CN"/>
        </w:rPr>
        <w:t>2.99995万元</w:t>
      </w:r>
      <w:r>
        <w:rPr>
          <w:rFonts w:hint="eastAsia" w:ascii="仿宋" w:hAnsi="仿宋" w:eastAsia="仿宋" w:cs="仿宋"/>
          <w:sz w:val="32"/>
          <w:szCs w:val="32"/>
          <w:lang w:eastAsia="zh-CN"/>
        </w:rPr>
        <w:t>，</w:t>
      </w:r>
      <w:r>
        <w:rPr>
          <w:rFonts w:hint="eastAsia" w:ascii="仿宋" w:hAnsi="仿宋" w:eastAsia="仿宋" w:cs="仿宋"/>
          <w:sz w:val="32"/>
          <w:szCs w:val="32"/>
        </w:rPr>
        <w:t>预算执行率</w:t>
      </w:r>
      <w:r>
        <w:rPr>
          <w:rFonts w:hint="eastAsia" w:ascii="仿宋" w:hAnsi="仿宋" w:eastAsia="仿宋" w:cs="仿宋"/>
          <w:sz w:val="32"/>
          <w:szCs w:val="32"/>
          <w:lang w:val="en-US" w:eastAsia="zh-CN"/>
        </w:rPr>
        <w:t>100</w:t>
      </w:r>
      <w:r>
        <w:rPr>
          <w:rFonts w:hint="eastAsia" w:ascii="仿宋" w:hAnsi="仿宋" w:eastAsia="仿宋" w:cs="仿宋"/>
          <w:sz w:val="32"/>
          <w:szCs w:val="32"/>
        </w:rPr>
        <w:t>%</w:t>
      </w:r>
      <w:r>
        <w:rPr>
          <w:rFonts w:hint="eastAsia" w:ascii="仿宋" w:hAnsi="仿宋" w:eastAsia="仿宋" w:cs="仿宋"/>
          <w:sz w:val="32"/>
          <w:szCs w:val="32"/>
          <w:lang w:val="en-US" w:eastAsia="zh-CN"/>
        </w:rPr>
        <w:t>；区级民族宗教事务管理资金</w:t>
      </w:r>
      <w:r>
        <w:rPr>
          <w:rFonts w:hint="eastAsia" w:ascii="仿宋" w:hAnsi="仿宋" w:eastAsia="仿宋" w:cs="仿宋"/>
          <w:sz w:val="32"/>
          <w:szCs w:val="32"/>
          <w:lang w:eastAsia="zh-CN"/>
        </w:rPr>
        <w:t>使用</w:t>
      </w:r>
      <w:r>
        <w:rPr>
          <w:rFonts w:hint="eastAsia" w:ascii="仿宋" w:hAnsi="仿宋" w:eastAsia="仿宋" w:cs="仿宋"/>
          <w:sz w:val="32"/>
          <w:szCs w:val="32"/>
          <w:lang w:val="en-US" w:eastAsia="zh-CN"/>
        </w:rPr>
        <w:t>0.18万元，</w:t>
      </w:r>
      <w:r>
        <w:rPr>
          <w:rFonts w:hint="eastAsia" w:ascii="仿宋" w:hAnsi="仿宋" w:eastAsia="仿宋" w:cs="仿宋"/>
          <w:sz w:val="32"/>
          <w:szCs w:val="32"/>
        </w:rPr>
        <w:t>预算执行率</w:t>
      </w:r>
      <w:r>
        <w:rPr>
          <w:rFonts w:hint="eastAsia" w:ascii="仿宋" w:hAnsi="仿宋" w:eastAsia="仿宋" w:cs="仿宋"/>
          <w:sz w:val="32"/>
          <w:szCs w:val="32"/>
          <w:lang w:val="en-US" w:eastAsia="zh-CN"/>
        </w:rPr>
        <w:t>100</w:t>
      </w:r>
      <w:r>
        <w:rPr>
          <w:rFonts w:hint="eastAsia" w:ascii="仿宋" w:hAnsi="仿宋" w:eastAsia="仿宋" w:cs="仿宋"/>
          <w:sz w:val="32"/>
          <w:szCs w:val="32"/>
        </w:rPr>
        <w:t>%</w:t>
      </w:r>
      <w:r>
        <w:rPr>
          <w:rFonts w:hint="eastAsia" w:ascii="仿宋" w:hAnsi="仿宋" w:eastAsia="仿宋" w:cs="仿宋"/>
          <w:sz w:val="32"/>
          <w:szCs w:val="32"/>
          <w:lang w:eastAsia="zh-CN"/>
        </w:rPr>
        <w:t>，目标总体完成率</w:t>
      </w:r>
      <w:r>
        <w:rPr>
          <w:rFonts w:hint="eastAsia" w:ascii="仿宋" w:hAnsi="仿宋" w:eastAsia="仿宋" w:cs="仿宋"/>
          <w:sz w:val="32"/>
          <w:szCs w:val="32"/>
          <w:lang w:val="en-US" w:eastAsia="zh-CN"/>
        </w:rPr>
        <w:t>100%。</w:t>
      </w:r>
      <w:r>
        <w:rPr>
          <w:rFonts w:hint="eastAsia" w:ascii="仿宋" w:hAnsi="仿宋" w:eastAsia="仿宋" w:cs="仿宋"/>
          <w:sz w:val="32"/>
          <w:szCs w:val="32"/>
          <w:lang w:eastAsia="zh-CN"/>
        </w:rPr>
        <w:t>各项工作圆满完成。</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sz w:val="32"/>
          <w:szCs w:val="32"/>
          <w:lang w:eastAsia="zh-CN"/>
        </w:rPr>
        <w:t>区委统战部高度重视此项绩效自评工作，成立了绩效评价小组，组长由区委统战部常务副部长李莉芳担任，成员包括各股室负责人、财务主管负责人，按照通知要求，评价组事先制定了自评工作方案，明确评价内容、评价程序及时间安排，并组织召开专题会议，要求各股室提前准备相关资料，积极配合做好自评工作。</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评价以202</w:t>
      </w:r>
      <w:r>
        <w:rPr>
          <w:rFonts w:hint="eastAsia" w:ascii="仿宋" w:hAnsi="仿宋" w:eastAsia="仿宋"/>
          <w:sz w:val="32"/>
          <w:szCs w:val="32"/>
          <w:lang w:val="en-US" w:eastAsia="zh-CN"/>
        </w:rPr>
        <w:t>4</w:t>
      </w:r>
      <w:r>
        <w:rPr>
          <w:rFonts w:hint="eastAsia" w:ascii="仿宋" w:hAnsi="仿宋" w:eastAsia="仿宋"/>
          <w:sz w:val="32"/>
          <w:szCs w:val="32"/>
          <w:lang w:eastAsia="zh-CN"/>
        </w:rPr>
        <w:t>年初预算确定的项目绩效目标和绩效指标为依据，通过对相关账目进行核实，对比各绩效指标完成情况，进一步分析和总结，对</w:t>
      </w:r>
      <w:r>
        <w:rPr>
          <w:rFonts w:hint="eastAsia" w:ascii="仿宋" w:hAnsi="仿宋" w:eastAsia="仿宋"/>
          <w:sz w:val="32"/>
          <w:szCs w:val="32"/>
          <w:lang w:val="en-US" w:eastAsia="zh-CN"/>
        </w:rPr>
        <w:t>6</w:t>
      </w:r>
      <w:r>
        <w:rPr>
          <w:rFonts w:hint="eastAsia" w:ascii="仿宋" w:hAnsi="仿宋" w:eastAsia="仿宋"/>
          <w:sz w:val="32"/>
          <w:szCs w:val="32"/>
          <w:lang w:eastAsia="zh-CN"/>
        </w:rPr>
        <w:t>个项目进行了自评价，并完成《</w:t>
      </w:r>
      <w:r>
        <w:rPr>
          <w:rFonts w:hint="eastAsia" w:ascii="仿宋" w:hAnsi="仿宋" w:eastAsia="仿宋"/>
          <w:sz w:val="32"/>
          <w:szCs w:val="32"/>
          <w:lang w:val="en-US" w:eastAsia="zh-CN"/>
        </w:rPr>
        <w:t>2024年度区级</w:t>
      </w:r>
      <w:r>
        <w:rPr>
          <w:rFonts w:hint="eastAsia" w:ascii="仿宋" w:hAnsi="仿宋" w:eastAsia="仿宋"/>
          <w:sz w:val="32"/>
          <w:szCs w:val="32"/>
          <w:lang w:eastAsia="zh-CN"/>
        </w:rPr>
        <w:t>项目绩效自评表》，且对活动经费项目进行了重点评价，出具专项资金绩效评价报告。</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bookmarkStart w:id="3" w:name="OLE_LINK5"/>
      <w:bookmarkStart w:id="7" w:name="_GoBack"/>
      <w:r>
        <w:rPr>
          <w:rFonts w:hint="eastAsia" w:ascii="仿宋" w:hAnsi="仿宋" w:eastAsia="仿宋"/>
          <w:sz w:val="32"/>
          <w:szCs w:val="32"/>
          <w:lang w:eastAsia="zh-CN"/>
        </w:rPr>
        <w:t>按照深化绩效预算管理的要求，202</w:t>
      </w:r>
      <w:r>
        <w:rPr>
          <w:rFonts w:hint="eastAsia" w:ascii="仿宋" w:hAnsi="仿宋" w:eastAsia="仿宋"/>
          <w:sz w:val="32"/>
          <w:szCs w:val="32"/>
          <w:lang w:val="en-US" w:eastAsia="zh-CN"/>
        </w:rPr>
        <w:t>4</w:t>
      </w:r>
      <w:r>
        <w:rPr>
          <w:rFonts w:hint="eastAsia" w:ascii="仿宋" w:hAnsi="仿宋" w:eastAsia="仿宋"/>
          <w:sz w:val="32"/>
          <w:szCs w:val="32"/>
          <w:lang w:eastAsia="zh-CN"/>
        </w:rPr>
        <w:t>年继续优化“部门职责-工作活动-预算项目”的绩效预算管理结构，分三个层次分别制定了绩效目标和指标，力争可审核、可监控、可评价，将绩效管理融入项目管理全过程，为提高资金使用效果，规范预算管理打下良好基础。经过努力，我部年初预算中所列的绩效目标全部实现。</w:t>
      </w:r>
      <w:bookmarkEnd w:id="7"/>
    </w:p>
    <w:bookmarkEnd w:id="3"/>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eastAsia="zh-CN"/>
        </w:rPr>
        <w:t>我部的分期绩效目标均完成，在产出指标中预期指标值全部达到，整体预算执行率</w:t>
      </w:r>
      <w:r>
        <w:rPr>
          <w:rFonts w:hint="eastAsia" w:ascii="仿宋" w:hAnsi="仿宋" w:eastAsia="仿宋"/>
          <w:sz w:val="32"/>
          <w:szCs w:val="32"/>
          <w:lang w:val="en-US" w:eastAsia="zh-CN"/>
        </w:rPr>
        <w:t>100%，效益指标良好，经过全体努力，2024年度，圆满完成各项任务。</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pStyle w:val="13"/>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rPr>
          <w:rFonts w:hint="eastAsia" w:ascii="楷体" w:hAnsi="楷体" w:eastAsia="楷体"/>
          <w:bCs/>
          <w:sz w:val="32"/>
          <w:szCs w:val="32"/>
        </w:rPr>
      </w:pPr>
      <w:r>
        <w:rPr>
          <w:rFonts w:hint="eastAsia" w:ascii="楷体" w:hAnsi="楷体" w:eastAsia="楷体"/>
          <w:bCs/>
          <w:sz w:val="32"/>
          <w:szCs w:val="32"/>
        </w:rPr>
        <w:t>（一）存在的主要问题</w:t>
      </w:r>
    </w:p>
    <w:p>
      <w:pPr>
        <w:pStyle w:val="13"/>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rPr>
          <w:rFonts w:hint="eastAsia"/>
          <w:b w:val="0"/>
          <w:bCs w:val="0"/>
          <w:lang w:eastAsia="zh-CN"/>
        </w:rPr>
      </w:pPr>
      <w:r>
        <w:rPr>
          <w:rFonts w:hint="eastAsia"/>
          <w:b w:val="0"/>
          <w:bCs w:val="0"/>
          <w:lang w:eastAsia="zh-CN"/>
        </w:rPr>
        <w:t>一是预算编审尚需进一步完善；</w:t>
      </w:r>
    </w:p>
    <w:p>
      <w:pPr>
        <w:pStyle w:val="13"/>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rPr>
          <w:rFonts w:hint="eastAsia" w:eastAsia="仿宋_GB2312"/>
          <w:b w:val="0"/>
          <w:bCs w:val="0"/>
          <w:lang w:eastAsia="zh-CN"/>
        </w:rPr>
      </w:pPr>
      <w:r>
        <w:rPr>
          <w:rFonts w:hint="eastAsia"/>
          <w:b w:val="0"/>
          <w:bCs w:val="0"/>
          <w:lang w:eastAsia="zh-CN"/>
        </w:rPr>
        <w:t>二是绩效自评结果应用还不到位。</w:t>
      </w:r>
    </w:p>
    <w:p>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pStyle w:val="13"/>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rPr>
          <w:rFonts w:hint="eastAsia"/>
          <w:lang w:eastAsia="zh-CN"/>
        </w:rPr>
      </w:pPr>
      <w:r>
        <w:rPr>
          <w:rFonts w:hint="eastAsia"/>
          <w:lang w:val="en-US" w:eastAsia="zh-CN"/>
        </w:rPr>
        <w:t xml:space="preserve">  </w:t>
      </w:r>
      <w:bookmarkStart w:id="4" w:name="_Toc42012752"/>
      <w:r>
        <w:rPr>
          <w:rFonts w:hint="eastAsia"/>
          <w:b w:val="0"/>
          <w:bCs w:val="0"/>
          <w:lang w:eastAsia="zh-CN"/>
        </w:rPr>
        <w:t>一是完善预算</w:t>
      </w:r>
      <w:bookmarkEnd w:id="4"/>
      <w:r>
        <w:rPr>
          <w:rFonts w:hint="eastAsia"/>
          <w:b w:val="0"/>
          <w:bCs w:val="0"/>
          <w:lang w:eastAsia="zh-CN"/>
        </w:rPr>
        <w:t>编审。进一步加强各项目的预算编制与执行的监督管理力度，有计划、分阶段开展支出，提高预算资金使用效率。二是</w:t>
      </w:r>
      <w:bookmarkStart w:id="5" w:name="_Toc42012753"/>
      <w:r>
        <w:rPr>
          <w:rFonts w:hint="eastAsia"/>
          <w:b w:val="0"/>
          <w:bCs w:val="0"/>
          <w:lang w:eastAsia="zh-CN"/>
        </w:rPr>
        <w:t>重视结果应用</w:t>
      </w:r>
      <w:bookmarkEnd w:id="5"/>
      <w:r>
        <w:rPr>
          <w:rFonts w:hint="eastAsia"/>
          <w:b w:val="0"/>
          <w:bCs w:val="0"/>
          <w:lang w:eastAsia="zh-CN"/>
        </w:rPr>
        <w:t>。要重视绩效评价工作，通过绩效评价应用实践，总结实践中的经验和教训，强化</w:t>
      </w:r>
      <w:r>
        <w:rPr>
          <w:rFonts w:hint="eastAsia"/>
          <w:lang w:eastAsia="zh-CN"/>
        </w:rPr>
        <w:t>财政资金管理水平、优化财政支出结构、提高财政资金使用效益。</w:t>
      </w:r>
    </w:p>
    <w:p>
      <w:pPr>
        <w:numPr>
          <w:ilvl w:val="0"/>
          <w:numId w:val="4"/>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评价工作组人员名单及签字（姓名、工作单位、职务、职称）</w:t>
      </w:r>
    </w:p>
    <w:tbl>
      <w:tblPr>
        <w:tblStyle w:val="12"/>
        <w:tblW w:w="8370" w:type="dxa"/>
        <w:tblInd w:w="39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8"/>
        <w:gridCol w:w="1812"/>
        <w:gridCol w:w="3040"/>
        <w:gridCol w:w="2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exact"/>
        </w:trPr>
        <w:tc>
          <w:tcPr>
            <w:tcW w:w="1418" w:type="dxa"/>
            <w:vAlign w:val="top"/>
          </w:tcPr>
          <w:p>
            <w:pPr>
              <w:keepNext w:val="0"/>
              <w:keepLines w:val="0"/>
              <w:pageBreakBefore w:val="0"/>
              <w:widowControl w:val="0"/>
              <w:kinsoku/>
              <w:wordWrap/>
              <w:overflowPunct/>
              <w:topLinePunct w:val="0"/>
              <w:autoSpaceDE/>
              <w:autoSpaceDN/>
              <w:bidi w:val="0"/>
              <w:spacing w:line="520" w:lineRule="exact"/>
              <w:ind w:right="0"/>
              <w:jc w:val="center"/>
              <w:textAlignment w:val="auto"/>
              <w:outlineLvl w:val="9"/>
              <w:rPr>
                <w:rFonts w:hint="eastAsia" w:ascii="仿宋_GB2312" w:hAnsi="仿宋_GB2312" w:eastAsia="仿宋_GB2312" w:cs="仿宋_GB2312"/>
                <w:b w:val="0"/>
                <w:bCs w:val="0"/>
                <w:color w:val="auto"/>
                <w:sz w:val="32"/>
                <w:szCs w:val="32"/>
                <w:vertAlign w:val="baseline"/>
                <w:lang w:eastAsia="zh-CN"/>
              </w:rPr>
            </w:pPr>
            <w:r>
              <w:rPr>
                <w:rFonts w:hint="eastAsia" w:ascii="仿宋_GB2312" w:hAnsi="仿宋_GB2312" w:eastAsia="仿宋_GB2312" w:cs="仿宋_GB2312"/>
                <w:b w:val="0"/>
                <w:bCs w:val="0"/>
                <w:color w:val="auto"/>
                <w:sz w:val="32"/>
                <w:szCs w:val="32"/>
                <w:vertAlign w:val="baseline"/>
                <w:lang w:eastAsia="zh-CN"/>
              </w:rPr>
              <w:t>姓</w:t>
            </w:r>
            <w:r>
              <w:rPr>
                <w:rFonts w:hint="eastAsia" w:ascii="仿宋_GB2312" w:hAnsi="仿宋_GB2312" w:eastAsia="仿宋_GB2312" w:cs="仿宋_GB2312"/>
                <w:b w:val="0"/>
                <w:bCs w:val="0"/>
                <w:color w:val="auto"/>
                <w:sz w:val="32"/>
                <w:szCs w:val="32"/>
                <w:vertAlign w:val="baseline"/>
                <w:lang w:val="en-US" w:eastAsia="zh-CN"/>
              </w:rPr>
              <w:t xml:space="preserve">  </w:t>
            </w:r>
            <w:r>
              <w:rPr>
                <w:rFonts w:hint="eastAsia" w:ascii="仿宋_GB2312" w:hAnsi="仿宋_GB2312" w:eastAsia="仿宋_GB2312" w:cs="仿宋_GB2312"/>
                <w:b w:val="0"/>
                <w:bCs w:val="0"/>
                <w:color w:val="auto"/>
                <w:sz w:val="32"/>
                <w:szCs w:val="32"/>
                <w:vertAlign w:val="baseline"/>
                <w:lang w:eastAsia="zh-CN"/>
              </w:rPr>
              <w:t>名</w:t>
            </w:r>
          </w:p>
        </w:tc>
        <w:tc>
          <w:tcPr>
            <w:tcW w:w="1812" w:type="dxa"/>
            <w:vAlign w:val="top"/>
          </w:tcPr>
          <w:p>
            <w:pPr>
              <w:keepNext w:val="0"/>
              <w:keepLines w:val="0"/>
              <w:pageBreakBefore w:val="0"/>
              <w:widowControl w:val="0"/>
              <w:kinsoku/>
              <w:wordWrap/>
              <w:overflowPunct/>
              <w:topLinePunct w:val="0"/>
              <w:autoSpaceDE/>
              <w:autoSpaceDN/>
              <w:bidi w:val="0"/>
              <w:spacing w:line="520" w:lineRule="exact"/>
              <w:ind w:right="0"/>
              <w:jc w:val="center"/>
              <w:textAlignment w:val="auto"/>
              <w:outlineLvl w:val="9"/>
              <w:rPr>
                <w:rFonts w:hint="eastAsia" w:ascii="仿宋_GB2312" w:hAnsi="仿宋_GB2312" w:eastAsia="仿宋_GB2312" w:cs="仿宋_GB2312"/>
                <w:b w:val="0"/>
                <w:bCs w:val="0"/>
                <w:color w:val="auto"/>
                <w:sz w:val="32"/>
                <w:szCs w:val="32"/>
                <w:vertAlign w:val="baseline"/>
                <w:lang w:eastAsia="zh-CN"/>
              </w:rPr>
            </w:pPr>
            <w:r>
              <w:rPr>
                <w:rFonts w:hint="eastAsia" w:ascii="仿宋_GB2312" w:hAnsi="仿宋_GB2312" w:eastAsia="仿宋_GB2312" w:cs="仿宋_GB2312"/>
                <w:b w:val="0"/>
                <w:bCs w:val="0"/>
                <w:color w:val="auto"/>
                <w:sz w:val="32"/>
                <w:szCs w:val="32"/>
                <w:vertAlign w:val="baseline"/>
                <w:lang w:eastAsia="zh-CN"/>
              </w:rPr>
              <w:t>工作单位</w:t>
            </w:r>
          </w:p>
        </w:tc>
        <w:tc>
          <w:tcPr>
            <w:tcW w:w="3040" w:type="dxa"/>
            <w:vAlign w:val="top"/>
          </w:tcPr>
          <w:p>
            <w:pPr>
              <w:keepNext w:val="0"/>
              <w:keepLines w:val="0"/>
              <w:pageBreakBefore w:val="0"/>
              <w:widowControl w:val="0"/>
              <w:kinsoku/>
              <w:wordWrap/>
              <w:overflowPunct/>
              <w:topLinePunct w:val="0"/>
              <w:autoSpaceDE/>
              <w:autoSpaceDN/>
              <w:bidi w:val="0"/>
              <w:spacing w:line="520" w:lineRule="exact"/>
              <w:ind w:right="0" w:rightChars="0"/>
              <w:jc w:val="center"/>
              <w:textAlignment w:val="auto"/>
              <w:outlineLvl w:val="9"/>
              <w:rPr>
                <w:rFonts w:hint="eastAsia" w:ascii="仿宋_GB2312" w:hAnsi="仿宋_GB2312" w:eastAsia="仿宋_GB2312" w:cs="仿宋_GB2312"/>
                <w:b w:val="0"/>
                <w:bCs w:val="0"/>
                <w:color w:val="auto"/>
                <w:kern w:val="2"/>
                <w:sz w:val="32"/>
                <w:szCs w:val="32"/>
                <w:vertAlign w:val="baseline"/>
                <w:lang w:val="en-US" w:eastAsia="zh-CN" w:bidi="ar-SA"/>
              </w:rPr>
            </w:pPr>
            <w:r>
              <w:rPr>
                <w:rFonts w:hint="eastAsia" w:ascii="仿宋_GB2312" w:hAnsi="仿宋_GB2312" w:eastAsia="仿宋_GB2312" w:cs="仿宋_GB2312"/>
                <w:b w:val="0"/>
                <w:bCs w:val="0"/>
                <w:color w:val="auto"/>
                <w:sz w:val="32"/>
                <w:szCs w:val="32"/>
                <w:vertAlign w:val="baseline"/>
                <w:lang w:eastAsia="zh-CN"/>
              </w:rPr>
              <w:t>职务</w:t>
            </w:r>
          </w:p>
        </w:tc>
        <w:tc>
          <w:tcPr>
            <w:tcW w:w="2100" w:type="dxa"/>
            <w:vAlign w:val="top"/>
          </w:tcPr>
          <w:p>
            <w:pPr>
              <w:keepNext w:val="0"/>
              <w:keepLines w:val="0"/>
              <w:pageBreakBefore w:val="0"/>
              <w:widowControl w:val="0"/>
              <w:kinsoku/>
              <w:wordWrap/>
              <w:overflowPunct/>
              <w:topLinePunct w:val="0"/>
              <w:autoSpaceDE/>
              <w:autoSpaceDN/>
              <w:bidi w:val="0"/>
              <w:spacing w:line="520" w:lineRule="exact"/>
              <w:ind w:right="0" w:rightChars="0"/>
              <w:jc w:val="center"/>
              <w:textAlignment w:val="auto"/>
              <w:outlineLvl w:val="9"/>
              <w:rPr>
                <w:rFonts w:hint="eastAsia" w:ascii="宋体" w:hAnsi="宋体" w:eastAsia="宋体" w:cs="宋体"/>
                <w:b/>
                <w:bCs/>
                <w:color w:val="auto"/>
                <w:kern w:val="2"/>
                <w:sz w:val="44"/>
                <w:szCs w:val="44"/>
                <w:vertAlign w:val="baseline"/>
                <w:lang w:val="en-US" w:eastAsia="zh-CN" w:bidi="ar-SA"/>
              </w:rPr>
            </w:pPr>
            <w:r>
              <w:rPr>
                <w:rFonts w:hint="eastAsia" w:ascii="仿宋_GB2312" w:hAnsi="仿宋_GB2312" w:eastAsia="仿宋_GB2312" w:cs="仿宋_GB2312"/>
                <w:b w:val="0"/>
                <w:bCs w:val="0"/>
                <w:color w:val="auto"/>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exact"/>
        </w:trPr>
        <w:tc>
          <w:tcPr>
            <w:tcW w:w="1418" w:type="dxa"/>
            <w:vAlign w:val="center"/>
          </w:tcPr>
          <w:p>
            <w:pPr>
              <w:keepNext w:val="0"/>
              <w:keepLines w:val="0"/>
              <w:pageBreakBefore w:val="0"/>
              <w:widowControl w:val="0"/>
              <w:kinsoku/>
              <w:wordWrap/>
              <w:overflowPunct/>
              <w:topLinePunct w:val="0"/>
              <w:autoSpaceDE/>
              <w:autoSpaceDN/>
              <w:bidi w:val="0"/>
              <w:spacing w:line="520" w:lineRule="exact"/>
              <w:ind w:right="0"/>
              <w:jc w:val="center"/>
              <w:textAlignment w:val="auto"/>
              <w:outlineLvl w:val="9"/>
              <w:rPr>
                <w:rFonts w:hint="eastAsia" w:ascii="仿宋_GB2312" w:hAnsi="仿宋_GB2312" w:eastAsia="仿宋_GB2312" w:cs="仿宋_GB2312"/>
                <w:b w:val="0"/>
                <w:bCs w:val="0"/>
                <w:color w:val="auto"/>
                <w:sz w:val="32"/>
                <w:szCs w:val="32"/>
                <w:vertAlign w:val="baseline"/>
                <w:lang w:eastAsia="zh-CN"/>
              </w:rPr>
            </w:pPr>
            <w:r>
              <w:rPr>
                <w:rFonts w:hint="eastAsia" w:ascii="仿宋_GB2312" w:hAnsi="仿宋_GB2312" w:eastAsia="仿宋_GB2312" w:cs="仿宋_GB2312"/>
                <w:b w:val="0"/>
                <w:bCs w:val="0"/>
                <w:color w:val="auto"/>
                <w:sz w:val="32"/>
                <w:szCs w:val="32"/>
                <w:vertAlign w:val="baseline"/>
                <w:lang w:eastAsia="zh-CN"/>
              </w:rPr>
              <w:t>李莉芳</w:t>
            </w:r>
          </w:p>
        </w:tc>
        <w:tc>
          <w:tcPr>
            <w:tcW w:w="1812" w:type="dxa"/>
            <w:vAlign w:val="center"/>
          </w:tcPr>
          <w:p>
            <w:pPr>
              <w:keepNext w:val="0"/>
              <w:keepLines w:val="0"/>
              <w:pageBreakBefore w:val="0"/>
              <w:widowControl w:val="0"/>
              <w:kinsoku/>
              <w:wordWrap/>
              <w:overflowPunct/>
              <w:topLinePunct w:val="0"/>
              <w:autoSpaceDE/>
              <w:autoSpaceDN/>
              <w:bidi w:val="0"/>
              <w:spacing w:line="520" w:lineRule="exact"/>
              <w:ind w:right="0"/>
              <w:jc w:val="center"/>
              <w:textAlignment w:val="auto"/>
              <w:outlineLvl w:val="9"/>
              <w:rPr>
                <w:rFonts w:hint="eastAsia" w:ascii="仿宋_GB2312" w:hAnsi="仿宋_GB2312" w:eastAsia="仿宋_GB2312" w:cs="仿宋_GB2312"/>
                <w:b w:val="0"/>
                <w:bCs w:val="0"/>
                <w:color w:val="auto"/>
                <w:sz w:val="32"/>
                <w:szCs w:val="32"/>
                <w:vertAlign w:val="baseline"/>
                <w:lang w:eastAsia="zh-CN"/>
              </w:rPr>
            </w:pPr>
            <w:r>
              <w:rPr>
                <w:rFonts w:hint="eastAsia" w:ascii="仿宋_GB2312" w:hAnsi="仿宋_GB2312" w:eastAsia="仿宋_GB2312" w:cs="仿宋_GB2312"/>
                <w:b w:val="0"/>
                <w:bCs w:val="0"/>
                <w:color w:val="auto"/>
                <w:sz w:val="32"/>
                <w:szCs w:val="32"/>
                <w:vertAlign w:val="baseline"/>
                <w:lang w:eastAsia="zh-CN"/>
              </w:rPr>
              <w:t>统战部</w:t>
            </w:r>
          </w:p>
        </w:tc>
        <w:tc>
          <w:tcPr>
            <w:tcW w:w="3040" w:type="dxa"/>
            <w:vAlign w:val="center"/>
          </w:tcPr>
          <w:p>
            <w:pPr>
              <w:keepNext w:val="0"/>
              <w:keepLines w:val="0"/>
              <w:pageBreakBefore w:val="0"/>
              <w:widowControl w:val="0"/>
              <w:kinsoku/>
              <w:wordWrap/>
              <w:overflowPunct/>
              <w:topLinePunct w:val="0"/>
              <w:autoSpaceDE/>
              <w:autoSpaceDN/>
              <w:bidi w:val="0"/>
              <w:spacing w:line="520" w:lineRule="exact"/>
              <w:ind w:right="0"/>
              <w:jc w:val="center"/>
              <w:textAlignment w:val="auto"/>
              <w:outlineLvl w:val="9"/>
              <w:rPr>
                <w:rFonts w:hint="eastAsia" w:ascii="仿宋_GB2312" w:hAnsi="仿宋_GB2312" w:eastAsia="仿宋_GB2312" w:cs="仿宋_GB2312"/>
                <w:b w:val="0"/>
                <w:bCs w:val="0"/>
                <w:color w:val="auto"/>
                <w:sz w:val="32"/>
                <w:szCs w:val="32"/>
                <w:vertAlign w:val="baseline"/>
                <w:lang w:eastAsia="zh-CN"/>
              </w:rPr>
            </w:pPr>
            <w:r>
              <w:rPr>
                <w:rFonts w:hint="eastAsia" w:ascii="仿宋_GB2312" w:hAnsi="仿宋_GB2312" w:eastAsia="仿宋_GB2312" w:cs="仿宋_GB2312"/>
                <w:b w:val="0"/>
                <w:bCs w:val="0"/>
                <w:color w:val="auto"/>
                <w:sz w:val="32"/>
                <w:szCs w:val="32"/>
                <w:vertAlign w:val="baseline"/>
                <w:lang w:eastAsia="zh-CN"/>
              </w:rPr>
              <w:t>常务副部长</w:t>
            </w:r>
          </w:p>
        </w:tc>
        <w:tc>
          <w:tcPr>
            <w:tcW w:w="2100" w:type="dxa"/>
            <w:vAlign w:val="top"/>
          </w:tcPr>
          <w:p>
            <w:pPr>
              <w:keepNext w:val="0"/>
              <w:keepLines w:val="0"/>
              <w:pageBreakBefore w:val="0"/>
              <w:widowControl w:val="0"/>
              <w:kinsoku/>
              <w:wordWrap/>
              <w:overflowPunct/>
              <w:topLinePunct w:val="0"/>
              <w:autoSpaceDE/>
              <w:autoSpaceDN/>
              <w:bidi w:val="0"/>
              <w:spacing w:line="520" w:lineRule="exact"/>
              <w:ind w:right="0"/>
              <w:jc w:val="center"/>
              <w:textAlignment w:val="auto"/>
              <w:outlineLvl w:val="9"/>
              <w:rPr>
                <w:rFonts w:hint="eastAsia" w:ascii="仿宋_GB2312" w:hAnsi="仿宋_GB2312" w:eastAsia="仿宋_GB2312" w:cs="仿宋_GB2312"/>
                <w:b w:val="0"/>
                <w:bCs w:val="0"/>
                <w:color w:val="auto"/>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exact"/>
        </w:trPr>
        <w:tc>
          <w:tcPr>
            <w:tcW w:w="1418" w:type="dxa"/>
            <w:vAlign w:val="center"/>
          </w:tcPr>
          <w:p>
            <w:pPr>
              <w:keepNext w:val="0"/>
              <w:keepLines w:val="0"/>
              <w:pageBreakBefore w:val="0"/>
              <w:widowControl w:val="0"/>
              <w:kinsoku/>
              <w:wordWrap/>
              <w:overflowPunct/>
              <w:topLinePunct w:val="0"/>
              <w:autoSpaceDE/>
              <w:autoSpaceDN/>
              <w:bidi w:val="0"/>
              <w:spacing w:line="520" w:lineRule="exact"/>
              <w:ind w:right="0" w:rightChars="0"/>
              <w:jc w:val="center"/>
              <w:textAlignment w:val="auto"/>
              <w:outlineLvl w:val="9"/>
              <w:rPr>
                <w:rFonts w:hint="eastAsia" w:ascii="仿宋_GB2312" w:hAnsi="仿宋_GB2312" w:eastAsia="仿宋_GB2312" w:cs="仿宋_GB2312"/>
                <w:b w:val="0"/>
                <w:bCs w:val="0"/>
                <w:color w:val="auto"/>
                <w:kern w:val="2"/>
                <w:sz w:val="32"/>
                <w:szCs w:val="32"/>
                <w:vertAlign w:val="baseline"/>
                <w:lang w:val="en-US" w:eastAsia="zh-CN" w:bidi="ar-SA"/>
              </w:rPr>
            </w:pPr>
            <w:r>
              <w:rPr>
                <w:rFonts w:hint="eastAsia" w:ascii="仿宋_GB2312" w:hAnsi="仿宋_GB2312" w:eastAsia="仿宋_GB2312" w:cs="仿宋_GB2312"/>
                <w:b w:val="0"/>
                <w:bCs w:val="0"/>
                <w:color w:val="auto"/>
                <w:sz w:val="32"/>
                <w:szCs w:val="32"/>
                <w:vertAlign w:val="baseline"/>
                <w:lang w:eastAsia="zh-CN"/>
              </w:rPr>
              <w:t>封</w:t>
            </w:r>
            <w:r>
              <w:rPr>
                <w:rFonts w:hint="eastAsia" w:ascii="仿宋_GB2312" w:hAnsi="仿宋_GB2312" w:eastAsia="仿宋_GB2312" w:cs="仿宋_GB2312"/>
                <w:b w:val="0"/>
                <w:bCs w:val="0"/>
                <w:color w:val="auto"/>
                <w:sz w:val="32"/>
                <w:szCs w:val="32"/>
                <w:vertAlign w:val="baseline"/>
                <w:lang w:val="en-US" w:eastAsia="zh-CN"/>
              </w:rPr>
              <w:t xml:space="preserve">  </w:t>
            </w:r>
            <w:r>
              <w:rPr>
                <w:rFonts w:hint="eastAsia" w:ascii="仿宋_GB2312" w:hAnsi="仿宋_GB2312" w:eastAsia="仿宋_GB2312" w:cs="仿宋_GB2312"/>
                <w:b w:val="0"/>
                <w:bCs w:val="0"/>
                <w:color w:val="auto"/>
                <w:sz w:val="32"/>
                <w:szCs w:val="32"/>
                <w:vertAlign w:val="baseline"/>
                <w:lang w:eastAsia="zh-CN"/>
              </w:rPr>
              <w:t>杰</w:t>
            </w:r>
          </w:p>
        </w:tc>
        <w:tc>
          <w:tcPr>
            <w:tcW w:w="1812" w:type="dxa"/>
            <w:vAlign w:val="center"/>
          </w:tcPr>
          <w:p>
            <w:pPr>
              <w:keepNext w:val="0"/>
              <w:keepLines w:val="0"/>
              <w:pageBreakBefore w:val="0"/>
              <w:widowControl w:val="0"/>
              <w:kinsoku/>
              <w:wordWrap/>
              <w:overflowPunct/>
              <w:topLinePunct w:val="0"/>
              <w:autoSpaceDE/>
              <w:autoSpaceDN/>
              <w:bidi w:val="0"/>
              <w:spacing w:line="520" w:lineRule="exact"/>
              <w:ind w:right="0" w:rightChars="0"/>
              <w:jc w:val="center"/>
              <w:textAlignment w:val="auto"/>
              <w:outlineLvl w:val="9"/>
              <w:rPr>
                <w:rFonts w:hint="eastAsia" w:ascii="仿宋_GB2312" w:hAnsi="仿宋_GB2312" w:eastAsia="仿宋_GB2312" w:cs="仿宋_GB2312"/>
                <w:b w:val="0"/>
                <w:bCs w:val="0"/>
                <w:color w:val="auto"/>
                <w:kern w:val="2"/>
                <w:sz w:val="32"/>
                <w:szCs w:val="32"/>
                <w:vertAlign w:val="baseline"/>
                <w:lang w:val="en-US" w:eastAsia="zh-CN" w:bidi="ar-SA"/>
              </w:rPr>
            </w:pPr>
            <w:r>
              <w:rPr>
                <w:rFonts w:hint="eastAsia" w:ascii="仿宋_GB2312" w:hAnsi="仿宋_GB2312" w:eastAsia="仿宋_GB2312" w:cs="仿宋_GB2312"/>
                <w:b w:val="0"/>
                <w:bCs w:val="0"/>
                <w:color w:val="auto"/>
                <w:sz w:val="32"/>
                <w:szCs w:val="32"/>
                <w:vertAlign w:val="baseline"/>
                <w:lang w:eastAsia="zh-CN"/>
              </w:rPr>
              <w:t>统战部</w:t>
            </w:r>
          </w:p>
        </w:tc>
        <w:tc>
          <w:tcPr>
            <w:tcW w:w="3040" w:type="dxa"/>
            <w:vAlign w:val="center"/>
          </w:tcPr>
          <w:p>
            <w:pPr>
              <w:keepNext w:val="0"/>
              <w:keepLines w:val="0"/>
              <w:pageBreakBefore w:val="0"/>
              <w:widowControl w:val="0"/>
              <w:kinsoku/>
              <w:wordWrap/>
              <w:overflowPunct/>
              <w:topLinePunct w:val="0"/>
              <w:autoSpaceDE/>
              <w:autoSpaceDN/>
              <w:bidi w:val="0"/>
              <w:spacing w:line="520" w:lineRule="exact"/>
              <w:ind w:right="0" w:rightChars="0"/>
              <w:jc w:val="center"/>
              <w:textAlignment w:val="auto"/>
              <w:outlineLvl w:val="9"/>
              <w:rPr>
                <w:rFonts w:hint="eastAsia" w:ascii="仿宋_GB2312" w:hAnsi="仿宋_GB2312" w:eastAsia="仿宋_GB2312" w:cs="仿宋_GB2312"/>
                <w:b w:val="0"/>
                <w:bCs w:val="0"/>
                <w:color w:val="auto"/>
                <w:kern w:val="2"/>
                <w:sz w:val="32"/>
                <w:szCs w:val="32"/>
                <w:vertAlign w:val="baseline"/>
                <w:lang w:val="en-US" w:eastAsia="zh-CN" w:bidi="ar-SA"/>
              </w:rPr>
            </w:pPr>
            <w:r>
              <w:rPr>
                <w:rFonts w:hint="eastAsia" w:ascii="仿宋_GB2312" w:hAnsi="仿宋_GB2312" w:eastAsia="仿宋_GB2312" w:cs="仿宋_GB2312"/>
                <w:b w:val="0"/>
                <w:bCs w:val="0"/>
                <w:color w:val="auto"/>
                <w:sz w:val="32"/>
                <w:szCs w:val="32"/>
                <w:vertAlign w:val="baseline"/>
                <w:lang w:eastAsia="zh-CN"/>
              </w:rPr>
              <w:t>副部长</w:t>
            </w:r>
          </w:p>
        </w:tc>
        <w:tc>
          <w:tcPr>
            <w:tcW w:w="2100" w:type="dxa"/>
            <w:vAlign w:val="top"/>
          </w:tcPr>
          <w:p>
            <w:pPr>
              <w:keepNext w:val="0"/>
              <w:keepLines w:val="0"/>
              <w:pageBreakBefore w:val="0"/>
              <w:widowControl w:val="0"/>
              <w:kinsoku/>
              <w:wordWrap/>
              <w:overflowPunct/>
              <w:topLinePunct w:val="0"/>
              <w:autoSpaceDE/>
              <w:autoSpaceDN/>
              <w:bidi w:val="0"/>
              <w:spacing w:line="520" w:lineRule="exact"/>
              <w:ind w:right="0"/>
              <w:jc w:val="center"/>
              <w:textAlignment w:val="auto"/>
              <w:outlineLvl w:val="9"/>
              <w:rPr>
                <w:rFonts w:hint="eastAsia" w:ascii="仿宋_GB2312" w:hAnsi="仿宋_GB2312" w:eastAsia="仿宋_GB2312" w:cs="仿宋_GB2312"/>
                <w:b w:val="0"/>
                <w:bCs w:val="0"/>
                <w:color w:val="auto"/>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exact"/>
        </w:trPr>
        <w:tc>
          <w:tcPr>
            <w:tcW w:w="1418" w:type="dxa"/>
            <w:vAlign w:val="center"/>
          </w:tcPr>
          <w:p>
            <w:pPr>
              <w:keepNext w:val="0"/>
              <w:keepLines w:val="0"/>
              <w:pageBreakBefore w:val="0"/>
              <w:widowControl w:val="0"/>
              <w:kinsoku/>
              <w:wordWrap/>
              <w:overflowPunct/>
              <w:topLinePunct w:val="0"/>
              <w:autoSpaceDE/>
              <w:autoSpaceDN/>
              <w:bidi w:val="0"/>
              <w:spacing w:line="520" w:lineRule="exact"/>
              <w:ind w:right="0" w:rightChars="0"/>
              <w:jc w:val="center"/>
              <w:textAlignment w:val="auto"/>
              <w:outlineLvl w:val="9"/>
              <w:rPr>
                <w:rFonts w:hint="eastAsia" w:ascii="仿宋_GB2312" w:hAnsi="仿宋_GB2312" w:eastAsia="仿宋_GB2312" w:cs="仿宋_GB2312"/>
                <w:b w:val="0"/>
                <w:bCs w:val="0"/>
                <w:color w:val="auto"/>
                <w:kern w:val="2"/>
                <w:sz w:val="32"/>
                <w:szCs w:val="32"/>
                <w:vertAlign w:val="baseline"/>
                <w:lang w:val="en-US" w:eastAsia="zh-CN" w:bidi="ar-SA"/>
              </w:rPr>
            </w:pPr>
            <w:r>
              <w:rPr>
                <w:rFonts w:hint="eastAsia" w:ascii="仿宋_GB2312" w:hAnsi="仿宋_GB2312" w:eastAsia="仿宋_GB2312" w:cs="仿宋_GB2312"/>
                <w:b w:val="0"/>
                <w:bCs w:val="0"/>
                <w:color w:val="auto"/>
                <w:sz w:val="32"/>
                <w:szCs w:val="32"/>
                <w:vertAlign w:val="baseline"/>
                <w:lang w:eastAsia="zh-CN"/>
              </w:rPr>
              <w:t>雷</w:t>
            </w:r>
            <w:r>
              <w:rPr>
                <w:rFonts w:hint="eastAsia" w:ascii="仿宋_GB2312" w:hAnsi="仿宋_GB2312" w:eastAsia="仿宋_GB2312" w:cs="仿宋_GB2312"/>
                <w:b w:val="0"/>
                <w:bCs w:val="0"/>
                <w:color w:val="auto"/>
                <w:sz w:val="32"/>
                <w:szCs w:val="32"/>
                <w:vertAlign w:val="baseline"/>
                <w:lang w:val="en-US" w:eastAsia="zh-CN"/>
              </w:rPr>
              <w:t xml:space="preserve">  </w:t>
            </w:r>
            <w:r>
              <w:rPr>
                <w:rFonts w:hint="eastAsia" w:ascii="仿宋_GB2312" w:hAnsi="仿宋_GB2312" w:eastAsia="仿宋_GB2312" w:cs="仿宋_GB2312"/>
                <w:b w:val="0"/>
                <w:bCs w:val="0"/>
                <w:color w:val="auto"/>
                <w:sz w:val="32"/>
                <w:szCs w:val="32"/>
                <w:vertAlign w:val="baseline"/>
                <w:lang w:eastAsia="zh-CN"/>
              </w:rPr>
              <w:t>彤</w:t>
            </w:r>
          </w:p>
        </w:tc>
        <w:tc>
          <w:tcPr>
            <w:tcW w:w="1812" w:type="dxa"/>
            <w:vAlign w:val="center"/>
          </w:tcPr>
          <w:p>
            <w:pPr>
              <w:keepNext w:val="0"/>
              <w:keepLines w:val="0"/>
              <w:pageBreakBefore w:val="0"/>
              <w:widowControl w:val="0"/>
              <w:kinsoku/>
              <w:wordWrap/>
              <w:overflowPunct/>
              <w:topLinePunct w:val="0"/>
              <w:autoSpaceDE/>
              <w:autoSpaceDN/>
              <w:bidi w:val="0"/>
              <w:spacing w:line="520" w:lineRule="exact"/>
              <w:ind w:right="0" w:rightChars="0"/>
              <w:jc w:val="center"/>
              <w:textAlignment w:val="auto"/>
              <w:outlineLvl w:val="9"/>
              <w:rPr>
                <w:rFonts w:hint="eastAsia" w:ascii="仿宋_GB2312" w:hAnsi="仿宋_GB2312" w:eastAsia="仿宋_GB2312" w:cs="仿宋_GB2312"/>
                <w:b w:val="0"/>
                <w:bCs w:val="0"/>
                <w:color w:val="auto"/>
                <w:kern w:val="2"/>
                <w:sz w:val="32"/>
                <w:szCs w:val="32"/>
                <w:vertAlign w:val="baseline"/>
                <w:lang w:val="en-US" w:eastAsia="zh-CN" w:bidi="ar-SA"/>
              </w:rPr>
            </w:pPr>
            <w:r>
              <w:rPr>
                <w:rFonts w:hint="eastAsia" w:ascii="仿宋_GB2312" w:hAnsi="仿宋_GB2312" w:eastAsia="仿宋_GB2312" w:cs="仿宋_GB2312"/>
                <w:b w:val="0"/>
                <w:bCs w:val="0"/>
                <w:color w:val="auto"/>
                <w:sz w:val="32"/>
                <w:szCs w:val="32"/>
                <w:vertAlign w:val="baseline"/>
                <w:lang w:eastAsia="zh-CN"/>
              </w:rPr>
              <w:t>统战部</w:t>
            </w:r>
          </w:p>
        </w:tc>
        <w:tc>
          <w:tcPr>
            <w:tcW w:w="3040" w:type="dxa"/>
            <w:vAlign w:val="center"/>
          </w:tcPr>
          <w:p>
            <w:pPr>
              <w:keepNext w:val="0"/>
              <w:keepLines w:val="0"/>
              <w:pageBreakBefore w:val="0"/>
              <w:widowControl w:val="0"/>
              <w:kinsoku/>
              <w:wordWrap/>
              <w:overflowPunct/>
              <w:topLinePunct w:val="0"/>
              <w:autoSpaceDE/>
              <w:autoSpaceDN/>
              <w:bidi w:val="0"/>
              <w:spacing w:line="520" w:lineRule="exact"/>
              <w:ind w:right="0" w:rightChars="0"/>
              <w:jc w:val="center"/>
              <w:textAlignment w:val="auto"/>
              <w:outlineLvl w:val="9"/>
              <w:rPr>
                <w:rFonts w:hint="eastAsia" w:ascii="仿宋_GB2312" w:hAnsi="仿宋_GB2312" w:eastAsia="仿宋_GB2312" w:cs="仿宋_GB2312"/>
                <w:b w:val="0"/>
                <w:bCs w:val="0"/>
                <w:color w:val="auto"/>
                <w:kern w:val="2"/>
                <w:sz w:val="32"/>
                <w:szCs w:val="32"/>
                <w:vertAlign w:val="baseline"/>
                <w:lang w:val="en-US" w:eastAsia="zh-CN" w:bidi="ar-SA"/>
              </w:rPr>
            </w:pPr>
            <w:r>
              <w:rPr>
                <w:rFonts w:hint="eastAsia" w:ascii="仿宋_GB2312" w:hAnsi="仿宋_GB2312" w:eastAsia="仿宋_GB2312" w:cs="仿宋_GB2312"/>
                <w:b w:val="0"/>
                <w:bCs w:val="0"/>
                <w:color w:val="auto"/>
                <w:sz w:val="32"/>
                <w:szCs w:val="32"/>
                <w:vertAlign w:val="baseline"/>
                <w:lang w:eastAsia="zh-CN"/>
              </w:rPr>
              <w:t>港澳台海外统战股股长</w:t>
            </w:r>
          </w:p>
        </w:tc>
        <w:tc>
          <w:tcPr>
            <w:tcW w:w="2100" w:type="dxa"/>
            <w:vAlign w:val="top"/>
          </w:tcPr>
          <w:p>
            <w:pPr>
              <w:keepNext w:val="0"/>
              <w:keepLines w:val="0"/>
              <w:pageBreakBefore w:val="0"/>
              <w:widowControl w:val="0"/>
              <w:kinsoku/>
              <w:wordWrap/>
              <w:overflowPunct/>
              <w:topLinePunct w:val="0"/>
              <w:autoSpaceDE/>
              <w:autoSpaceDN/>
              <w:bidi w:val="0"/>
              <w:spacing w:line="520" w:lineRule="exact"/>
              <w:ind w:right="0" w:rightChars="0"/>
              <w:jc w:val="center"/>
              <w:textAlignment w:val="auto"/>
              <w:outlineLvl w:val="9"/>
              <w:rPr>
                <w:rFonts w:hint="eastAsia" w:ascii="宋体" w:hAnsi="宋体" w:eastAsia="宋体" w:cs="宋体"/>
                <w:b/>
                <w:bCs/>
                <w:color w:val="auto"/>
                <w:kern w:val="2"/>
                <w:sz w:val="44"/>
                <w:szCs w:val="44"/>
                <w:vertAlign w:val="baseli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20" w:hRule="exact"/>
        </w:trPr>
        <w:tc>
          <w:tcPr>
            <w:tcW w:w="1418" w:type="dxa"/>
            <w:vAlign w:val="center"/>
          </w:tcPr>
          <w:p>
            <w:pPr>
              <w:keepNext w:val="0"/>
              <w:keepLines w:val="0"/>
              <w:pageBreakBefore w:val="0"/>
              <w:widowControl w:val="0"/>
              <w:kinsoku/>
              <w:wordWrap/>
              <w:overflowPunct/>
              <w:topLinePunct w:val="0"/>
              <w:autoSpaceDE/>
              <w:autoSpaceDN/>
              <w:bidi w:val="0"/>
              <w:spacing w:line="520" w:lineRule="exact"/>
              <w:ind w:right="0"/>
              <w:jc w:val="center"/>
              <w:textAlignment w:val="auto"/>
              <w:outlineLvl w:val="9"/>
              <w:rPr>
                <w:rFonts w:hint="eastAsia" w:ascii="仿宋_GB2312" w:hAnsi="仿宋_GB2312" w:eastAsia="仿宋_GB2312" w:cs="仿宋_GB2312"/>
                <w:b w:val="0"/>
                <w:bCs w:val="0"/>
                <w:color w:val="auto"/>
                <w:sz w:val="32"/>
                <w:szCs w:val="32"/>
                <w:vertAlign w:val="baseline"/>
                <w:lang w:eastAsia="zh-CN"/>
              </w:rPr>
            </w:pPr>
            <w:bookmarkStart w:id="6" w:name="OLE_LINK1" w:colFirst="0" w:colLast="2"/>
            <w:r>
              <w:rPr>
                <w:rFonts w:hint="eastAsia" w:ascii="仿宋_GB2312" w:hAnsi="仿宋_GB2312" w:eastAsia="仿宋_GB2312" w:cs="仿宋_GB2312"/>
                <w:b w:val="0"/>
                <w:bCs w:val="0"/>
                <w:color w:val="auto"/>
                <w:sz w:val="32"/>
                <w:szCs w:val="32"/>
                <w:vertAlign w:val="baseline"/>
                <w:lang w:eastAsia="zh-CN"/>
              </w:rPr>
              <w:t>王琪</w:t>
            </w:r>
          </w:p>
        </w:tc>
        <w:tc>
          <w:tcPr>
            <w:tcW w:w="1812" w:type="dxa"/>
            <w:vAlign w:val="center"/>
          </w:tcPr>
          <w:p>
            <w:pPr>
              <w:keepNext w:val="0"/>
              <w:keepLines w:val="0"/>
              <w:pageBreakBefore w:val="0"/>
              <w:widowControl w:val="0"/>
              <w:kinsoku/>
              <w:wordWrap/>
              <w:overflowPunct/>
              <w:topLinePunct w:val="0"/>
              <w:autoSpaceDE/>
              <w:autoSpaceDN/>
              <w:bidi w:val="0"/>
              <w:spacing w:line="520" w:lineRule="exact"/>
              <w:ind w:right="0" w:rightChars="0"/>
              <w:jc w:val="center"/>
              <w:textAlignment w:val="auto"/>
              <w:outlineLvl w:val="9"/>
              <w:rPr>
                <w:rFonts w:hint="eastAsia" w:ascii="仿宋_GB2312" w:hAnsi="仿宋_GB2312" w:eastAsia="仿宋_GB2312" w:cs="仿宋_GB2312"/>
                <w:b w:val="0"/>
                <w:bCs w:val="0"/>
                <w:color w:val="auto"/>
                <w:kern w:val="2"/>
                <w:sz w:val="32"/>
                <w:szCs w:val="32"/>
                <w:vertAlign w:val="baseline"/>
                <w:lang w:val="en-US" w:eastAsia="zh-CN" w:bidi="ar-SA"/>
              </w:rPr>
            </w:pPr>
            <w:r>
              <w:rPr>
                <w:rFonts w:hint="eastAsia" w:ascii="仿宋_GB2312" w:hAnsi="仿宋_GB2312" w:eastAsia="仿宋_GB2312" w:cs="仿宋_GB2312"/>
                <w:b w:val="0"/>
                <w:bCs w:val="0"/>
                <w:color w:val="auto"/>
                <w:sz w:val="32"/>
                <w:szCs w:val="32"/>
                <w:vertAlign w:val="baseline"/>
                <w:lang w:eastAsia="zh-CN"/>
              </w:rPr>
              <w:t>统战部</w:t>
            </w:r>
          </w:p>
        </w:tc>
        <w:tc>
          <w:tcPr>
            <w:tcW w:w="3040" w:type="dxa"/>
            <w:vAlign w:val="center"/>
          </w:tcPr>
          <w:p>
            <w:pPr>
              <w:keepNext w:val="0"/>
              <w:keepLines w:val="0"/>
              <w:pageBreakBefore w:val="0"/>
              <w:widowControl w:val="0"/>
              <w:kinsoku/>
              <w:wordWrap/>
              <w:overflowPunct/>
              <w:topLinePunct w:val="0"/>
              <w:autoSpaceDE/>
              <w:autoSpaceDN/>
              <w:bidi w:val="0"/>
              <w:spacing w:line="520" w:lineRule="exact"/>
              <w:ind w:right="0"/>
              <w:jc w:val="center"/>
              <w:textAlignment w:val="auto"/>
              <w:outlineLvl w:val="9"/>
              <w:rPr>
                <w:rFonts w:hint="eastAsia" w:ascii="仿宋_GB2312" w:hAnsi="仿宋_GB2312" w:eastAsia="仿宋_GB2312" w:cs="仿宋_GB2312"/>
                <w:b w:val="0"/>
                <w:bCs w:val="0"/>
                <w:color w:val="auto"/>
                <w:sz w:val="32"/>
                <w:szCs w:val="32"/>
                <w:vertAlign w:val="baseline"/>
                <w:lang w:eastAsia="zh-CN"/>
              </w:rPr>
            </w:pPr>
            <w:r>
              <w:rPr>
                <w:rFonts w:hint="eastAsia" w:ascii="仿宋_GB2312" w:hAnsi="仿宋_GB2312" w:eastAsia="仿宋_GB2312" w:cs="仿宋_GB2312"/>
                <w:b w:val="0"/>
                <w:bCs w:val="0"/>
                <w:color w:val="auto"/>
                <w:sz w:val="32"/>
                <w:szCs w:val="32"/>
                <w:vertAlign w:val="baseline"/>
                <w:lang w:eastAsia="zh-CN"/>
              </w:rPr>
              <w:t>民族宗教股股长</w:t>
            </w:r>
          </w:p>
        </w:tc>
        <w:tc>
          <w:tcPr>
            <w:tcW w:w="2100" w:type="dxa"/>
            <w:vAlign w:val="top"/>
          </w:tcPr>
          <w:p>
            <w:pPr>
              <w:keepNext w:val="0"/>
              <w:keepLines w:val="0"/>
              <w:pageBreakBefore w:val="0"/>
              <w:widowControl w:val="0"/>
              <w:kinsoku/>
              <w:wordWrap/>
              <w:overflowPunct/>
              <w:topLinePunct w:val="0"/>
              <w:autoSpaceDE/>
              <w:autoSpaceDN/>
              <w:bidi w:val="0"/>
              <w:spacing w:line="520" w:lineRule="exact"/>
              <w:ind w:right="0"/>
              <w:jc w:val="center"/>
              <w:textAlignment w:val="auto"/>
              <w:outlineLvl w:val="9"/>
              <w:rPr>
                <w:rFonts w:hint="eastAsia" w:ascii="仿宋_GB2312" w:hAnsi="仿宋_GB2312" w:eastAsia="仿宋_GB2312" w:cs="仿宋_GB2312"/>
                <w:b w:val="0"/>
                <w:bCs w:val="0"/>
                <w:color w:val="auto"/>
                <w:sz w:val="32"/>
                <w:szCs w:val="32"/>
                <w:vertAlign w:val="baseline"/>
                <w:lang w:eastAsia="zh-CN"/>
              </w:rPr>
            </w:pPr>
          </w:p>
        </w:tc>
      </w:tr>
      <w:bookmarkEnd w:id="6"/>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0" w:hRule="exact"/>
        </w:trPr>
        <w:tc>
          <w:tcPr>
            <w:tcW w:w="1418" w:type="dxa"/>
            <w:vAlign w:val="center"/>
          </w:tcPr>
          <w:p>
            <w:pPr>
              <w:keepNext w:val="0"/>
              <w:keepLines w:val="0"/>
              <w:pageBreakBefore w:val="0"/>
              <w:widowControl w:val="0"/>
              <w:kinsoku/>
              <w:wordWrap/>
              <w:overflowPunct/>
              <w:topLinePunct w:val="0"/>
              <w:autoSpaceDE/>
              <w:autoSpaceDN/>
              <w:bidi w:val="0"/>
              <w:spacing w:line="520" w:lineRule="exact"/>
              <w:ind w:right="0"/>
              <w:jc w:val="center"/>
              <w:textAlignment w:val="auto"/>
              <w:outlineLvl w:val="9"/>
              <w:rPr>
                <w:rFonts w:hint="default" w:ascii="仿宋_GB2312" w:hAnsi="仿宋_GB2312" w:eastAsia="仿宋_GB2312" w:cs="仿宋_GB2312"/>
                <w:b w:val="0"/>
                <w:bCs w:val="0"/>
                <w:color w:val="auto"/>
                <w:sz w:val="32"/>
                <w:szCs w:val="32"/>
                <w:vertAlign w:val="baseline"/>
                <w:lang w:val="en-US" w:eastAsia="zh-CN"/>
              </w:rPr>
            </w:pPr>
            <w:r>
              <w:rPr>
                <w:rFonts w:hint="eastAsia" w:ascii="仿宋_GB2312" w:hAnsi="仿宋_GB2312" w:eastAsia="仿宋_GB2312" w:cs="仿宋_GB2312"/>
                <w:b w:val="0"/>
                <w:bCs w:val="0"/>
                <w:color w:val="auto"/>
                <w:sz w:val="32"/>
                <w:szCs w:val="32"/>
                <w:vertAlign w:val="baseline"/>
                <w:lang w:eastAsia="zh-CN"/>
              </w:rPr>
              <w:t>高彦花</w:t>
            </w:r>
          </w:p>
        </w:tc>
        <w:tc>
          <w:tcPr>
            <w:tcW w:w="1812" w:type="dxa"/>
            <w:vAlign w:val="center"/>
          </w:tcPr>
          <w:p>
            <w:pPr>
              <w:keepNext w:val="0"/>
              <w:keepLines w:val="0"/>
              <w:pageBreakBefore w:val="0"/>
              <w:widowControl w:val="0"/>
              <w:kinsoku/>
              <w:wordWrap/>
              <w:overflowPunct/>
              <w:topLinePunct w:val="0"/>
              <w:autoSpaceDE/>
              <w:autoSpaceDN/>
              <w:bidi w:val="0"/>
              <w:spacing w:line="520" w:lineRule="exact"/>
              <w:ind w:right="0" w:rightChars="0"/>
              <w:jc w:val="center"/>
              <w:textAlignment w:val="auto"/>
              <w:outlineLvl w:val="9"/>
              <w:rPr>
                <w:rFonts w:hint="eastAsia" w:ascii="仿宋_GB2312" w:hAnsi="仿宋_GB2312" w:eastAsia="仿宋_GB2312" w:cs="仿宋_GB2312"/>
                <w:b w:val="0"/>
                <w:bCs w:val="0"/>
                <w:color w:val="auto"/>
                <w:kern w:val="2"/>
                <w:sz w:val="32"/>
                <w:szCs w:val="32"/>
                <w:vertAlign w:val="baseline"/>
                <w:lang w:val="en-US" w:eastAsia="zh-CN" w:bidi="ar-SA"/>
              </w:rPr>
            </w:pPr>
            <w:r>
              <w:rPr>
                <w:rFonts w:hint="eastAsia" w:ascii="仿宋_GB2312" w:hAnsi="仿宋_GB2312" w:eastAsia="仿宋_GB2312" w:cs="仿宋_GB2312"/>
                <w:b w:val="0"/>
                <w:bCs w:val="0"/>
                <w:color w:val="auto"/>
                <w:sz w:val="32"/>
                <w:szCs w:val="32"/>
                <w:vertAlign w:val="baseline"/>
                <w:lang w:eastAsia="zh-CN"/>
              </w:rPr>
              <w:t>统战部</w:t>
            </w:r>
          </w:p>
        </w:tc>
        <w:tc>
          <w:tcPr>
            <w:tcW w:w="3040" w:type="dxa"/>
            <w:vAlign w:val="center"/>
          </w:tcPr>
          <w:p>
            <w:pPr>
              <w:keepNext w:val="0"/>
              <w:keepLines w:val="0"/>
              <w:pageBreakBefore w:val="0"/>
              <w:widowControl w:val="0"/>
              <w:kinsoku/>
              <w:wordWrap/>
              <w:overflowPunct/>
              <w:topLinePunct w:val="0"/>
              <w:autoSpaceDE/>
              <w:autoSpaceDN/>
              <w:bidi w:val="0"/>
              <w:spacing w:line="520" w:lineRule="exact"/>
              <w:ind w:right="0"/>
              <w:jc w:val="center"/>
              <w:textAlignment w:val="auto"/>
              <w:outlineLvl w:val="9"/>
              <w:rPr>
                <w:rFonts w:hint="eastAsia" w:ascii="仿宋_GB2312" w:hAnsi="仿宋_GB2312" w:eastAsia="仿宋_GB2312" w:cs="仿宋_GB2312"/>
                <w:b w:val="0"/>
                <w:bCs w:val="0"/>
                <w:color w:val="auto"/>
                <w:sz w:val="32"/>
                <w:szCs w:val="32"/>
                <w:vertAlign w:val="baseline"/>
                <w:lang w:eastAsia="zh-CN"/>
              </w:rPr>
            </w:pPr>
            <w:r>
              <w:rPr>
                <w:rFonts w:hint="eastAsia" w:ascii="仿宋_GB2312" w:hAnsi="仿宋_GB2312" w:eastAsia="仿宋_GB2312" w:cs="仿宋_GB2312"/>
                <w:b w:val="0"/>
                <w:bCs w:val="0"/>
                <w:color w:val="auto"/>
                <w:sz w:val="32"/>
                <w:szCs w:val="32"/>
                <w:vertAlign w:val="baseline"/>
                <w:lang w:eastAsia="zh-CN"/>
              </w:rPr>
              <w:t>办公室主任</w:t>
            </w:r>
          </w:p>
        </w:tc>
        <w:tc>
          <w:tcPr>
            <w:tcW w:w="2100" w:type="dxa"/>
            <w:vAlign w:val="top"/>
          </w:tcPr>
          <w:p>
            <w:pPr>
              <w:keepNext w:val="0"/>
              <w:keepLines w:val="0"/>
              <w:pageBreakBefore w:val="0"/>
              <w:widowControl w:val="0"/>
              <w:kinsoku/>
              <w:wordWrap/>
              <w:overflowPunct/>
              <w:topLinePunct w:val="0"/>
              <w:autoSpaceDE/>
              <w:autoSpaceDN/>
              <w:bidi w:val="0"/>
              <w:spacing w:line="520" w:lineRule="exact"/>
              <w:ind w:right="0"/>
              <w:jc w:val="center"/>
              <w:textAlignment w:val="auto"/>
              <w:outlineLvl w:val="9"/>
              <w:rPr>
                <w:rFonts w:hint="eastAsia" w:ascii="仿宋_GB2312" w:hAnsi="仿宋_GB2312" w:eastAsia="仿宋_GB2312" w:cs="仿宋_GB2312"/>
                <w:b w:val="0"/>
                <w:bCs w:val="0"/>
                <w:color w:val="auto"/>
                <w:sz w:val="32"/>
                <w:szCs w:val="32"/>
                <w:vertAlign w:val="baseline"/>
                <w:lang w:eastAsia="zh-CN"/>
              </w:rPr>
            </w:pPr>
          </w:p>
        </w:tc>
      </w:tr>
    </w:tbl>
    <w:p>
      <w:pPr>
        <w:pStyle w:val="13"/>
        <w:numPr>
          <w:numId w:val="0"/>
        </w:numPr>
      </w:pP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90805" distR="90805" simplePos="0" relativeHeight="102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102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C1qUiZ0QAAAAMBAAAPAAAAAAAA&#10;AAEAIAAAACIAAABkcnMvZG93bnJldi54bWxQSwECFAAUAAAACACHTuJA8TEkzeABAACqAwAADgAA&#10;AAAAAAABACAAAAAgAQAAZHJzL2Uyb0RvYy54bWxQSwUGAAAAAAYABgBZAQAAcgUAAAAA&#10;">
              <v:fill on="f" focussize="0,0"/>
              <v:stroke on="f" joinstyle="miter"/>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DC1E7A4"/>
    <w:multiLevelType w:val="singleLevel"/>
    <w:tmpl w:val="8DC1E7A4"/>
    <w:lvl w:ilvl="0" w:tentative="0">
      <w:start w:val="6"/>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abstractNum w:abstractNumId="3">
    <w:nsid w:val="7FC6FE1B"/>
    <w:multiLevelType w:val="singleLevel"/>
    <w:tmpl w:val="7FC6FE1B"/>
    <w:lvl w:ilvl="0" w:tentative="0">
      <w:start w:val="2"/>
      <w:numFmt w:val="chineseCounting"/>
      <w:suff w:val="nothing"/>
      <w:lvlText w:val="（%1）"/>
      <w:lvlJc w:val="left"/>
      <w:rPr>
        <w:rFonts w:hint="eastAsia"/>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doNotUseIndentAsNumberingTabStop/>
    <w:useAltKinsokuLineBreakRules/>
    <w:doNotSuppressIndentation/>
    <w:splitPgBreakAndParaMark/>
    <w:compatSetting w:name="compatibilityMode" w:uri="http://schemas.microsoft.com/office/word" w:val="11"/>
  </w:compat>
  <w:docVars>
    <w:docVar w:name="commondata" w:val="eyJoZGlkIjoiYzgxMzVhZTBlNDUyZWUxNDVhMjNkN2E1NjFlOTE5NDcifQ=="/>
  </w:docVars>
  <w:rsids>
    <w:rsidRoot w:val="00000000"/>
    <w:rsid w:val="02C533A4"/>
    <w:rsid w:val="0B7F76D5"/>
    <w:rsid w:val="10007D33"/>
    <w:rsid w:val="1E066CB6"/>
    <w:rsid w:val="52340236"/>
    <w:rsid w:val="5B2C5C30"/>
    <w:rsid w:val="68684FED"/>
    <w:rsid w:val="72FA2CD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iPriority="99"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Calibri" w:hAnsi="Calibri" w:eastAsia="宋体" w:cs="黑体"/>
      <w:kern w:val="2"/>
      <w:sz w:val="21"/>
      <w:szCs w:val="22"/>
      <w:lang w:val="en-US" w:eastAsia="zh-CN" w:bidi="ar-SA"/>
    </w:rPr>
  </w:style>
  <w:style w:type="paragraph" w:styleId="4">
    <w:name w:val="heading 1"/>
    <w:basedOn w:val="1"/>
    <w:next w:val="1"/>
    <w:uiPriority w:val="0"/>
    <w:pPr>
      <w:keepNext/>
      <w:keepLines/>
      <w:widowControl w:val="0"/>
      <w:spacing w:before="340" w:after="330" w:line="578" w:lineRule="auto"/>
      <w:outlineLvl w:val="0"/>
    </w:pPr>
    <w:rPr>
      <w:b/>
      <w:bCs/>
      <w:kern w:val="44"/>
      <w:sz w:val="44"/>
      <w:szCs w:val="44"/>
    </w:rPr>
  </w:style>
  <w:style w:type="paragraph" w:styleId="5">
    <w:name w:val="heading 2"/>
    <w:basedOn w:val="1"/>
    <w:next w:val="1"/>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6">
    <w:name w:val="heading 3"/>
    <w:basedOn w:val="1"/>
    <w:next w:val="1"/>
    <w:uiPriority w:val="0"/>
    <w:pPr>
      <w:keepNext/>
      <w:keepLines/>
      <w:widowControl w:val="0"/>
      <w:spacing w:before="260" w:after="260" w:line="415" w:lineRule="auto"/>
      <w:outlineLvl w:val="2"/>
    </w:pPr>
    <w:rPr>
      <w:b/>
      <w:bCs/>
      <w:sz w:val="32"/>
      <w:szCs w:val="32"/>
    </w:rPr>
  </w:style>
  <w:style w:type="character" w:default="1" w:styleId="10">
    <w:name w:val="Default Paragraph Font"/>
    <w:uiPriority w:val="0"/>
  </w:style>
  <w:style w:type="table" w:default="1" w:styleId="11">
    <w:name w:val="Normal Table"/>
    <w:semiHidden/>
    <w:uiPriority w:val="0"/>
    <w:tblPr>
      <w:tblLayout w:type="fixed"/>
      <w:tblCellMar>
        <w:top w:w="0" w:type="dxa"/>
        <w:left w:w="108" w:type="dxa"/>
        <w:bottom w:w="0" w:type="dxa"/>
        <w:right w:w="108" w:type="dxa"/>
      </w:tblCellMar>
    </w:tblPr>
  </w:style>
  <w:style w:type="paragraph" w:styleId="2">
    <w:name w:val="Normal Indent"/>
    <w:basedOn w:val="1"/>
    <w:next w:val="3"/>
    <w:qFormat/>
    <w:uiPriority w:val="0"/>
    <w:pPr>
      <w:ind w:firstLine="200" w:firstLineChars="200"/>
    </w:pPr>
    <w:rPr>
      <w:rFonts w:eastAsia="仿宋_GB2312"/>
      <w:sz w:val="30"/>
    </w:rPr>
  </w:style>
  <w:style w:type="paragraph" w:styleId="3">
    <w:name w:val="Subtitle"/>
    <w:basedOn w:val="1"/>
    <w:qFormat/>
    <w:uiPriority w:val="0"/>
    <w:pPr>
      <w:spacing w:line="700" w:lineRule="exact"/>
      <w:jc w:val="center"/>
      <w:outlineLvl w:val="1"/>
    </w:pPr>
    <w:rPr>
      <w:rFonts w:ascii="Arial" w:hAnsi="Arial" w:eastAsia="方正小标宋简体" w:cs="Arial"/>
      <w:b/>
      <w:bCs/>
      <w:kern w:val="28"/>
      <w:sz w:val="44"/>
      <w:szCs w:val="44"/>
    </w:rPr>
  </w:style>
  <w:style w:type="paragraph" w:styleId="7">
    <w:name w:val="footer"/>
    <w:basedOn w:val="1"/>
    <w:uiPriority w:val="0"/>
    <w:pPr>
      <w:tabs>
        <w:tab w:val="center" w:pos="4153"/>
        <w:tab w:val="right" w:pos="8306"/>
      </w:tabs>
      <w:snapToGrid w:val="0"/>
      <w:jc w:val="left"/>
    </w:pPr>
    <w:rPr>
      <w:sz w:val="18"/>
    </w:rPr>
  </w:style>
  <w:style w:type="paragraph" w:styleId="8">
    <w:name w:val="header"/>
    <w:basedOn w:val="1"/>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 w:type="paragraph" w:styleId="9">
    <w:name w:val="Normal (Web)"/>
    <w:basedOn w:val="1"/>
    <w:semiHidden/>
    <w:unhideWhenUsed/>
    <w:uiPriority w:val="99"/>
    <w:pPr>
      <w:spacing w:before="0" w:beforeAutospacing="1" w:after="0" w:afterAutospacing="1"/>
      <w:ind w:left="0" w:right="0"/>
      <w:jc w:val="left"/>
    </w:pPr>
    <w:rPr>
      <w:kern w:val="0"/>
      <w:sz w:val="24"/>
      <w:lang w:val="en-US" w:eastAsia="zh-CN" w:bidi="ar"/>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13">
    <w:name w:val="无间隔1"/>
    <w:qFormat/>
    <w:uiPriority w:val="1"/>
    <w:pPr>
      <w:widowControl w:val="0"/>
      <w:jc w:val="both"/>
    </w:pPr>
    <w:rPr>
      <w:rFonts w:ascii="宋体" w:hAnsi="宋体" w:eastAsia="仿宋_GB2312" w:cs="Times New Roman"/>
      <w:kern w:val="2"/>
      <w:sz w:val="32"/>
      <w:szCs w:val="2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CFF0AC5-597A-436C-8052-6BABDDFA8FAA}">
  <ds:schemaRefs/>
</ds:datastoreItem>
</file>

<file path=docProps/app.xml><?xml version="1.0" encoding="utf-8"?>
<Properties xmlns="http://schemas.openxmlformats.org/officeDocument/2006/extended-properties" xmlns:vt="http://schemas.openxmlformats.org/officeDocument/2006/docPropsVTypes">
  <Template>Normal.eit</Template>
  <Pages>2</Pages>
  <Words>0</Words>
  <Characters>502</Characters>
  <Lines>0</Lines>
  <Paragraphs>29</Paragraphs>
  <TotalTime>6</TotalTime>
  <ScaleCrop>false</ScaleCrop>
  <LinksUpToDate>false</LinksUpToDate>
  <CharactersWithSpaces>670</CharactersWithSpaces>
  <Application>WPS Office_10.8.2.6948_F1E327BC-269C-435d-A152-05C5408002CA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2025-07-16T02:23:41Z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ICV">
    <vt:lpwstr>96934721B1514D3FBAA28020338CE855_12</vt:lpwstr>
  </property>
</Properties>
</file>