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BDB662">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黑体" w:hAnsi="黑体" w:eastAsia="黑体" w:cs="黑体"/>
          <w:sz w:val="32"/>
          <w:szCs w:val="32"/>
        </w:rPr>
      </w:pPr>
      <w:r>
        <w:rPr>
          <w:rFonts w:hint="eastAsia" w:ascii="黑体" w:hAnsi="黑体" w:eastAsia="黑体" w:cs="黑体"/>
          <w:sz w:val="32"/>
          <w:szCs w:val="32"/>
        </w:rPr>
        <w:t>附件4</w:t>
      </w:r>
    </w:p>
    <w:p w14:paraId="025C749D">
      <w:pPr>
        <w:keepNext w:val="0"/>
        <w:keepLines w:val="0"/>
        <w:pageBreakBefore w:val="0"/>
        <w:widowControl w:val="0"/>
        <w:kinsoku/>
        <w:wordWrap/>
        <w:overflowPunct/>
        <w:topLinePunct w:val="0"/>
        <w:autoSpaceDE/>
        <w:autoSpaceDN/>
        <w:bidi w:val="0"/>
        <w:spacing w:line="600" w:lineRule="exact"/>
        <w:jc w:val="center"/>
        <w:textAlignment w:val="auto"/>
        <w:rPr>
          <w:rFonts w:ascii="宋体" w:hAnsi="宋体" w:cs="宋体"/>
          <w:b/>
          <w:bCs/>
          <w:sz w:val="44"/>
          <w:szCs w:val="44"/>
        </w:rPr>
      </w:pPr>
    </w:p>
    <w:p w14:paraId="568BF72E">
      <w:pPr>
        <w:keepNext w:val="0"/>
        <w:keepLines w:val="0"/>
        <w:pageBreakBefore w:val="0"/>
        <w:widowControl w:val="0"/>
        <w:kinsoku/>
        <w:wordWrap/>
        <w:overflowPunct/>
        <w:topLinePunct w:val="0"/>
        <w:autoSpaceDE/>
        <w:autoSpaceDN/>
        <w:bidi w:val="0"/>
        <w:spacing w:line="600" w:lineRule="exact"/>
        <w:jc w:val="center"/>
        <w:textAlignment w:val="auto"/>
        <w:rPr>
          <w:rFonts w:hint="eastAsia" w:ascii="宋体" w:hAnsi="宋体" w:cs="宋体"/>
          <w:b/>
          <w:bCs/>
          <w:sz w:val="44"/>
          <w:szCs w:val="44"/>
        </w:rPr>
      </w:pPr>
      <w:r>
        <w:rPr>
          <w:rFonts w:hint="eastAsia" w:ascii="宋体" w:hAnsi="宋体" w:cs="宋体"/>
          <w:b/>
          <w:bCs/>
          <w:sz w:val="44"/>
          <w:szCs w:val="44"/>
          <w:lang w:eastAsia="zh-CN"/>
        </w:rPr>
        <w:t>井陉矿区委组织部</w:t>
      </w:r>
      <w:r>
        <w:rPr>
          <w:rFonts w:hint="eastAsia" w:ascii="宋体" w:hAnsi="宋体" w:cs="宋体"/>
          <w:b/>
          <w:bCs/>
          <w:sz w:val="44"/>
          <w:szCs w:val="44"/>
        </w:rPr>
        <w:t>部门</w:t>
      </w:r>
    </w:p>
    <w:p w14:paraId="5EB98B86">
      <w:pPr>
        <w:keepNext w:val="0"/>
        <w:keepLines w:val="0"/>
        <w:pageBreakBefore w:val="0"/>
        <w:widowControl w:val="0"/>
        <w:kinsoku/>
        <w:wordWrap/>
        <w:overflowPunct/>
        <w:topLinePunct w:val="0"/>
        <w:autoSpaceDE/>
        <w:autoSpaceDN/>
        <w:bidi w:val="0"/>
        <w:spacing w:line="600" w:lineRule="exact"/>
        <w:jc w:val="center"/>
        <w:textAlignment w:val="auto"/>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0607015F">
      <w:pPr>
        <w:keepNext w:val="0"/>
        <w:keepLines w:val="0"/>
        <w:pageBreakBefore w:val="0"/>
        <w:widowControl w:val="0"/>
        <w:kinsoku/>
        <w:wordWrap/>
        <w:overflowPunct/>
        <w:topLinePunct w:val="0"/>
        <w:autoSpaceDE/>
        <w:autoSpaceDN/>
        <w:bidi w:val="0"/>
        <w:spacing w:line="600" w:lineRule="exact"/>
        <w:jc w:val="center"/>
        <w:textAlignment w:val="auto"/>
        <w:rPr>
          <w:rFonts w:ascii="华文楷体" w:eastAsia="华文楷体"/>
          <w:sz w:val="32"/>
          <w:szCs w:val="32"/>
        </w:rPr>
      </w:pPr>
    </w:p>
    <w:p w14:paraId="35FA2BB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区委组织部部门</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2EE1B108">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B9A8AA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241C5B0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1.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联系会议”牵头抓总工作。</w:t>
      </w:r>
    </w:p>
    <w:p w14:paraId="02DD886D">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2.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转型工作；承担区委非公有制经济组织和社会组织工作委员会职责。</w:t>
      </w:r>
    </w:p>
    <w:p w14:paraId="2BD69D7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3.负责各级领导班子和干部队伍建设的宏观管理。研究提出领导班子和领导干部队伍建设规划以及干部管理体制的建议，指导领导班子思想作风建设；负责提出各乡镇（街道）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团职以下符合任职条件的军队转业干部安置工作；负责全区干部档案工作的宏观指导和区管干部档案管理；负责省派选调生的培养、使用和管理；承办有关干部的调配、交流安置事宜。</w:t>
      </w:r>
    </w:p>
    <w:p w14:paraId="39FE0D9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4.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w:t>
      </w:r>
    </w:p>
    <w:p w14:paraId="05D4342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5.负责公务员、参照公务员法管理事业单位工作人员录用调配、考核奖惩、培训和工资福利等工作；研究拟订公务员管理办法并组织实施；指导全区公务员、参照公务员法管理事业单位工作人员队伍建设。</w:t>
      </w:r>
    </w:p>
    <w:p w14:paraId="5D9076C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6.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14:paraId="6A8EADC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7.负责组织系统新闻宣传、信息化建设和党史工作、组织史征编工作。</w:t>
      </w:r>
    </w:p>
    <w:p w14:paraId="71F9E8A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8.负责全区组织工作的检查督促，及时向区委反映重要情况并提出建议。</w:t>
      </w:r>
    </w:p>
    <w:p w14:paraId="5DE2FA4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9.统一管理区委机构编制委员会办公室，归口管理区委老干部局。</w:t>
      </w:r>
    </w:p>
    <w:p w14:paraId="542969D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10.完成区委交办的其他任务。</w:t>
      </w:r>
    </w:p>
    <w:p w14:paraId="7BD7F88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截至2024年12月31日，我部本级年末实有人数25人，较上年度增长5人。</w:t>
      </w:r>
    </w:p>
    <w:p w14:paraId="172D11A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val="en-US" w:eastAsia="zh-CN" w:bidi="ar-SA"/>
        </w:rPr>
        <w:t>我部资产总额46.85万元，较上年减少22.12%。负债总额0.00万元,较上年减少0%。净资产46.85万元 ,较上年减少22.12%。</w:t>
      </w:r>
    </w:p>
    <w:p w14:paraId="70F58336">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部门收支预决算情况</w:t>
      </w:r>
    </w:p>
    <w:p w14:paraId="4EA370C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bidi="ar-SA"/>
        </w:rPr>
      </w:pPr>
      <w:r>
        <w:rPr>
          <w:rFonts w:hint="eastAsia" w:ascii="仿宋_GB2312" w:eastAsia="仿宋_GB2312" w:cs="DengXian-Regular"/>
          <w:sz w:val="32"/>
          <w:szCs w:val="32"/>
          <w:highlight w:val="none"/>
          <w:lang w:val="en-US" w:eastAsia="zh-CN" w:bidi="ar-SA"/>
        </w:rPr>
        <w:t>2024年</w:t>
      </w:r>
      <w:r>
        <w:rPr>
          <w:rFonts w:hint="eastAsia" w:ascii="仿宋_GB2312" w:eastAsia="仿宋_GB2312" w:cs="DengXian-Regular"/>
          <w:sz w:val="32"/>
          <w:szCs w:val="32"/>
          <w:highlight w:val="none"/>
          <w:lang w:bidi="ar-SA"/>
        </w:rPr>
        <w:t>一般公共预算财政拨款</w:t>
      </w:r>
      <w:r>
        <w:rPr>
          <w:rFonts w:hint="eastAsia" w:ascii="仿宋_GB2312" w:eastAsia="仿宋_GB2312" w:cs="DengXian-Regular"/>
          <w:sz w:val="32"/>
          <w:szCs w:val="32"/>
          <w:highlight w:val="none"/>
          <w:lang w:val="en-US" w:eastAsia="zh-CN" w:bidi="ar-SA"/>
        </w:rPr>
        <w:t>收入692.36万元，支出692.36万元。</w:t>
      </w:r>
    </w:p>
    <w:p w14:paraId="5D9634C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10B23C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bidi="ar-SA"/>
        </w:rPr>
      </w:pPr>
      <w:r>
        <w:rPr>
          <w:rFonts w:hint="eastAsia" w:ascii="仿宋_GB2312" w:eastAsia="仿宋_GB2312" w:cs="DengXian-Regular"/>
          <w:sz w:val="32"/>
          <w:szCs w:val="32"/>
          <w:highlight w:val="none"/>
          <w:lang w:bidi="ar-SA"/>
        </w:rPr>
        <w:t>202</w:t>
      </w:r>
      <w:r>
        <w:rPr>
          <w:rFonts w:hint="eastAsia" w:ascii="仿宋_GB2312" w:eastAsia="仿宋_GB2312" w:cs="DengXian-Regular"/>
          <w:sz w:val="32"/>
          <w:szCs w:val="32"/>
          <w:highlight w:val="none"/>
          <w:lang w:val="en-US" w:eastAsia="zh-CN" w:bidi="ar-SA"/>
        </w:rPr>
        <w:t>4</w:t>
      </w:r>
      <w:r>
        <w:rPr>
          <w:rFonts w:hint="eastAsia" w:ascii="仿宋_GB2312" w:eastAsia="仿宋_GB2312" w:cs="DengXian-Regular"/>
          <w:sz w:val="32"/>
          <w:szCs w:val="32"/>
          <w:highlight w:val="none"/>
          <w:lang w:bidi="ar-SA"/>
        </w:rPr>
        <w:t>年年初预算安排情况</w:t>
      </w:r>
      <w:r>
        <w:rPr>
          <w:rFonts w:hint="eastAsia" w:ascii="仿宋_GB2312" w:eastAsia="仿宋_GB2312" w:cs="DengXian-Regular"/>
          <w:sz w:val="32"/>
          <w:szCs w:val="32"/>
          <w:highlight w:val="none"/>
          <w:lang w:val="en-US" w:eastAsia="zh-CN" w:bidi="ar-SA"/>
        </w:rPr>
        <w:t>889.03</w:t>
      </w:r>
      <w:r>
        <w:rPr>
          <w:rFonts w:hint="eastAsia" w:ascii="仿宋_GB2312" w:eastAsia="仿宋_GB2312" w:cs="DengXian-Regular"/>
          <w:sz w:val="32"/>
          <w:szCs w:val="32"/>
          <w:highlight w:val="none"/>
          <w:lang w:bidi="ar-SA"/>
        </w:rPr>
        <w:t>万元，其中基本支出</w:t>
      </w:r>
      <w:r>
        <w:rPr>
          <w:rFonts w:hint="eastAsia" w:ascii="仿宋_GB2312" w:eastAsia="仿宋_GB2312" w:cs="DengXian-Regular"/>
          <w:sz w:val="32"/>
          <w:szCs w:val="32"/>
          <w:highlight w:val="none"/>
          <w:lang w:val="en-US" w:eastAsia="zh-CN" w:bidi="ar-SA"/>
        </w:rPr>
        <w:t>317.87</w:t>
      </w:r>
      <w:r>
        <w:rPr>
          <w:rFonts w:hint="eastAsia" w:ascii="仿宋_GB2312" w:eastAsia="仿宋_GB2312" w:cs="DengXian-Regular"/>
          <w:sz w:val="32"/>
          <w:szCs w:val="32"/>
          <w:highlight w:val="none"/>
          <w:lang w:bidi="ar-SA"/>
        </w:rPr>
        <w:t>万元，其中人员经费支出</w:t>
      </w:r>
      <w:r>
        <w:rPr>
          <w:rFonts w:hint="eastAsia" w:ascii="仿宋_GB2312" w:eastAsia="仿宋_GB2312" w:cs="DengXian-Regular"/>
          <w:sz w:val="32"/>
          <w:szCs w:val="32"/>
          <w:highlight w:val="none"/>
          <w:lang w:val="en-US" w:eastAsia="zh-CN" w:bidi="ar-SA"/>
        </w:rPr>
        <w:t>301.95</w:t>
      </w:r>
      <w:r>
        <w:rPr>
          <w:rFonts w:hint="eastAsia" w:ascii="仿宋_GB2312" w:eastAsia="仿宋_GB2312" w:cs="DengXian-Regular"/>
          <w:sz w:val="32"/>
          <w:szCs w:val="32"/>
          <w:highlight w:val="none"/>
          <w:lang w:bidi="ar-SA"/>
        </w:rPr>
        <w:t>万元，日常公用经费</w:t>
      </w:r>
      <w:r>
        <w:rPr>
          <w:rFonts w:hint="eastAsia" w:ascii="仿宋_GB2312" w:eastAsia="仿宋_GB2312" w:cs="DengXian-Regular"/>
          <w:sz w:val="32"/>
          <w:szCs w:val="32"/>
          <w:highlight w:val="none"/>
          <w:lang w:val="en-US" w:eastAsia="zh-CN" w:bidi="ar-SA"/>
        </w:rPr>
        <w:t>15.92</w:t>
      </w:r>
      <w:r>
        <w:rPr>
          <w:rFonts w:hint="eastAsia" w:ascii="仿宋_GB2312" w:eastAsia="仿宋_GB2312" w:cs="DengXian-Regular"/>
          <w:sz w:val="32"/>
          <w:szCs w:val="32"/>
          <w:highlight w:val="none"/>
          <w:lang w:bidi="ar-SA"/>
        </w:rPr>
        <w:t>万元；项目支出</w:t>
      </w:r>
      <w:r>
        <w:rPr>
          <w:rFonts w:hint="eastAsia" w:ascii="仿宋_GB2312" w:eastAsia="仿宋_GB2312" w:cs="DengXian-Regular"/>
          <w:sz w:val="32"/>
          <w:szCs w:val="32"/>
          <w:highlight w:val="none"/>
          <w:lang w:val="en-US" w:eastAsia="zh-CN" w:bidi="ar-SA"/>
        </w:rPr>
        <w:t>665.44</w:t>
      </w:r>
      <w:r>
        <w:rPr>
          <w:rFonts w:hint="eastAsia" w:ascii="仿宋_GB2312" w:eastAsia="仿宋_GB2312" w:cs="DengXian-Regular"/>
          <w:sz w:val="32"/>
          <w:szCs w:val="32"/>
          <w:highlight w:val="none"/>
          <w:lang w:bidi="ar-SA"/>
        </w:rPr>
        <w:t>万元。202</w:t>
      </w:r>
      <w:r>
        <w:rPr>
          <w:rFonts w:hint="eastAsia" w:ascii="仿宋_GB2312" w:eastAsia="仿宋_GB2312" w:cs="DengXian-Regular"/>
          <w:sz w:val="32"/>
          <w:szCs w:val="32"/>
          <w:highlight w:val="none"/>
          <w:lang w:val="en-US" w:eastAsia="zh-CN" w:bidi="ar-SA"/>
        </w:rPr>
        <w:t>4</w:t>
      </w:r>
      <w:r>
        <w:rPr>
          <w:rFonts w:hint="eastAsia" w:ascii="仿宋_GB2312" w:eastAsia="仿宋_GB2312" w:cs="DengXian-Regular"/>
          <w:sz w:val="32"/>
          <w:szCs w:val="32"/>
          <w:highlight w:val="none"/>
          <w:lang w:bidi="ar-SA"/>
        </w:rPr>
        <w:t>年年底决算情况财政拨款收入</w:t>
      </w:r>
      <w:r>
        <w:rPr>
          <w:rFonts w:hint="eastAsia" w:ascii="仿宋_GB2312" w:eastAsia="仿宋_GB2312" w:cs="DengXian-Regular"/>
          <w:sz w:val="32"/>
          <w:szCs w:val="32"/>
          <w:highlight w:val="none"/>
          <w:lang w:val="en-US" w:eastAsia="zh-CN" w:bidi="ar-SA"/>
        </w:rPr>
        <w:t>692.36</w:t>
      </w:r>
      <w:r>
        <w:rPr>
          <w:rFonts w:hint="eastAsia" w:ascii="仿宋_GB2312" w:eastAsia="仿宋_GB2312" w:cs="DengXian-Regular"/>
          <w:sz w:val="32"/>
          <w:szCs w:val="32"/>
          <w:highlight w:val="none"/>
          <w:lang w:bidi="ar-SA"/>
        </w:rPr>
        <w:t>万元、支出</w:t>
      </w:r>
      <w:r>
        <w:rPr>
          <w:rFonts w:hint="eastAsia" w:ascii="仿宋_GB2312" w:eastAsia="仿宋_GB2312" w:cs="DengXian-Regular"/>
          <w:sz w:val="32"/>
          <w:szCs w:val="32"/>
          <w:highlight w:val="none"/>
          <w:lang w:val="en-US" w:eastAsia="zh-CN" w:bidi="ar-SA"/>
        </w:rPr>
        <w:t>692.36</w:t>
      </w:r>
      <w:r>
        <w:rPr>
          <w:rFonts w:hint="eastAsia" w:ascii="仿宋_GB2312" w:eastAsia="仿宋_GB2312" w:cs="DengXian-Regular"/>
          <w:sz w:val="32"/>
          <w:szCs w:val="32"/>
          <w:highlight w:val="none"/>
          <w:lang w:bidi="ar-SA"/>
        </w:rPr>
        <w:t>万元，其中基本支出</w:t>
      </w:r>
      <w:r>
        <w:rPr>
          <w:rFonts w:hint="eastAsia" w:ascii="仿宋_GB2312" w:eastAsia="仿宋_GB2312"/>
          <w:color w:val="000000"/>
          <w:sz w:val="32"/>
          <w:szCs w:val="32"/>
          <w:highlight w:val="none"/>
          <w:lang w:val="en-US" w:eastAsia="zh-CN"/>
        </w:rPr>
        <w:t>317.17</w:t>
      </w:r>
      <w:r>
        <w:rPr>
          <w:rFonts w:hint="eastAsia" w:ascii="仿宋_GB2312" w:eastAsia="仿宋_GB2312" w:cs="DengXian-Regular"/>
          <w:sz w:val="32"/>
          <w:szCs w:val="32"/>
          <w:highlight w:val="none"/>
          <w:lang w:bidi="ar-SA"/>
        </w:rPr>
        <w:t>万元，其中人员经费支出</w:t>
      </w:r>
      <w:r>
        <w:rPr>
          <w:rFonts w:hint="eastAsia" w:ascii="仿宋_GB2312" w:eastAsia="仿宋_GB2312"/>
          <w:color w:val="000000"/>
          <w:sz w:val="32"/>
          <w:szCs w:val="32"/>
          <w:highlight w:val="none"/>
          <w:lang w:val="en-US" w:eastAsia="zh-CN"/>
        </w:rPr>
        <w:t>307.71</w:t>
      </w:r>
      <w:r>
        <w:rPr>
          <w:rFonts w:hint="eastAsia" w:ascii="仿宋_GB2312" w:eastAsia="仿宋_GB2312" w:cs="DengXian-Regular"/>
          <w:sz w:val="32"/>
          <w:szCs w:val="32"/>
          <w:highlight w:val="none"/>
          <w:lang w:bidi="ar-SA"/>
        </w:rPr>
        <w:t>万元，日常公用经费</w:t>
      </w:r>
      <w:r>
        <w:rPr>
          <w:rFonts w:hint="eastAsia" w:ascii="仿宋_GB2312" w:eastAsia="仿宋_GB2312"/>
          <w:color w:val="000000"/>
          <w:sz w:val="32"/>
          <w:szCs w:val="32"/>
          <w:highlight w:val="none"/>
          <w:lang w:val="en-US" w:eastAsia="zh-CN"/>
        </w:rPr>
        <w:t>9.46</w:t>
      </w:r>
      <w:r>
        <w:rPr>
          <w:rFonts w:hint="eastAsia" w:ascii="仿宋_GB2312" w:eastAsia="仿宋_GB2312" w:cs="DengXian-Regular"/>
          <w:sz w:val="32"/>
          <w:szCs w:val="32"/>
          <w:highlight w:val="none"/>
          <w:lang w:bidi="ar-SA"/>
        </w:rPr>
        <w:t>万元；项目支出</w:t>
      </w:r>
      <w:r>
        <w:rPr>
          <w:rFonts w:hint="eastAsia" w:ascii="仿宋_GB2312" w:eastAsia="仿宋_GB2312"/>
          <w:color w:val="000000"/>
          <w:sz w:val="32"/>
          <w:szCs w:val="32"/>
          <w:highlight w:val="none"/>
          <w:lang w:val="en-US" w:eastAsia="zh-CN"/>
        </w:rPr>
        <w:t>375.19</w:t>
      </w:r>
      <w:r>
        <w:rPr>
          <w:rFonts w:hint="eastAsia" w:ascii="仿宋_GB2312" w:eastAsia="仿宋_GB2312" w:cs="DengXian-Regular"/>
          <w:sz w:val="32"/>
          <w:szCs w:val="32"/>
          <w:highlight w:val="none"/>
          <w:lang w:bidi="ar-SA"/>
        </w:rPr>
        <w:t>万元。</w:t>
      </w:r>
    </w:p>
    <w:p w14:paraId="5EE1BC3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2553E98E">
      <w:pPr>
        <w:keepNext w:val="0"/>
        <w:keepLines w:val="0"/>
        <w:pageBreakBefore w:val="0"/>
        <w:widowControl w:val="0"/>
        <w:kinsoku/>
        <w:wordWrap/>
        <w:overflowPunct/>
        <w:topLinePunct w:val="0"/>
        <w:autoSpaceDE/>
        <w:autoSpaceDN/>
        <w:bidi w:val="0"/>
        <w:spacing w:line="60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3EEF91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bidi="ar-SA"/>
        </w:rPr>
      </w:pPr>
      <w:r>
        <w:rPr>
          <w:rFonts w:hint="eastAsia" w:ascii="仿宋_GB2312" w:eastAsia="仿宋_GB2312" w:cs="DengXian-Regular"/>
          <w:sz w:val="32"/>
          <w:szCs w:val="32"/>
          <w:highlight w:val="none"/>
          <w:lang w:eastAsia="zh-CN" w:bidi="ar-SA"/>
        </w:rPr>
        <w:t>我部</w:t>
      </w:r>
      <w:r>
        <w:rPr>
          <w:rFonts w:hint="eastAsia" w:ascii="仿宋_GB2312" w:eastAsia="仿宋_GB2312" w:cs="DengXian-Regular"/>
          <w:sz w:val="32"/>
          <w:szCs w:val="32"/>
          <w:highlight w:val="none"/>
          <w:lang w:bidi="ar-SA"/>
        </w:rPr>
        <w:t>高度重视此项绩效自评工作，成立了绩效评价小组，组长由单位主管领导</w:t>
      </w:r>
      <w:r>
        <w:rPr>
          <w:rFonts w:hint="eastAsia" w:ascii="仿宋_GB2312" w:eastAsia="仿宋_GB2312" w:cs="DengXian-Regular"/>
          <w:sz w:val="32"/>
          <w:szCs w:val="32"/>
          <w:highlight w:val="none"/>
          <w:lang w:eastAsia="zh-CN" w:bidi="ar-SA"/>
        </w:rPr>
        <w:t>高照</w:t>
      </w:r>
      <w:r>
        <w:rPr>
          <w:rFonts w:hint="eastAsia" w:ascii="仿宋_GB2312" w:eastAsia="仿宋_GB2312" w:cs="DengXian-Regular"/>
          <w:sz w:val="32"/>
          <w:szCs w:val="32"/>
          <w:highlight w:val="none"/>
          <w:lang w:bidi="ar-SA"/>
        </w:rPr>
        <w:t>担任，成员包括各业务</w:t>
      </w:r>
      <w:r>
        <w:rPr>
          <w:rFonts w:hint="eastAsia" w:ascii="仿宋_GB2312" w:eastAsia="仿宋_GB2312" w:cs="DengXian-Regular"/>
          <w:sz w:val="32"/>
          <w:szCs w:val="32"/>
          <w:highlight w:val="none"/>
          <w:lang w:eastAsia="zh-CN" w:bidi="ar-SA"/>
        </w:rPr>
        <w:t>股</w:t>
      </w:r>
      <w:r>
        <w:rPr>
          <w:rFonts w:hint="eastAsia" w:ascii="仿宋_GB2312" w:eastAsia="仿宋_GB2312" w:cs="DengXian-Regular"/>
          <w:sz w:val="32"/>
          <w:szCs w:val="32"/>
          <w:highlight w:val="none"/>
          <w:lang w:bidi="ar-SA"/>
        </w:rPr>
        <w:t>室</w:t>
      </w:r>
      <w:r>
        <w:rPr>
          <w:rFonts w:hint="eastAsia" w:ascii="仿宋_GB2312" w:eastAsia="仿宋_GB2312" w:cs="DengXian-Regular"/>
          <w:sz w:val="32"/>
          <w:szCs w:val="32"/>
          <w:highlight w:val="none"/>
          <w:lang w:eastAsia="zh-CN" w:bidi="ar-SA"/>
        </w:rPr>
        <w:t>，</w:t>
      </w:r>
      <w:r>
        <w:rPr>
          <w:rFonts w:hint="eastAsia" w:ascii="仿宋_GB2312" w:eastAsia="仿宋_GB2312" w:cs="DengXian-Regular"/>
          <w:sz w:val="32"/>
          <w:szCs w:val="32"/>
          <w:highlight w:val="none"/>
          <w:lang w:bidi="ar-SA"/>
        </w:rPr>
        <w:t>按照通知要求</w:t>
      </w:r>
      <w:r>
        <w:rPr>
          <w:rFonts w:hint="eastAsia" w:ascii="仿宋_GB2312" w:eastAsia="仿宋_GB2312" w:cs="DengXian-Regular"/>
          <w:sz w:val="32"/>
          <w:szCs w:val="32"/>
          <w:highlight w:val="none"/>
          <w:lang w:eastAsia="zh-CN" w:bidi="ar-SA"/>
        </w:rPr>
        <w:t>，</w:t>
      </w:r>
      <w:r>
        <w:rPr>
          <w:rFonts w:hint="eastAsia" w:ascii="仿宋_GB2312" w:eastAsia="仿宋_GB2312" w:cs="DengXian-Regular"/>
          <w:sz w:val="32"/>
          <w:szCs w:val="32"/>
          <w:highlight w:val="none"/>
          <w:lang w:bidi="ar-SA"/>
        </w:rPr>
        <w:t>明确评价内容、评价程序及时间安排，积极配合做好自评工作。评价以</w:t>
      </w:r>
      <w:r>
        <w:rPr>
          <w:rFonts w:hint="eastAsia" w:ascii="仿宋_GB2312" w:eastAsia="仿宋_GB2312" w:cs="DengXian-Regular"/>
          <w:sz w:val="32"/>
          <w:szCs w:val="32"/>
          <w:highlight w:val="none"/>
          <w:lang w:val="en-US" w:eastAsia="zh-CN" w:bidi="ar-SA"/>
        </w:rPr>
        <w:t>2024</w:t>
      </w:r>
      <w:r>
        <w:rPr>
          <w:rFonts w:hint="eastAsia" w:ascii="仿宋_GB2312" w:eastAsia="仿宋_GB2312" w:cs="DengXian-Regular"/>
          <w:sz w:val="32"/>
          <w:szCs w:val="32"/>
          <w:highlight w:val="none"/>
          <w:lang w:bidi="ar-SA"/>
        </w:rPr>
        <w:t>年初预算确定的项目绩效目标和绩效指标为依据，通过对相关账目进行核实，对比各绩效指标完成情况，进一步分析和总结，并完成《部门专项项目绩效自评表》。</w:t>
      </w:r>
    </w:p>
    <w:p w14:paraId="0B24FA02">
      <w:pPr>
        <w:keepNext w:val="0"/>
        <w:keepLines w:val="0"/>
        <w:pageBreakBefore w:val="0"/>
        <w:widowControl w:val="0"/>
        <w:numPr>
          <w:ilvl w:val="0"/>
          <w:numId w:val="1"/>
        </w:numPr>
        <w:kinsoku/>
        <w:wordWrap/>
        <w:overflowPunct/>
        <w:topLinePunct w:val="0"/>
        <w:autoSpaceDE/>
        <w:autoSpaceDN/>
        <w:bidi w:val="0"/>
        <w:spacing w:line="60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2BCACC9">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bidi="ar-SA"/>
        </w:rPr>
      </w:pPr>
      <w:r>
        <w:rPr>
          <w:rFonts w:hint="eastAsia" w:ascii="仿宋_GB2312" w:eastAsia="仿宋_GB2312" w:cs="DengXian-Regular"/>
          <w:sz w:val="32"/>
          <w:szCs w:val="32"/>
          <w:highlight w:val="none"/>
          <w:lang w:bidi="ar-SA"/>
        </w:rPr>
        <w:t>评价以20</w:t>
      </w:r>
      <w:r>
        <w:rPr>
          <w:rFonts w:hint="eastAsia" w:ascii="仿宋_GB2312" w:eastAsia="仿宋_GB2312" w:cs="DengXian-Regular"/>
          <w:sz w:val="32"/>
          <w:szCs w:val="32"/>
          <w:highlight w:val="none"/>
          <w:lang w:val="en-US" w:eastAsia="zh-CN" w:bidi="ar-SA"/>
        </w:rPr>
        <w:t>24</w:t>
      </w:r>
      <w:r>
        <w:rPr>
          <w:rFonts w:hint="eastAsia" w:ascii="仿宋_GB2312" w:eastAsia="仿宋_GB2312" w:cs="DengXian-Regular"/>
          <w:sz w:val="32"/>
          <w:szCs w:val="32"/>
          <w:highlight w:val="none"/>
          <w:lang w:bidi="ar-SA"/>
        </w:rPr>
        <w:t>年初预算确定的项目绩效目标和绩效指标为依据，通过对相关账目进行核实，对比各绩效指标完成情况，进一步分析和总结，对</w:t>
      </w:r>
      <w:r>
        <w:rPr>
          <w:rFonts w:hint="eastAsia" w:ascii="仿宋_GB2312" w:eastAsia="仿宋_GB2312" w:cs="DengXian-Regular"/>
          <w:sz w:val="32"/>
          <w:szCs w:val="32"/>
          <w:highlight w:val="none"/>
          <w:lang w:val="en-US" w:eastAsia="zh-CN" w:bidi="ar-SA"/>
        </w:rPr>
        <w:t>10</w:t>
      </w:r>
      <w:r>
        <w:rPr>
          <w:rFonts w:hint="eastAsia" w:ascii="仿宋_GB2312" w:eastAsia="仿宋_GB2312" w:cs="DengXian-Regular"/>
          <w:sz w:val="32"/>
          <w:szCs w:val="32"/>
          <w:highlight w:val="none"/>
          <w:lang w:bidi="ar-SA"/>
        </w:rPr>
        <w:t>个项目进行了自评价，并完成《区级部门预算项目绩效自评表》。</w:t>
      </w:r>
    </w:p>
    <w:p w14:paraId="1B9C5C8E">
      <w:pPr>
        <w:keepNext w:val="0"/>
        <w:keepLines w:val="0"/>
        <w:pageBreakBefore w:val="0"/>
        <w:widowControl w:val="0"/>
        <w:kinsoku/>
        <w:wordWrap/>
        <w:overflowPunct/>
        <w:topLinePunct w:val="0"/>
        <w:autoSpaceDE/>
        <w:autoSpaceDN/>
        <w:bidi w:val="0"/>
        <w:spacing w:line="600" w:lineRule="exact"/>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8AE0504">
      <w:pPr>
        <w:keepNext w:val="0"/>
        <w:keepLines w:val="0"/>
        <w:pageBreakBefore w:val="0"/>
        <w:widowControl w:val="0"/>
        <w:numPr>
          <w:ilvl w:val="0"/>
          <w:numId w:val="2"/>
        </w:numPr>
        <w:kinsoku/>
        <w:wordWrap/>
        <w:overflowPunct/>
        <w:topLinePunct w:val="0"/>
        <w:autoSpaceDE/>
        <w:autoSpaceDN/>
        <w:bidi w:val="0"/>
        <w:spacing w:line="600" w:lineRule="exact"/>
        <w:ind w:left="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D9FE71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eastAsia="zh-CN" w:bidi="ar-SA"/>
        </w:rPr>
      </w:pPr>
      <w:r>
        <w:rPr>
          <w:rFonts w:hint="eastAsia" w:ascii="仿宋_GB2312" w:eastAsia="仿宋_GB2312" w:cs="DengXian-Regular"/>
          <w:sz w:val="32"/>
          <w:szCs w:val="32"/>
          <w:highlight w:val="none"/>
          <w:lang w:eastAsia="zh-CN" w:bidi="ar-SA"/>
        </w:rPr>
        <w:t>我部参与本次评价的项目共计</w:t>
      </w:r>
      <w:r>
        <w:rPr>
          <w:rFonts w:hint="eastAsia" w:ascii="仿宋_GB2312" w:eastAsia="仿宋_GB2312" w:cs="DengXian-Regular"/>
          <w:sz w:val="32"/>
          <w:szCs w:val="32"/>
          <w:highlight w:val="none"/>
          <w:lang w:val="en-US" w:eastAsia="zh-CN" w:bidi="ar-SA"/>
        </w:rPr>
        <w:t>10</w:t>
      </w:r>
      <w:r>
        <w:rPr>
          <w:rFonts w:hint="eastAsia" w:ascii="仿宋_GB2312" w:eastAsia="仿宋_GB2312" w:cs="DengXian-Regular"/>
          <w:sz w:val="32"/>
          <w:szCs w:val="32"/>
          <w:highlight w:val="none"/>
          <w:lang w:eastAsia="zh-CN" w:bidi="ar-SA"/>
        </w:rPr>
        <w:t>个。整体预算完成率高，</w:t>
      </w:r>
    </w:p>
    <w:p w14:paraId="5305FC0A">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eastAsia="仿宋_GB2312" w:cs="DengXian-Regular"/>
          <w:sz w:val="32"/>
          <w:szCs w:val="32"/>
          <w:highlight w:val="none"/>
          <w:lang w:bidi="ar-SA"/>
        </w:rPr>
      </w:pPr>
      <w:r>
        <w:rPr>
          <w:rFonts w:hint="eastAsia" w:ascii="仿宋_GB2312" w:eastAsia="仿宋_GB2312" w:cs="DengXian-Regular"/>
          <w:sz w:val="32"/>
          <w:szCs w:val="32"/>
          <w:highlight w:val="none"/>
          <w:lang w:eastAsia="zh-CN" w:bidi="ar-SA"/>
        </w:rPr>
        <w:t>能合理使用各项目资金，扎实完成了干部、党建、人才各项工作，基本实现总体绩效目标。</w:t>
      </w:r>
    </w:p>
    <w:p w14:paraId="76883E63">
      <w:pPr>
        <w:keepNext w:val="0"/>
        <w:keepLines w:val="0"/>
        <w:pageBreakBefore w:val="0"/>
        <w:widowControl w:val="0"/>
        <w:numPr>
          <w:ilvl w:val="0"/>
          <w:numId w:val="2"/>
        </w:numPr>
        <w:kinsoku/>
        <w:wordWrap/>
        <w:overflowPunct/>
        <w:topLinePunct w:val="0"/>
        <w:autoSpaceDE/>
        <w:autoSpaceDN/>
        <w:bidi w:val="0"/>
        <w:spacing w:line="600" w:lineRule="exact"/>
        <w:ind w:left="0" w:leftChars="0"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14:paraId="09BC85B1">
      <w:pPr>
        <w:keepNext w:val="0"/>
        <w:keepLines w:val="0"/>
        <w:pageBreakBefore w:val="0"/>
        <w:widowControl w:val="0"/>
        <w:kinsoku/>
        <w:wordWrap/>
        <w:overflowPunct/>
        <w:topLinePunct w:val="0"/>
        <w:autoSpaceDE/>
        <w:autoSpaceDN/>
        <w:bidi w:val="0"/>
        <w:spacing w:line="600" w:lineRule="exact"/>
        <w:ind w:left="0" w:right="0" w:firstLine="643" w:firstLineChars="200"/>
        <w:textAlignment w:val="auto"/>
        <w:outlineLvl w:val="9"/>
        <w:rPr>
          <w:rFonts w:hint="eastAsia" w:ascii="仿宋_GB2312" w:eastAsia="仿宋_GB2312" w:cs="DengXian-Regular"/>
          <w:sz w:val="32"/>
          <w:szCs w:val="32"/>
          <w:highlight w:val="none"/>
          <w:lang w:eastAsia="zh-CN" w:bidi="ar-SA"/>
        </w:rPr>
      </w:pPr>
      <w:r>
        <w:rPr>
          <w:rFonts w:hint="eastAsia" w:ascii="仿宋_GB2312" w:hAnsi="仿宋" w:eastAsia="仿宋_GB2312" w:cs="仿宋_GB2312"/>
          <w:b/>
          <w:bCs/>
          <w:sz w:val="32"/>
          <w:szCs w:val="32"/>
          <w:lang w:val="en-US" w:eastAsia="zh-CN"/>
        </w:rPr>
        <w:t>1.</w:t>
      </w:r>
      <w:r>
        <w:rPr>
          <w:rFonts w:hint="eastAsia" w:ascii="仿宋_GB2312" w:hAnsi="仿宋" w:eastAsia="仿宋_GB2312" w:cs="仿宋_GB2312"/>
          <w:b/>
          <w:bCs/>
          <w:sz w:val="32"/>
          <w:szCs w:val="32"/>
        </w:rPr>
        <w:t>预算执行情况</w:t>
      </w:r>
      <w:r>
        <w:rPr>
          <w:rFonts w:hint="eastAsia" w:ascii="仿宋_GB2312" w:hAnsi="仿宋" w:eastAsia="仿宋_GB2312" w:cs="仿宋_GB2312"/>
          <w:b/>
          <w:bCs/>
          <w:sz w:val="32"/>
          <w:szCs w:val="32"/>
          <w:lang w:eastAsia="zh-CN"/>
        </w:rPr>
        <w:t>。</w:t>
      </w:r>
      <w:r>
        <w:rPr>
          <w:rFonts w:hint="eastAsia" w:ascii="仿宋_GB2312" w:eastAsia="仿宋_GB2312" w:cs="DengXian-Regular"/>
          <w:sz w:val="32"/>
          <w:szCs w:val="32"/>
          <w:highlight w:val="none"/>
          <w:lang w:bidi="ar-SA"/>
        </w:rPr>
        <w:t>预算安排情况（调整后）预算数：</w:t>
      </w:r>
      <w:r>
        <w:rPr>
          <w:rFonts w:hint="eastAsia" w:ascii="仿宋_GB2312" w:eastAsia="仿宋_GB2312" w:cs="DengXian-Regular"/>
          <w:sz w:val="32"/>
          <w:szCs w:val="32"/>
          <w:highlight w:val="none"/>
          <w:lang w:val="en-US" w:eastAsia="zh-CN" w:bidi="ar-SA"/>
        </w:rPr>
        <w:t>378.55万元，</w:t>
      </w:r>
      <w:r>
        <w:rPr>
          <w:rFonts w:hint="eastAsia" w:ascii="仿宋_GB2312" w:eastAsia="仿宋_GB2312" w:cs="DengXian-Regular"/>
          <w:sz w:val="32"/>
          <w:szCs w:val="32"/>
          <w:highlight w:val="none"/>
          <w:lang w:bidi="ar-SA"/>
        </w:rPr>
        <w:t>其中财政资金</w:t>
      </w:r>
      <w:r>
        <w:rPr>
          <w:rFonts w:hint="eastAsia" w:ascii="仿宋_GB2312" w:eastAsia="仿宋_GB2312" w:cs="DengXian-Regular"/>
          <w:sz w:val="32"/>
          <w:szCs w:val="32"/>
          <w:highlight w:val="none"/>
          <w:lang w:val="en-US" w:eastAsia="zh-CN" w:bidi="ar-SA"/>
        </w:rPr>
        <w:t>378.55万元。资金</w:t>
      </w:r>
      <w:r>
        <w:rPr>
          <w:rFonts w:hint="eastAsia" w:ascii="仿宋_GB2312" w:eastAsia="仿宋_GB2312" w:cs="DengXian-Regular"/>
          <w:sz w:val="32"/>
          <w:szCs w:val="32"/>
          <w:highlight w:val="none"/>
          <w:lang w:bidi="ar-SA"/>
        </w:rPr>
        <w:t>到位数：</w:t>
      </w:r>
      <w:r>
        <w:rPr>
          <w:rFonts w:hint="eastAsia" w:ascii="仿宋_GB2312" w:eastAsia="仿宋_GB2312" w:cs="DengXian-Regular"/>
          <w:sz w:val="32"/>
          <w:szCs w:val="32"/>
          <w:highlight w:val="none"/>
          <w:lang w:val="en-US" w:eastAsia="zh-CN" w:bidi="ar-SA"/>
        </w:rPr>
        <w:t>375.19万元</w:t>
      </w:r>
      <w:r>
        <w:rPr>
          <w:rFonts w:hint="eastAsia" w:ascii="仿宋_GB2312" w:eastAsia="仿宋_GB2312" w:cs="DengXian-Regular"/>
          <w:sz w:val="32"/>
          <w:szCs w:val="32"/>
          <w:highlight w:val="none"/>
          <w:lang w:eastAsia="zh-CN" w:bidi="ar-SA"/>
        </w:rPr>
        <w:t>，</w:t>
      </w:r>
      <w:r>
        <w:rPr>
          <w:rFonts w:hint="eastAsia" w:ascii="仿宋_GB2312" w:eastAsia="仿宋_GB2312" w:cs="DengXian-Regular"/>
          <w:sz w:val="32"/>
          <w:szCs w:val="32"/>
          <w:highlight w:val="none"/>
          <w:lang w:bidi="ar-SA"/>
        </w:rPr>
        <w:t>其中财政资金</w:t>
      </w:r>
      <w:r>
        <w:rPr>
          <w:rFonts w:hint="eastAsia" w:ascii="仿宋_GB2312" w:eastAsia="仿宋_GB2312" w:cs="DengXian-Regular"/>
          <w:sz w:val="32"/>
          <w:szCs w:val="32"/>
          <w:highlight w:val="none"/>
          <w:lang w:val="en-US" w:eastAsia="zh-CN" w:bidi="ar-SA"/>
        </w:rPr>
        <w:t>375.19万元</w:t>
      </w:r>
      <w:r>
        <w:rPr>
          <w:rFonts w:hint="eastAsia" w:ascii="仿宋_GB2312" w:eastAsia="仿宋_GB2312" w:cs="DengXian-Regular"/>
          <w:sz w:val="32"/>
          <w:szCs w:val="32"/>
          <w:highlight w:val="none"/>
          <w:lang w:eastAsia="zh-CN" w:bidi="ar-SA"/>
        </w:rPr>
        <w:t>，</w:t>
      </w:r>
      <w:r>
        <w:rPr>
          <w:rFonts w:hint="eastAsia" w:ascii="仿宋_GB2312" w:eastAsia="仿宋_GB2312" w:cs="DengXian-Regular"/>
          <w:sz w:val="32"/>
          <w:szCs w:val="32"/>
          <w:highlight w:val="none"/>
          <w:lang w:bidi="ar-SA"/>
        </w:rPr>
        <w:t>资金执行数：</w:t>
      </w:r>
      <w:r>
        <w:rPr>
          <w:rFonts w:hint="eastAsia" w:ascii="仿宋_GB2312" w:eastAsia="仿宋_GB2312" w:cs="DengXian-Regular"/>
          <w:sz w:val="32"/>
          <w:szCs w:val="32"/>
          <w:highlight w:val="none"/>
          <w:lang w:val="en-US" w:eastAsia="zh-CN" w:bidi="ar-SA"/>
        </w:rPr>
        <w:t>375.19万元，</w:t>
      </w:r>
      <w:r>
        <w:rPr>
          <w:rFonts w:hint="eastAsia" w:ascii="仿宋_GB2312" w:eastAsia="仿宋_GB2312" w:cs="DengXian-Regular"/>
          <w:sz w:val="32"/>
          <w:szCs w:val="32"/>
          <w:highlight w:val="none"/>
          <w:lang w:bidi="ar-SA"/>
        </w:rPr>
        <w:t>其中财政资金</w:t>
      </w:r>
      <w:r>
        <w:rPr>
          <w:rFonts w:hint="eastAsia" w:ascii="仿宋_GB2312" w:eastAsia="仿宋_GB2312" w:cs="DengXian-Regular"/>
          <w:sz w:val="32"/>
          <w:szCs w:val="32"/>
          <w:highlight w:val="none"/>
          <w:lang w:val="en-US" w:eastAsia="zh-CN" w:bidi="ar-SA"/>
        </w:rPr>
        <w:t>375.19万元，</w:t>
      </w:r>
      <w:r>
        <w:rPr>
          <w:rFonts w:hint="eastAsia" w:ascii="仿宋_GB2312" w:eastAsia="仿宋_GB2312" w:cs="DengXian-Regular"/>
          <w:sz w:val="32"/>
          <w:szCs w:val="32"/>
          <w:highlight w:val="none"/>
          <w:lang w:bidi="ar-SA"/>
        </w:rPr>
        <w:t>预算执行进度</w:t>
      </w:r>
      <w:r>
        <w:rPr>
          <w:rFonts w:hint="eastAsia" w:ascii="仿宋_GB2312" w:eastAsia="仿宋_GB2312" w:cs="DengXian-Regular"/>
          <w:sz w:val="32"/>
          <w:szCs w:val="32"/>
          <w:highlight w:val="none"/>
          <w:lang w:eastAsia="zh-CN" w:bidi="ar-SA"/>
        </w:rPr>
        <w:t>：</w:t>
      </w:r>
      <w:r>
        <w:rPr>
          <w:rFonts w:hint="eastAsia" w:ascii="仿宋_GB2312" w:eastAsia="仿宋_GB2312" w:cs="DengXian-Regular"/>
          <w:sz w:val="32"/>
          <w:szCs w:val="32"/>
          <w:highlight w:val="none"/>
          <w:lang w:val="en-US" w:eastAsia="zh-CN" w:bidi="ar-SA"/>
        </w:rPr>
        <w:t>99.11</w:t>
      </w:r>
      <w:r>
        <w:rPr>
          <w:rFonts w:hint="eastAsia" w:ascii="仿宋_GB2312" w:eastAsia="仿宋_GB2312" w:cs="DengXian-Regular"/>
          <w:sz w:val="32"/>
          <w:szCs w:val="32"/>
          <w:highlight w:val="none"/>
          <w:lang w:bidi="ar-SA"/>
        </w:rPr>
        <w:t>%</w:t>
      </w:r>
      <w:r>
        <w:rPr>
          <w:rFonts w:hint="eastAsia" w:ascii="仿宋_GB2312" w:eastAsia="仿宋_GB2312" w:cs="DengXian-Regular"/>
          <w:sz w:val="32"/>
          <w:szCs w:val="32"/>
          <w:highlight w:val="none"/>
          <w:lang w:eastAsia="zh-CN" w:bidi="ar-SA"/>
        </w:rPr>
        <w:t>。</w:t>
      </w:r>
    </w:p>
    <w:p w14:paraId="6670A1BA">
      <w:pPr>
        <w:keepNext w:val="0"/>
        <w:keepLines w:val="0"/>
        <w:pageBreakBefore w:val="0"/>
        <w:widowControl w:val="0"/>
        <w:kinsoku/>
        <w:wordWrap/>
        <w:overflowPunct/>
        <w:topLinePunct w:val="0"/>
        <w:autoSpaceDE/>
        <w:autoSpaceDN/>
        <w:bidi w:val="0"/>
        <w:spacing w:line="600" w:lineRule="exact"/>
        <w:ind w:left="0" w:right="0" w:firstLine="643" w:firstLineChars="200"/>
        <w:textAlignment w:val="auto"/>
        <w:outlineLvl w:val="9"/>
        <w:rPr>
          <w:rFonts w:hint="eastAsia" w:ascii="仿宋_GB2312" w:hAnsi="仿宋" w:eastAsia="仿宋_GB2312" w:cs="仿宋_GB2312"/>
          <w:b/>
          <w:bCs/>
          <w:sz w:val="32"/>
          <w:szCs w:val="32"/>
        </w:rPr>
      </w:pPr>
      <w:r>
        <w:rPr>
          <w:rFonts w:hint="eastAsia" w:ascii="仿宋_GB2312" w:hAnsi="仿宋" w:eastAsia="仿宋_GB2312" w:cs="仿宋_GB2312"/>
          <w:b/>
          <w:bCs/>
          <w:sz w:val="32"/>
          <w:szCs w:val="32"/>
          <w:lang w:val="en-US" w:eastAsia="zh-CN"/>
        </w:rPr>
        <w:t>2.</w:t>
      </w:r>
      <w:r>
        <w:rPr>
          <w:rFonts w:hint="eastAsia" w:ascii="仿宋_GB2312" w:hAnsi="仿宋" w:eastAsia="仿宋_GB2312" w:cs="仿宋_GB2312"/>
          <w:b/>
          <w:bCs/>
          <w:sz w:val="32"/>
          <w:szCs w:val="32"/>
        </w:rPr>
        <w:t>项目产出</w:t>
      </w:r>
    </w:p>
    <w:p w14:paraId="1B6C019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bidi="ar-SA"/>
        </w:rPr>
        <w:t>产出指标</w:t>
      </w:r>
      <w:r>
        <w:rPr>
          <w:rFonts w:hint="eastAsia" w:ascii="仿宋_GB2312" w:eastAsia="仿宋_GB2312" w:cs="DengXian-Regular"/>
          <w:sz w:val="32"/>
          <w:szCs w:val="32"/>
          <w:highlight w:val="none"/>
          <w:lang w:val="en-US" w:eastAsia="zh-CN" w:bidi="ar-SA"/>
        </w:rPr>
        <w:t>中分析了</w:t>
      </w:r>
      <w:r>
        <w:rPr>
          <w:rFonts w:hint="eastAsia" w:ascii="仿宋_GB2312" w:eastAsia="仿宋_GB2312" w:cs="DengXian-Regular"/>
          <w:sz w:val="32"/>
          <w:szCs w:val="32"/>
          <w:highlight w:val="none"/>
          <w:lang w:bidi="ar-SA"/>
        </w:rPr>
        <w:t>数量指标</w:t>
      </w:r>
      <w:r>
        <w:rPr>
          <w:rFonts w:hint="eastAsia" w:ascii="仿宋_GB2312" w:eastAsia="仿宋_GB2312" w:cs="DengXian-Regular"/>
          <w:sz w:val="32"/>
          <w:szCs w:val="32"/>
          <w:highlight w:val="none"/>
          <w:lang w:eastAsia="zh-CN" w:bidi="ar-SA"/>
        </w:rPr>
        <w:t>、</w:t>
      </w:r>
      <w:r>
        <w:rPr>
          <w:rFonts w:hint="eastAsia" w:ascii="仿宋_GB2312" w:eastAsia="仿宋_GB2312" w:cs="DengXian-Regular"/>
          <w:sz w:val="32"/>
          <w:szCs w:val="32"/>
          <w:highlight w:val="none"/>
          <w:lang w:bidi="ar-SA"/>
        </w:rPr>
        <w:t>质量指标</w:t>
      </w:r>
      <w:r>
        <w:rPr>
          <w:rFonts w:hint="eastAsia" w:ascii="仿宋_GB2312" w:eastAsia="仿宋_GB2312" w:cs="DengXian-Regular"/>
          <w:sz w:val="32"/>
          <w:szCs w:val="32"/>
          <w:highlight w:val="none"/>
          <w:lang w:eastAsia="zh-CN" w:bidi="ar-SA"/>
        </w:rPr>
        <w:t>、</w:t>
      </w:r>
      <w:r>
        <w:rPr>
          <w:rFonts w:hint="eastAsia" w:ascii="仿宋_GB2312" w:eastAsia="仿宋_GB2312" w:cs="DengXian-Regular"/>
          <w:sz w:val="32"/>
          <w:szCs w:val="32"/>
          <w:highlight w:val="none"/>
          <w:lang w:bidi="ar-SA"/>
        </w:rPr>
        <w:t>时效指标</w:t>
      </w:r>
      <w:r>
        <w:rPr>
          <w:rFonts w:hint="eastAsia" w:ascii="仿宋_GB2312" w:eastAsia="仿宋_GB2312" w:cs="DengXian-Regular"/>
          <w:sz w:val="32"/>
          <w:szCs w:val="32"/>
          <w:highlight w:val="none"/>
          <w:lang w:val="en-US" w:eastAsia="zh-CN" w:bidi="ar-SA"/>
        </w:rPr>
        <w:t>等。</w:t>
      </w:r>
    </w:p>
    <w:p w14:paraId="0E09E35B">
      <w:pPr>
        <w:keepNext w:val="0"/>
        <w:keepLines w:val="0"/>
        <w:pageBreakBefore w:val="0"/>
        <w:widowControl w:val="0"/>
        <w:kinsoku/>
        <w:wordWrap/>
        <w:overflowPunct/>
        <w:topLinePunct w:val="0"/>
        <w:autoSpaceDE/>
        <w:autoSpaceDN/>
        <w:bidi w:val="0"/>
        <w:spacing w:line="600" w:lineRule="exact"/>
        <w:ind w:left="0" w:right="0" w:firstLine="643" w:firstLineChars="200"/>
        <w:textAlignment w:val="auto"/>
        <w:outlineLvl w:val="9"/>
        <w:rPr>
          <w:rFonts w:hint="eastAsia" w:ascii="仿宋_GB2312" w:hAnsi="仿宋" w:eastAsia="仿宋_GB2312" w:cs="仿宋_GB2312"/>
          <w:b/>
          <w:bCs/>
          <w:sz w:val="32"/>
          <w:szCs w:val="32"/>
        </w:rPr>
      </w:pPr>
      <w:r>
        <w:rPr>
          <w:rFonts w:hint="eastAsia" w:ascii="仿宋_GB2312" w:hAnsi="仿宋" w:eastAsia="仿宋_GB2312" w:cs="仿宋_GB2312"/>
          <w:b/>
          <w:bCs/>
          <w:sz w:val="32"/>
          <w:szCs w:val="32"/>
          <w:lang w:val="en-US" w:eastAsia="zh-CN"/>
        </w:rPr>
        <w:t>3.</w:t>
      </w:r>
      <w:r>
        <w:rPr>
          <w:rFonts w:hint="eastAsia" w:ascii="仿宋_GB2312" w:hAnsi="仿宋" w:eastAsia="仿宋_GB2312" w:cs="仿宋_GB2312"/>
          <w:b/>
          <w:bCs/>
          <w:sz w:val="32"/>
          <w:szCs w:val="32"/>
        </w:rPr>
        <w:t>项目效益</w:t>
      </w:r>
    </w:p>
    <w:p w14:paraId="2F992763">
      <w:pPr>
        <w:keepNext w:val="0"/>
        <w:keepLines w:val="0"/>
        <w:pageBreakBefore w:val="0"/>
        <w:widowControl w:val="0"/>
        <w:kinsoku/>
        <w:wordWrap/>
        <w:overflowPunct/>
        <w:topLinePunct w:val="0"/>
        <w:autoSpaceDE/>
        <w:autoSpaceDN/>
        <w:bidi w:val="0"/>
        <w:spacing w:line="600" w:lineRule="exact"/>
        <w:ind w:left="0" w:right="0" w:firstLine="640" w:firstLineChars="200"/>
        <w:textAlignment w:val="auto"/>
        <w:outlineLvl w:val="9"/>
        <w:rPr>
          <w:rFonts w:hint="eastAsia" w:ascii="仿宋_GB2312" w:hAnsi="仿宋" w:eastAsia="仿宋_GB2312" w:cs="仿宋_GB2312"/>
          <w:sz w:val="32"/>
          <w:szCs w:val="32"/>
        </w:rPr>
      </w:pPr>
      <w:r>
        <w:rPr>
          <w:rFonts w:hint="eastAsia" w:ascii="仿宋_GB2312" w:hAnsi="仿宋" w:eastAsia="仿宋_GB2312" w:cs="仿宋_GB2312"/>
          <w:sz w:val="32"/>
          <w:szCs w:val="32"/>
        </w:rPr>
        <w:t>效益指标</w:t>
      </w:r>
      <w:r>
        <w:rPr>
          <w:rFonts w:hint="eastAsia" w:ascii="仿宋_GB2312" w:hAnsi="仿宋" w:eastAsia="仿宋_GB2312" w:cs="仿宋_GB2312"/>
          <w:sz w:val="32"/>
          <w:szCs w:val="32"/>
          <w:lang w:eastAsia="zh-CN"/>
        </w:rPr>
        <w:t>中</w:t>
      </w:r>
      <w:r>
        <w:rPr>
          <w:rFonts w:hint="eastAsia" w:ascii="仿宋_GB2312" w:hAnsi="仿宋" w:eastAsia="仿宋_GB2312" w:cs="仿宋_GB2312"/>
          <w:sz w:val="32"/>
          <w:szCs w:val="32"/>
          <w:lang w:val="en-US" w:eastAsia="zh-CN"/>
        </w:rPr>
        <w:t>分析了</w:t>
      </w:r>
      <w:r>
        <w:rPr>
          <w:rFonts w:hint="eastAsia" w:ascii="仿宋_GB2312" w:hAnsi="仿宋" w:eastAsia="仿宋_GB2312" w:cs="仿宋_GB2312"/>
          <w:sz w:val="32"/>
          <w:szCs w:val="32"/>
        </w:rPr>
        <w:t>社会效益指标</w:t>
      </w:r>
      <w:r>
        <w:rPr>
          <w:rFonts w:hint="eastAsia" w:ascii="仿宋_GB2312" w:hAnsi="仿宋" w:eastAsia="仿宋_GB2312" w:cs="仿宋_GB2312"/>
          <w:sz w:val="32"/>
          <w:szCs w:val="32"/>
          <w:lang w:val="en-US" w:eastAsia="zh-CN"/>
        </w:rPr>
        <w:t>等。</w:t>
      </w:r>
    </w:p>
    <w:p w14:paraId="361E6BB2">
      <w:pPr>
        <w:keepNext w:val="0"/>
        <w:keepLines w:val="0"/>
        <w:pageBreakBefore w:val="0"/>
        <w:widowControl w:val="0"/>
        <w:kinsoku/>
        <w:wordWrap/>
        <w:overflowPunct/>
        <w:topLinePunct w:val="0"/>
        <w:autoSpaceDE/>
        <w:autoSpaceDN/>
        <w:bidi w:val="0"/>
        <w:spacing w:line="600" w:lineRule="exact"/>
        <w:ind w:left="0" w:right="0" w:firstLine="643" w:firstLineChars="200"/>
        <w:textAlignment w:val="auto"/>
        <w:outlineLvl w:val="9"/>
        <w:rPr>
          <w:rFonts w:hint="eastAsia" w:ascii="仿宋_GB2312" w:hAnsi="仿宋" w:eastAsia="仿宋_GB2312" w:cs="仿宋_GB2312"/>
          <w:b/>
          <w:bCs/>
          <w:sz w:val="32"/>
          <w:szCs w:val="32"/>
        </w:rPr>
      </w:pPr>
      <w:r>
        <w:rPr>
          <w:rFonts w:hint="eastAsia" w:ascii="仿宋_GB2312" w:hAnsi="仿宋" w:eastAsia="仿宋_GB2312" w:cs="仿宋_GB2312"/>
          <w:b/>
          <w:bCs/>
          <w:sz w:val="32"/>
          <w:szCs w:val="32"/>
          <w:lang w:val="en-US" w:eastAsia="zh-CN"/>
        </w:rPr>
        <w:t>4.</w:t>
      </w:r>
      <w:r>
        <w:rPr>
          <w:rFonts w:hint="eastAsia" w:ascii="仿宋_GB2312" w:hAnsi="仿宋" w:eastAsia="仿宋_GB2312" w:cs="仿宋_GB2312"/>
          <w:b/>
          <w:bCs/>
          <w:sz w:val="32"/>
          <w:szCs w:val="32"/>
        </w:rPr>
        <w:t>满意度</w:t>
      </w:r>
    </w:p>
    <w:p w14:paraId="15DBEF6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bidi="ar-SA"/>
        </w:rPr>
      </w:pPr>
      <w:r>
        <w:rPr>
          <w:rFonts w:hint="eastAsia" w:ascii="仿宋_GB2312" w:eastAsia="仿宋_GB2312" w:cs="DengXian-Regular"/>
          <w:sz w:val="32"/>
          <w:szCs w:val="32"/>
          <w:highlight w:val="none"/>
          <w:lang w:bidi="ar-SA"/>
        </w:rPr>
        <w:t>满意度指标</w:t>
      </w:r>
      <w:r>
        <w:rPr>
          <w:rFonts w:hint="eastAsia" w:ascii="仿宋_GB2312" w:eastAsia="仿宋_GB2312" w:cs="DengXian-Regular"/>
          <w:sz w:val="32"/>
          <w:szCs w:val="32"/>
          <w:highlight w:val="none"/>
          <w:lang w:eastAsia="zh-CN" w:bidi="ar-SA"/>
        </w:rPr>
        <w:t>中</w:t>
      </w:r>
      <w:r>
        <w:rPr>
          <w:rFonts w:hint="eastAsia" w:ascii="仿宋_GB2312" w:eastAsia="仿宋_GB2312" w:cs="DengXian-Regular"/>
          <w:sz w:val="32"/>
          <w:szCs w:val="32"/>
          <w:highlight w:val="none"/>
          <w:lang w:val="en-US" w:eastAsia="zh-CN" w:bidi="ar-SA"/>
        </w:rPr>
        <w:t>分析了</w:t>
      </w:r>
      <w:r>
        <w:rPr>
          <w:rFonts w:hint="eastAsia" w:ascii="仿宋_GB2312" w:eastAsia="仿宋_GB2312" w:cs="DengXian-Regular"/>
          <w:sz w:val="32"/>
          <w:szCs w:val="32"/>
          <w:highlight w:val="none"/>
          <w:lang w:bidi="ar-SA"/>
        </w:rPr>
        <w:t>满意度指标服务对象满意度</w:t>
      </w:r>
      <w:r>
        <w:rPr>
          <w:rFonts w:hint="eastAsia" w:ascii="仿宋_GB2312" w:eastAsia="仿宋_GB2312" w:cs="DengXian-Regular"/>
          <w:sz w:val="32"/>
          <w:szCs w:val="32"/>
          <w:highlight w:val="none"/>
          <w:lang w:val="en-US" w:eastAsia="zh-CN" w:bidi="ar-SA"/>
        </w:rPr>
        <w:t>等。</w:t>
      </w:r>
    </w:p>
    <w:p w14:paraId="34084517">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39F5B18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bidi="ar-SA"/>
        </w:rPr>
      </w:pPr>
      <w:r>
        <w:rPr>
          <w:rFonts w:hint="eastAsia" w:ascii="仿宋_GB2312" w:eastAsia="仿宋_GB2312" w:cs="DengXian-Regular"/>
          <w:sz w:val="32"/>
          <w:szCs w:val="32"/>
          <w:highlight w:val="none"/>
          <w:lang w:bidi="ar-SA"/>
        </w:rPr>
        <w:t>根据</w:t>
      </w:r>
      <w:r>
        <w:rPr>
          <w:rFonts w:hint="eastAsia" w:ascii="仿宋_GB2312" w:eastAsia="仿宋_GB2312" w:cs="DengXian-Regular"/>
          <w:sz w:val="32"/>
          <w:szCs w:val="32"/>
          <w:highlight w:val="none"/>
          <w:lang w:eastAsia="zh-CN" w:bidi="ar-SA"/>
        </w:rPr>
        <w:t>部门职责定位和各项工作履职情况进行综合评价</w:t>
      </w:r>
      <w:r>
        <w:rPr>
          <w:rFonts w:hint="eastAsia" w:ascii="仿宋_GB2312" w:eastAsia="仿宋_GB2312" w:cs="DengXian-Regular"/>
          <w:sz w:val="32"/>
          <w:szCs w:val="32"/>
          <w:highlight w:val="none"/>
          <w:lang w:bidi="ar-SA"/>
        </w:rPr>
        <w:t>，给出总得分，满分100分，得出综合绩效评价等级。</w:t>
      </w:r>
      <w:r>
        <w:rPr>
          <w:rFonts w:hint="eastAsia" w:ascii="仿宋_GB2312" w:eastAsia="仿宋_GB2312" w:cs="DengXian-Regular"/>
          <w:sz w:val="32"/>
          <w:szCs w:val="32"/>
          <w:highlight w:val="none"/>
          <w:lang w:eastAsia="zh-CN" w:bidi="ar-SA"/>
        </w:rPr>
        <w:t>部门整体支出</w:t>
      </w:r>
      <w:r>
        <w:rPr>
          <w:rFonts w:hint="eastAsia" w:ascii="仿宋_GB2312" w:eastAsia="仿宋_GB2312" w:cs="DengXian-Regular"/>
          <w:sz w:val="32"/>
          <w:szCs w:val="32"/>
          <w:highlight w:val="none"/>
          <w:lang w:bidi="ar-SA"/>
        </w:rPr>
        <w:t>综合绩效评价得分</w:t>
      </w:r>
      <w:r>
        <w:rPr>
          <w:rFonts w:hint="eastAsia" w:ascii="仿宋_GB2312" w:eastAsia="仿宋_GB2312" w:cs="DengXian-Regular"/>
          <w:sz w:val="32"/>
          <w:szCs w:val="32"/>
          <w:highlight w:val="none"/>
          <w:lang w:val="en-US" w:eastAsia="zh-CN" w:bidi="ar-SA"/>
        </w:rPr>
        <w:t>均</w:t>
      </w:r>
      <w:r>
        <w:rPr>
          <w:rFonts w:hint="eastAsia" w:ascii="仿宋_GB2312" w:eastAsia="仿宋_GB2312" w:cs="DengXian-Regular"/>
          <w:sz w:val="32"/>
          <w:szCs w:val="32"/>
          <w:highlight w:val="none"/>
          <w:lang w:bidi="ar-SA"/>
        </w:rPr>
        <w:t>≥</w:t>
      </w:r>
      <w:r>
        <w:rPr>
          <w:rFonts w:hint="eastAsia" w:ascii="仿宋_GB2312" w:eastAsia="仿宋_GB2312" w:cs="DengXian-Regular"/>
          <w:sz w:val="32"/>
          <w:szCs w:val="32"/>
          <w:highlight w:val="none"/>
          <w:lang w:val="en-US" w:eastAsia="zh-CN" w:bidi="ar-SA"/>
        </w:rPr>
        <w:t>95</w:t>
      </w:r>
      <w:r>
        <w:rPr>
          <w:rFonts w:hint="eastAsia" w:ascii="仿宋_GB2312" w:eastAsia="仿宋_GB2312" w:cs="DengXian-Regular"/>
          <w:sz w:val="32"/>
          <w:szCs w:val="32"/>
          <w:highlight w:val="none"/>
          <w:lang w:bidi="ar-SA"/>
        </w:rPr>
        <w:t>分</w:t>
      </w:r>
      <w:r>
        <w:rPr>
          <w:rFonts w:hint="eastAsia" w:ascii="仿宋_GB2312" w:eastAsia="仿宋_GB2312" w:cs="DengXian-Regular"/>
          <w:sz w:val="32"/>
          <w:szCs w:val="32"/>
          <w:highlight w:val="none"/>
          <w:lang w:eastAsia="zh-CN" w:bidi="ar-SA"/>
        </w:rPr>
        <w:t>，</w:t>
      </w:r>
      <w:r>
        <w:rPr>
          <w:rFonts w:hint="eastAsia" w:ascii="仿宋_GB2312" w:eastAsia="仿宋_GB2312" w:cs="DengXian-Regular"/>
          <w:sz w:val="32"/>
          <w:szCs w:val="32"/>
          <w:highlight w:val="none"/>
          <w:lang w:val="en-US" w:eastAsia="zh-CN" w:bidi="ar-SA"/>
        </w:rPr>
        <w:t>评价等级为</w:t>
      </w:r>
      <w:r>
        <w:rPr>
          <w:rFonts w:hint="eastAsia" w:ascii="仿宋_GB2312" w:eastAsia="仿宋_GB2312" w:cs="DengXian-Regular"/>
          <w:sz w:val="32"/>
          <w:szCs w:val="32"/>
          <w:highlight w:val="none"/>
          <w:lang w:bidi="ar-SA"/>
        </w:rPr>
        <w:t>优秀。</w:t>
      </w:r>
    </w:p>
    <w:p w14:paraId="7F9EA45F">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361368F6">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lang w:eastAsia="zh-CN"/>
        </w:rPr>
        <w:t>（一）</w:t>
      </w:r>
      <w:r>
        <w:rPr>
          <w:rFonts w:hint="eastAsia" w:ascii="楷体" w:hAnsi="楷体" w:eastAsia="楷体"/>
          <w:bCs/>
          <w:sz w:val="32"/>
          <w:szCs w:val="32"/>
        </w:rPr>
        <w:t>存在的主要问题</w:t>
      </w:r>
    </w:p>
    <w:p w14:paraId="793CA2A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eastAsia="zh-CN" w:bidi="ar-SA"/>
        </w:rPr>
      </w:pPr>
      <w:r>
        <w:rPr>
          <w:rFonts w:hint="eastAsia" w:ascii="仿宋_GB2312" w:eastAsia="仿宋_GB2312" w:cs="DengXian-Regular"/>
          <w:sz w:val="32"/>
          <w:szCs w:val="32"/>
          <w:highlight w:val="none"/>
          <w:lang w:bidi="ar-SA"/>
        </w:rPr>
        <w:t>由于测算不够精准，年初预算额度不足，</w:t>
      </w:r>
      <w:r>
        <w:rPr>
          <w:rFonts w:hint="eastAsia" w:ascii="仿宋_GB2312" w:eastAsia="仿宋_GB2312" w:cs="DengXian-Regular"/>
          <w:sz w:val="32"/>
          <w:szCs w:val="32"/>
          <w:highlight w:val="none"/>
          <w:lang w:eastAsia="zh-CN" w:bidi="ar-SA"/>
        </w:rPr>
        <w:t>存在</w:t>
      </w:r>
      <w:r>
        <w:rPr>
          <w:rFonts w:hint="eastAsia" w:ascii="仿宋_GB2312" w:eastAsia="仿宋_GB2312" w:cs="DengXian-Regular"/>
          <w:sz w:val="32"/>
          <w:szCs w:val="32"/>
          <w:highlight w:val="none"/>
          <w:lang w:bidi="ar-SA"/>
        </w:rPr>
        <w:t>后续追加经费</w:t>
      </w:r>
      <w:r>
        <w:rPr>
          <w:rFonts w:hint="eastAsia" w:ascii="仿宋_GB2312" w:eastAsia="仿宋_GB2312" w:cs="DengXian-Regular"/>
          <w:sz w:val="32"/>
          <w:szCs w:val="32"/>
          <w:highlight w:val="none"/>
          <w:lang w:eastAsia="zh-CN" w:bidi="ar-SA"/>
        </w:rPr>
        <w:t>的情况。</w:t>
      </w:r>
    </w:p>
    <w:p w14:paraId="64FD0289">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lang w:eastAsia="zh-CN"/>
        </w:rPr>
        <w:t>（二）</w:t>
      </w:r>
      <w:r>
        <w:rPr>
          <w:rFonts w:hint="eastAsia" w:ascii="楷体" w:hAnsi="楷体" w:eastAsia="楷体"/>
          <w:bCs/>
          <w:sz w:val="32"/>
          <w:szCs w:val="32"/>
        </w:rPr>
        <w:t>针对问题提出具体的改进措施或建议</w:t>
      </w:r>
    </w:p>
    <w:p w14:paraId="213CBC8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cs="DengXian-Regular"/>
          <w:sz w:val="32"/>
          <w:szCs w:val="32"/>
          <w:highlight w:val="none"/>
          <w:lang w:bidi="ar-SA"/>
        </w:rPr>
      </w:pPr>
      <w:r>
        <w:rPr>
          <w:rFonts w:hint="eastAsia" w:ascii="仿宋_GB2312" w:eastAsia="仿宋_GB2312" w:cs="DengXian-Regular"/>
          <w:sz w:val="32"/>
          <w:szCs w:val="32"/>
          <w:highlight w:val="none"/>
          <w:lang w:val="en-US" w:eastAsia="zh-CN" w:bidi="ar-SA"/>
        </w:rPr>
        <w:t>下一步，进一步提高年初预算制定的准确性，切实提高财政资金使用效益。</w:t>
      </w:r>
    </w:p>
    <w:p w14:paraId="352BA703">
      <w:pPr>
        <w:keepNext w:val="0"/>
        <w:keepLines w:val="0"/>
        <w:pageBreakBefore w:val="0"/>
        <w:widowControl w:val="0"/>
        <w:numPr>
          <w:ilvl w:val="0"/>
          <w:numId w:val="3"/>
        </w:numPr>
        <w:kinsoku/>
        <w:wordWrap/>
        <w:overflowPunct/>
        <w:topLinePunct w:val="0"/>
        <w:autoSpaceDE/>
        <w:autoSpaceDN/>
        <w:bidi w:val="0"/>
        <w:adjustRightInd w:val="0"/>
        <w:snapToGrid w:val="0"/>
        <w:spacing w:line="60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25621940">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jc w:val="both"/>
        <w:textAlignment w:val="auto"/>
        <w:rPr>
          <w:rFonts w:hint="eastAsia" w:ascii="黑体" w:hAnsi="黑体" w:eastAsia="黑体"/>
          <w:sz w:val="32"/>
          <w:szCs w:val="32"/>
        </w:rPr>
      </w:pPr>
    </w:p>
    <w:tbl>
      <w:tblPr>
        <w:tblStyle w:val="10"/>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2"/>
        <w:gridCol w:w="5820"/>
        <w:gridCol w:w="2066"/>
      </w:tblGrid>
      <w:tr w14:paraId="1FC54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2" w:type="dxa"/>
          </w:tcPr>
          <w:p w14:paraId="6BBDDEC5">
            <w:pPr>
              <w:keepNext w:val="0"/>
              <w:keepLines w:val="0"/>
              <w:pageBreakBefore w:val="0"/>
              <w:widowControl w:val="0"/>
              <w:kinsoku/>
              <w:wordWrap/>
              <w:overflowPunct/>
              <w:topLinePunct w:val="0"/>
              <w:autoSpaceDE/>
              <w:autoSpaceDN/>
              <w:bidi w:val="0"/>
              <w:spacing w:line="600" w:lineRule="exact"/>
              <w:ind w:right="0"/>
              <w:jc w:val="center"/>
              <w:textAlignment w:val="auto"/>
              <w:outlineLvl w:val="9"/>
              <w:rPr>
                <w:rFonts w:hint="eastAsia" w:ascii="黑体" w:hAnsi="黑体" w:eastAsia="黑体" w:cs="黑体"/>
                <w:sz w:val="32"/>
                <w:szCs w:val="32"/>
                <w:lang w:eastAsia="zh-CN"/>
              </w:rPr>
            </w:pPr>
            <w:bookmarkStart w:id="0" w:name="_GoBack"/>
            <w:bookmarkEnd w:id="0"/>
            <w:r>
              <w:rPr>
                <w:rFonts w:hint="eastAsia" w:ascii="黑体" w:hAnsi="黑体" w:eastAsia="黑体" w:cs="黑体"/>
                <w:sz w:val="32"/>
                <w:szCs w:val="32"/>
                <w:lang w:eastAsia="zh-CN"/>
              </w:rPr>
              <w:t>姓</w:t>
            </w:r>
            <w:r>
              <w:rPr>
                <w:rFonts w:hint="eastAsia" w:ascii="黑体" w:hAnsi="黑体" w:eastAsia="黑体" w:cs="黑体"/>
                <w:sz w:val="32"/>
                <w:szCs w:val="32"/>
                <w:lang w:val="en-US" w:eastAsia="zh-CN"/>
              </w:rPr>
              <w:t xml:space="preserve">  </w:t>
            </w:r>
            <w:r>
              <w:rPr>
                <w:rFonts w:hint="eastAsia" w:ascii="黑体" w:hAnsi="黑体" w:eastAsia="黑体" w:cs="黑体"/>
                <w:sz w:val="32"/>
                <w:szCs w:val="32"/>
                <w:lang w:eastAsia="zh-CN"/>
              </w:rPr>
              <w:t>名</w:t>
            </w:r>
          </w:p>
        </w:tc>
        <w:tc>
          <w:tcPr>
            <w:tcW w:w="5820" w:type="dxa"/>
          </w:tcPr>
          <w:p w14:paraId="58E06CBF">
            <w:pPr>
              <w:keepNext w:val="0"/>
              <w:keepLines w:val="0"/>
              <w:pageBreakBefore w:val="0"/>
              <w:widowControl w:val="0"/>
              <w:kinsoku/>
              <w:wordWrap/>
              <w:overflowPunct/>
              <w:topLinePunct w:val="0"/>
              <w:autoSpaceDE/>
              <w:autoSpaceDN/>
              <w:bidi w:val="0"/>
              <w:spacing w:line="600" w:lineRule="exact"/>
              <w:ind w:right="0"/>
              <w:jc w:val="center"/>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单位及职务</w:t>
            </w:r>
          </w:p>
        </w:tc>
        <w:tc>
          <w:tcPr>
            <w:tcW w:w="2066" w:type="dxa"/>
          </w:tcPr>
          <w:p w14:paraId="2E5BE387">
            <w:pPr>
              <w:keepNext w:val="0"/>
              <w:keepLines w:val="0"/>
              <w:pageBreakBefore w:val="0"/>
              <w:widowControl w:val="0"/>
              <w:kinsoku/>
              <w:wordWrap/>
              <w:overflowPunct/>
              <w:topLinePunct w:val="0"/>
              <w:autoSpaceDE/>
              <w:autoSpaceDN/>
              <w:bidi w:val="0"/>
              <w:spacing w:line="600" w:lineRule="exact"/>
              <w:ind w:right="0"/>
              <w:jc w:val="center"/>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签  字</w:t>
            </w:r>
          </w:p>
        </w:tc>
      </w:tr>
      <w:tr w14:paraId="04969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4" w:hRule="atLeast"/>
          <w:jc w:val="center"/>
        </w:trPr>
        <w:tc>
          <w:tcPr>
            <w:tcW w:w="1402" w:type="dxa"/>
            <w:vAlign w:val="center"/>
          </w:tcPr>
          <w:p w14:paraId="3C1006AD">
            <w:pPr>
              <w:keepNext w:val="0"/>
              <w:keepLines w:val="0"/>
              <w:pageBreakBefore w:val="0"/>
              <w:widowControl w:val="0"/>
              <w:kinsoku/>
              <w:wordWrap/>
              <w:overflowPunct/>
              <w:topLinePunct w:val="0"/>
              <w:autoSpaceDE/>
              <w:autoSpaceDN/>
              <w:bidi w:val="0"/>
              <w:adjustRightInd w:val="0"/>
              <w:snapToGrid w:val="0"/>
              <w:spacing w:line="600" w:lineRule="exact"/>
              <w:ind w:right="0"/>
              <w:jc w:val="center"/>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高  照</w:t>
            </w:r>
          </w:p>
        </w:tc>
        <w:tc>
          <w:tcPr>
            <w:tcW w:w="5820" w:type="dxa"/>
            <w:vAlign w:val="center"/>
          </w:tcPr>
          <w:p w14:paraId="4A115C8A">
            <w:pPr>
              <w:keepNext w:val="0"/>
              <w:keepLines w:val="0"/>
              <w:pageBreakBefore w:val="0"/>
              <w:widowControl w:val="0"/>
              <w:kinsoku/>
              <w:wordWrap/>
              <w:overflowPunct/>
              <w:topLinePunct w:val="0"/>
              <w:autoSpaceDE/>
              <w:autoSpaceDN/>
              <w:bidi w:val="0"/>
              <w:adjustRightInd w:val="0"/>
              <w:snapToGrid w:val="0"/>
              <w:spacing w:line="600" w:lineRule="exact"/>
              <w:ind w:right="0"/>
              <w:jc w:val="both"/>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区委组织部副部长</w:t>
            </w:r>
          </w:p>
        </w:tc>
        <w:tc>
          <w:tcPr>
            <w:tcW w:w="2066" w:type="dxa"/>
            <w:vAlign w:val="top"/>
          </w:tcPr>
          <w:p w14:paraId="29C46B5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cs="黑体"/>
                <w:b w:val="0"/>
                <w:bCs w:val="0"/>
                <w:color w:val="auto"/>
                <w:kern w:val="2"/>
                <w:sz w:val="32"/>
                <w:szCs w:val="32"/>
                <w:lang w:val="en-US" w:eastAsia="zh-CN" w:bidi="ar-SA"/>
              </w:rPr>
            </w:pPr>
          </w:p>
        </w:tc>
      </w:tr>
      <w:tr w14:paraId="2A514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jc w:val="center"/>
        </w:trPr>
        <w:tc>
          <w:tcPr>
            <w:tcW w:w="1402" w:type="dxa"/>
            <w:vAlign w:val="center"/>
          </w:tcPr>
          <w:p w14:paraId="53682979">
            <w:pPr>
              <w:keepNext w:val="0"/>
              <w:keepLines w:val="0"/>
              <w:pageBreakBefore w:val="0"/>
              <w:widowControl w:val="0"/>
              <w:kinsoku/>
              <w:wordWrap/>
              <w:overflowPunct/>
              <w:topLinePunct w:val="0"/>
              <w:autoSpaceDE/>
              <w:autoSpaceDN/>
              <w:bidi w:val="0"/>
              <w:adjustRightInd w:val="0"/>
              <w:snapToGrid w:val="0"/>
              <w:spacing w:line="600" w:lineRule="exact"/>
              <w:ind w:right="0"/>
              <w:jc w:val="center"/>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王贵丽</w:t>
            </w:r>
          </w:p>
        </w:tc>
        <w:tc>
          <w:tcPr>
            <w:tcW w:w="5820" w:type="dxa"/>
            <w:vAlign w:val="center"/>
          </w:tcPr>
          <w:p w14:paraId="1ABA39D3">
            <w:pPr>
              <w:keepNext w:val="0"/>
              <w:keepLines w:val="0"/>
              <w:pageBreakBefore w:val="0"/>
              <w:widowControl w:val="0"/>
              <w:kinsoku/>
              <w:wordWrap/>
              <w:overflowPunct/>
              <w:topLinePunct w:val="0"/>
              <w:autoSpaceDE/>
              <w:autoSpaceDN/>
              <w:bidi w:val="0"/>
              <w:adjustRightInd w:val="0"/>
              <w:snapToGrid w:val="0"/>
              <w:spacing w:line="600" w:lineRule="exact"/>
              <w:ind w:right="0"/>
              <w:jc w:val="both"/>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区委组织部副部长</w:t>
            </w:r>
          </w:p>
        </w:tc>
        <w:tc>
          <w:tcPr>
            <w:tcW w:w="2066" w:type="dxa"/>
            <w:vAlign w:val="top"/>
          </w:tcPr>
          <w:p w14:paraId="113A2DC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cs="黑体"/>
                <w:b w:val="0"/>
                <w:bCs w:val="0"/>
                <w:color w:val="auto"/>
                <w:kern w:val="2"/>
                <w:sz w:val="32"/>
                <w:szCs w:val="32"/>
                <w:lang w:val="en-US" w:eastAsia="zh-CN" w:bidi="ar-SA"/>
              </w:rPr>
            </w:pPr>
          </w:p>
        </w:tc>
      </w:tr>
      <w:tr w14:paraId="5D392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1402" w:type="dxa"/>
            <w:vAlign w:val="center"/>
          </w:tcPr>
          <w:p w14:paraId="57641DDB">
            <w:pPr>
              <w:keepNext w:val="0"/>
              <w:keepLines w:val="0"/>
              <w:pageBreakBefore w:val="0"/>
              <w:widowControl w:val="0"/>
              <w:kinsoku/>
              <w:wordWrap/>
              <w:overflowPunct/>
              <w:topLinePunct w:val="0"/>
              <w:autoSpaceDE/>
              <w:autoSpaceDN/>
              <w:bidi w:val="0"/>
              <w:adjustRightInd w:val="0"/>
              <w:snapToGrid w:val="0"/>
              <w:spacing w:line="600" w:lineRule="exact"/>
              <w:ind w:right="0"/>
              <w:jc w:val="center"/>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朱海亮</w:t>
            </w:r>
          </w:p>
        </w:tc>
        <w:tc>
          <w:tcPr>
            <w:tcW w:w="5820" w:type="dxa"/>
            <w:shd w:val="clear" w:color="auto" w:fill="auto"/>
            <w:vAlign w:val="center"/>
          </w:tcPr>
          <w:p w14:paraId="355412DF">
            <w:pPr>
              <w:keepNext w:val="0"/>
              <w:keepLines w:val="0"/>
              <w:pageBreakBefore w:val="0"/>
              <w:widowControl w:val="0"/>
              <w:kinsoku/>
              <w:wordWrap/>
              <w:overflowPunct/>
              <w:topLinePunct w:val="0"/>
              <w:autoSpaceDE/>
              <w:autoSpaceDN/>
              <w:bidi w:val="0"/>
              <w:adjustRightInd w:val="0"/>
              <w:snapToGrid w:val="0"/>
              <w:spacing w:line="600" w:lineRule="exact"/>
              <w:ind w:right="0"/>
              <w:jc w:val="both"/>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区委组织部部务会成员、区人才服务中心主任</w:t>
            </w:r>
          </w:p>
        </w:tc>
        <w:tc>
          <w:tcPr>
            <w:tcW w:w="2066" w:type="dxa"/>
            <w:vAlign w:val="top"/>
          </w:tcPr>
          <w:p w14:paraId="5E5EBF7E">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cs="黑体"/>
                <w:b w:val="0"/>
                <w:bCs w:val="0"/>
                <w:color w:val="auto"/>
                <w:kern w:val="2"/>
                <w:sz w:val="32"/>
                <w:szCs w:val="32"/>
                <w:lang w:val="en-US" w:eastAsia="zh-CN" w:bidi="ar-SA"/>
              </w:rPr>
            </w:pPr>
          </w:p>
        </w:tc>
      </w:tr>
      <w:tr w14:paraId="5AB7C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1402" w:type="dxa"/>
            <w:vAlign w:val="center"/>
          </w:tcPr>
          <w:p w14:paraId="4DA5C035">
            <w:pPr>
              <w:keepNext w:val="0"/>
              <w:keepLines w:val="0"/>
              <w:pageBreakBefore w:val="0"/>
              <w:widowControl w:val="0"/>
              <w:kinsoku/>
              <w:wordWrap/>
              <w:overflowPunct/>
              <w:topLinePunct w:val="0"/>
              <w:autoSpaceDE/>
              <w:autoSpaceDN/>
              <w:bidi w:val="0"/>
              <w:adjustRightInd w:val="0"/>
              <w:snapToGrid w:val="0"/>
              <w:spacing w:line="600" w:lineRule="exact"/>
              <w:ind w:right="0"/>
              <w:jc w:val="center"/>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范玲玲</w:t>
            </w:r>
          </w:p>
        </w:tc>
        <w:tc>
          <w:tcPr>
            <w:tcW w:w="5820" w:type="dxa"/>
            <w:shd w:val="clear" w:color="auto" w:fill="auto"/>
            <w:vAlign w:val="center"/>
          </w:tcPr>
          <w:p w14:paraId="1665F7B3">
            <w:pPr>
              <w:keepNext w:val="0"/>
              <w:keepLines w:val="0"/>
              <w:pageBreakBefore w:val="0"/>
              <w:widowControl w:val="0"/>
              <w:kinsoku/>
              <w:wordWrap/>
              <w:overflowPunct/>
              <w:topLinePunct w:val="0"/>
              <w:autoSpaceDE/>
              <w:autoSpaceDN/>
              <w:bidi w:val="0"/>
              <w:adjustRightInd w:val="0"/>
              <w:snapToGrid w:val="0"/>
              <w:spacing w:line="600" w:lineRule="exact"/>
              <w:ind w:right="0"/>
              <w:jc w:val="both"/>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区委组织部部务会成员、区干部信息管理中心主任</w:t>
            </w:r>
          </w:p>
        </w:tc>
        <w:tc>
          <w:tcPr>
            <w:tcW w:w="2066" w:type="dxa"/>
            <w:vAlign w:val="top"/>
          </w:tcPr>
          <w:p w14:paraId="5462486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cs="黑体"/>
                <w:b w:val="0"/>
                <w:bCs w:val="0"/>
                <w:color w:val="auto"/>
                <w:kern w:val="2"/>
                <w:sz w:val="32"/>
                <w:szCs w:val="32"/>
                <w:lang w:val="en-US" w:eastAsia="zh-CN" w:bidi="ar-SA"/>
              </w:rPr>
            </w:pPr>
          </w:p>
        </w:tc>
      </w:tr>
      <w:tr w14:paraId="0A831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jc w:val="center"/>
        </w:trPr>
        <w:tc>
          <w:tcPr>
            <w:tcW w:w="1402" w:type="dxa"/>
            <w:shd w:val="clear" w:color="auto" w:fill="auto"/>
            <w:vAlign w:val="center"/>
          </w:tcPr>
          <w:p w14:paraId="79AAE4A3">
            <w:pPr>
              <w:keepNext w:val="0"/>
              <w:keepLines w:val="0"/>
              <w:pageBreakBefore w:val="0"/>
              <w:widowControl w:val="0"/>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冯天慧</w:t>
            </w:r>
          </w:p>
        </w:tc>
        <w:tc>
          <w:tcPr>
            <w:tcW w:w="5820" w:type="dxa"/>
            <w:shd w:val="clear" w:color="auto" w:fill="auto"/>
            <w:vAlign w:val="center"/>
          </w:tcPr>
          <w:p w14:paraId="603B219A">
            <w:pPr>
              <w:keepNext w:val="0"/>
              <w:keepLines w:val="0"/>
              <w:pageBreakBefore w:val="0"/>
              <w:widowControl w:val="0"/>
              <w:kinsoku/>
              <w:wordWrap/>
              <w:overflowPunct/>
              <w:topLinePunct w:val="0"/>
              <w:autoSpaceDE/>
              <w:autoSpaceDN/>
              <w:bidi w:val="0"/>
              <w:adjustRightInd w:val="0"/>
              <w:snapToGrid w:val="0"/>
              <w:spacing w:line="600" w:lineRule="exact"/>
              <w:ind w:right="0" w:rightChars="0"/>
              <w:jc w:val="both"/>
              <w:textAlignment w:val="auto"/>
              <w:outlineLvl w:val="9"/>
              <w:rPr>
                <w:rFonts w:hint="eastAsia" w:ascii="仿宋" w:hAnsi="仿宋" w:eastAsia="仿宋" w:cs="黑体"/>
                <w:b w:val="0"/>
                <w:bCs w:val="0"/>
                <w:color w:val="auto"/>
                <w:kern w:val="2"/>
                <w:sz w:val="32"/>
                <w:szCs w:val="32"/>
                <w:lang w:val="en-US" w:eastAsia="zh-CN" w:bidi="ar-SA"/>
              </w:rPr>
            </w:pPr>
            <w:r>
              <w:rPr>
                <w:rFonts w:hint="eastAsia" w:ascii="仿宋" w:hAnsi="仿宋" w:eastAsia="仿宋" w:cs="黑体"/>
                <w:b w:val="0"/>
                <w:bCs w:val="0"/>
                <w:color w:val="auto"/>
                <w:kern w:val="2"/>
                <w:sz w:val="32"/>
                <w:szCs w:val="32"/>
                <w:lang w:val="en-US" w:eastAsia="zh-CN" w:bidi="ar-SA"/>
              </w:rPr>
              <w:t>区委组织部办公室主任</w:t>
            </w:r>
          </w:p>
        </w:tc>
        <w:tc>
          <w:tcPr>
            <w:tcW w:w="2066" w:type="dxa"/>
            <w:vAlign w:val="top"/>
          </w:tcPr>
          <w:p w14:paraId="73EB232B">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cs="黑体"/>
                <w:b w:val="0"/>
                <w:bCs w:val="0"/>
                <w:color w:val="auto"/>
                <w:kern w:val="2"/>
                <w:sz w:val="32"/>
                <w:szCs w:val="32"/>
                <w:lang w:val="en-US" w:eastAsia="zh-CN" w:bidi="ar-SA"/>
              </w:rPr>
            </w:pPr>
          </w:p>
        </w:tc>
      </w:tr>
    </w:tbl>
    <w:p w14:paraId="120CDE2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textAlignment w:val="auto"/>
        <w:rPr>
          <w:rFonts w:hint="eastAsia" w:ascii="黑体" w:hAnsi="黑体" w:eastAsia="黑体"/>
          <w:sz w:val="32"/>
          <w:szCs w:val="32"/>
        </w:rPr>
      </w:pPr>
    </w:p>
    <w:p w14:paraId="6AE09CE1">
      <w:pPr>
        <w:keepNext w:val="0"/>
        <w:keepLines w:val="0"/>
        <w:pageBreakBefore w:val="0"/>
        <w:widowControl w:val="0"/>
        <w:kinsoku/>
        <w:wordWrap/>
        <w:overflowPunct/>
        <w:topLinePunct w:val="0"/>
        <w:autoSpaceDE/>
        <w:autoSpaceDN/>
        <w:bidi w:val="0"/>
        <w:spacing w:line="600" w:lineRule="exact"/>
        <w:textAlignment w:val="auto"/>
        <w:rPr>
          <w:rFonts w:ascii="仿宋" w:hAnsi="仿宋" w:eastAsia="仿宋"/>
        </w:rPr>
      </w:pPr>
    </w:p>
    <w:p w14:paraId="29C3F2EB">
      <w:pPr>
        <w:keepNext w:val="0"/>
        <w:keepLines w:val="0"/>
        <w:pageBreakBefore w:val="0"/>
        <w:widowControl w:val="0"/>
        <w:kinsoku/>
        <w:wordWrap/>
        <w:overflowPunct/>
        <w:topLinePunct w:val="0"/>
        <w:autoSpaceDE/>
        <w:autoSpaceDN/>
        <w:bidi w:val="0"/>
        <w:spacing w:line="600" w:lineRule="exact"/>
        <w:textAlignment w:val="auto"/>
        <w:rPr>
          <w:rFonts w:ascii="仿宋" w:hAnsi="仿宋" w:eastAsia="仿宋"/>
        </w:rPr>
      </w:pPr>
    </w:p>
    <w:p w14:paraId="4689B382">
      <w:pPr>
        <w:keepNext w:val="0"/>
        <w:keepLines w:val="0"/>
        <w:pageBreakBefore w:val="0"/>
        <w:widowControl w:val="0"/>
        <w:kinsoku/>
        <w:wordWrap/>
        <w:overflowPunct/>
        <w:topLinePunct w:val="0"/>
        <w:autoSpaceDE/>
        <w:autoSpaceDN/>
        <w:bidi w:val="0"/>
        <w:spacing w:line="600" w:lineRule="exact"/>
        <w:jc w:val="center"/>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井陉矿区委组织部</w:t>
      </w:r>
    </w:p>
    <w:p w14:paraId="50AB2235">
      <w:pPr>
        <w:keepNext w:val="0"/>
        <w:keepLines w:val="0"/>
        <w:pageBreakBefore w:val="0"/>
        <w:widowControl w:val="0"/>
        <w:kinsoku/>
        <w:wordWrap/>
        <w:overflowPunct/>
        <w:topLinePunct w:val="0"/>
        <w:autoSpaceDE/>
        <w:autoSpaceDN/>
        <w:bidi w:val="0"/>
        <w:spacing w:line="600" w:lineRule="exact"/>
        <w:jc w:val="right"/>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2025年9月10日</w:t>
      </w: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5E298">
    <w:pPr>
      <w:pStyle w:val="6"/>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3819AF7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3819AF7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C9052E"/>
    <w:multiLevelType w:val="singleLevel"/>
    <w:tmpl w:val="D9C9052E"/>
    <w:lvl w:ilvl="0" w:tentative="0">
      <w:start w:val="6"/>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03FE7905"/>
    <w:rsid w:val="040A7458"/>
    <w:rsid w:val="11106497"/>
    <w:rsid w:val="148C5ED1"/>
    <w:rsid w:val="1716729F"/>
    <w:rsid w:val="1AA650CC"/>
    <w:rsid w:val="1BD54DB6"/>
    <w:rsid w:val="1D6B7D0E"/>
    <w:rsid w:val="27475541"/>
    <w:rsid w:val="27D843EB"/>
    <w:rsid w:val="282D0BDB"/>
    <w:rsid w:val="2E145FBA"/>
    <w:rsid w:val="2F24406A"/>
    <w:rsid w:val="342D3712"/>
    <w:rsid w:val="38CA378F"/>
    <w:rsid w:val="44C05764"/>
    <w:rsid w:val="48CB1080"/>
    <w:rsid w:val="4EA35196"/>
    <w:rsid w:val="4F792A76"/>
    <w:rsid w:val="53706852"/>
    <w:rsid w:val="5E443C59"/>
    <w:rsid w:val="6C7D4B2E"/>
    <w:rsid w:val="717F65F5"/>
    <w:rsid w:val="729325FE"/>
    <w:rsid w:val="76365273"/>
    <w:rsid w:val="76596874"/>
    <w:rsid w:val="78417466"/>
    <w:rsid w:val="7FF151B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paragraph" w:styleId="5">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1">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8">
    <w:name w:val="Normal (Web)"/>
    <w:basedOn w:val="1"/>
    <w:qFormat/>
    <w:uiPriority w:val="0"/>
    <w:pPr>
      <w:spacing w:before="100" w:beforeAutospacing="1" w:after="100" w:afterAutospacing="1"/>
      <w:ind w:left="0" w:right="0"/>
      <w:jc w:val="left"/>
    </w:pPr>
    <w:rPr>
      <w:kern w:val="0"/>
      <w:sz w:val="24"/>
      <w:lang w:val="en-US" w:eastAsia="zh-CN" w:bidi="ar"/>
    </w:rPr>
  </w:style>
  <w:style w:type="table" w:styleId="10">
    <w:name w:val="Table Grid"/>
    <w:qFormat/>
    <w:uiPriority w:val="1"/>
    <w:rPr>
      <w:rFonts w:ascii="Calibri" w:hAnsi="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6</Pages>
  <Words>2369</Words>
  <Characters>2542</Characters>
  <Lines>0</Lines>
  <Paragraphs>29</Paragraphs>
  <TotalTime>1</TotalTime>
  <ScaleCrop>false</ScaleCrop>
  <LinksUpToDate>false</LinksUpToDate>
  <CharactersWithSpaces>2590</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2025-10-23T02:12:14Z</cp:lastPrinted>
  <dcterms:modified xsi:type="dcterms:W3CDTF">2025-10-23T02:35:50Z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0DBD660952CB4333B8C3F2E01D8FC74E_13</vt:lpwstr>
  </property>
  <property fmtid="{D5CDD505-2E9C-101B-9397-08002B2CF9AE}" pid="4" name="KSOTemplateDocerSaveRecord">
    <vt:lpwstr>eyJoZGlkIjoiMjk3MzM2NjAzZmE1NjYwNDI0NWQwN2E3OTQ5YWY1YjYifQ==</vt:lpwstr>
  </property>
</Properties>
</file>