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0AA955">
      <w:pPr>
        <w:adjustRightInd w:val="0"/>
        <w:snapToGrid w:val="0"/>
        <w:spacing w:line="560" w:lineRule="exact"/>
        <w:rPr>
          <w:rFonts w:hint="eastAsia" w:ascii="黑体" w:hAnsi="黑体" w:eastAsia="黑体" w:cs="黑体"/>
          <w:sz w:val="32"/>
          <w:szCs w:val="32"/>
        </w:rPr>
      </w:pPr>
      <w:bookmarkStart w:id="0" w:name="_GoBack"/>
      <w:bookmarkEnd w:id="0"/>
      <w:r>
        <w:rPr>
          <w:rFonts w:hint="eastAsia" w:ascii="黑体" w:hAnsi="黑体" w:eastAsia="黑体" w:cs="黑体"/>
          <w:sz w:val="32"/>
          <w:szCs w:val="32"/>
        </w:rPr>
        <w:t>附件4</w:t>
      </w:r>
    </w:p>
    <w:p w14:paraId="55A8D7D7">
      <w:pPr>
        <w:spacing w:line="560" w:lineRule="exact"/>
        <w:jc w:val="center"/>
        <w:rPr>
          <w:rFonts w:ascii="宋体" w:hAnsi="宋体" w:cs="宋体"/>
          <w:b/>
          <w:bCs/>
          <w:sz w:val="44"/>
          <w:szCs w:val="44"/>
        </w:rPr>
      </w:pPr>
    </w:p>
    <w:p w14:paraId="53AC1E02">
      <w:pPr>
        <w:spacing w:line="560" w:lineRule="exact"/>
        <w:jc w:val="center"/>
        <w:rPr>
          <w:rFonts w:hint="eastAsia" w:ascii="宋体" w:hAnsi="宋体" w:cs="宋体"/>
          <w:b/>
          <w:bCs/>
          <w:spacing w:val="-11"/>
          <w:sz w:val="44"/>
          <w:szCs w:val="44"/>
          <w:lang w:val="en-US" w:eastAsia="zh-CN"/>
        </w:rPr>
      </w:pPr>
      <w:r>
        <w:rPr>
          <w:rFonts w:hint="eastAsia" w:ascii="宋体" w:hAnsi="宋体" w:cs="宋体"/>
          <w:b/>
          <w:bCs/>
          <w:spacing w:val="-11"/>
          <w:sz w:val="44"/>
          <w:szCs w:val="44"/>
          <w:lang w:val="en-US" w:eastAsia="zh-CN"/>
        </w:rPr>
        <w:t>中共井陉矿区委宣传部</w:t>
      </w:r>
    </w:p>
    <w:p w14:paraId="2BC6E959">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50F33086">
      <w:pPr>
        <w:spacing w:line="560" w:lineRule="exact"/>
        <w:jc w:val="center"/>
        <w:rPr>
          <w:rFonts w:ascii="华文楷体" w:eastAsia="华文楷体"/>
          <w:sz w:val="32"/>
          <w:szCs w:val="32"/>
        </w:rPr>
      </w:pPr>
    </w:p>
    <w:p w14:paraId="44F5F63D">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hint="eastAsia" w:ascii="仿宋" w:hAnsi="仿宋" w:eastAsia="仿宋"/>
          <w:sz w:val="32"/>
          <w:szCs w:val="32"/>
          <w:lang w:val="en-US" w:eastAsia="zh-CN"/>
        </w:rPr>
        <w:t>2021</w:t>
      </w:r>
      <w:r>
        <w:rPr>
          <w:rFonts w:hint="eastAsia" w:ascii="仿宋" w:hAnsi="仿宋" w:eastAsia="仿宋"/>
          <w:sz w:val="32"/>
          <w:szCs w:val="32"/>
          <w:lang w:eastAsia="zh-CN"/>
        </w:rPr>
        <w:t>﹞</w:t>
      </w:r>
      <w:r>
        <w:rPr>
          <w:rFonts w:hint="eastAsia" w:ascii="仿宋" w:hAnsi="仿宋" w:eastAsia="仿宋"/>
          <w:sz w:val="32"/>
          <w:szCs w:val="32"/>
          <w:lang w:val="en-US" w:eastAsia="zh-CN"/>
        </w:rPr>
        <w:t>12号</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eastAsia="zh-CN"/>
        </w:rPr>
        <w:t>中共井陉矿区委宣传部</w:t>
      </w: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582080E5">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49B4E2EA">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010F4A38">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（一）拟订全区宣传思想文化工作重大方针政策和事业发展总体规划，统筹协调推进宣传思想文化领域法治建设，按照区委统一部署，协调宣传思想文化系统各部门之间的工作。</w:t>
      </w:r>
    </w:p>
    <w:p w14:paraId="017EE0E8">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（二）统筹协调全区党的意识形态工作，贯彻落实区委关于意识形态工作决策部署，组织协调意识形态工作责任制落实和日常监督检查。</w:t>
      </w:r>
    </w:p>
    <w:p w14:paraId="7CA55134">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（三）统筹指导协调全区理论研究、理论学习、理论宣传工作，组织推动理论武装工作，推动落实马克思主义理论研究和建设工程任务，负责区委理论学习中心组理论学习的有关工作。</w:t>
      </w:r>
    </w:p>
    <w:p w14:paraId="336D000A">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四）负责规划组织全区全局性思想政治工作任务，组织对先进典型的学习推广。配合区委组织部做好基层党员教育工作，指导协调编写党员教育教材，会同有关部门研究和改进群众思想教育工作。负责指导协调全区爱国主义教育基地的建设、管理、使用。负责全区国防教育工作。</w:t>
      </w:r>
    </w:p>
    <w:p w14:paraId="306A57BE">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（五）统筹分析研判和引导全区社会舆论，指导协调区直各新闻单位的工作，组织全区突发公共事件应急新闻工作。</w:t>
      </w:r>
    </w:p>
    <w:p w14:paraId="167A93D6">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六）拟订全区新闻出版业的管理政策并督促落实，管理新闻出版行政事务，统筹规划和指导协调新闻出版事业、产业发展，监督管理出版物内容和质量，监督管理印刷业，管理著作权，管理出版物进出口等。组织指导协调全区“扫黄打非”工作。负责全区新闻记者证的审核管理。</w:t>
      </w:r>
    </w:p>
    <w:p w14:paraId="50D421E3">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（七）从宏观上统筹指导协调全区互联网宣传和信息内容管理工作。统筹数字新媒体的建设和管理。</w:t>
      </w:r>
    </w:p>
    <w:p w14:paraId="37AE8CC5">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（八）从宏观上统筹指导协调推动全区精神文化产品的创作和生产，协调组织中华优秀传统文化传承发展有关工作，指导协调推动群众文化建设。</w:t>
      </w:r>
    </w:p>
    <w:p w14:paraId="78B6D02A">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（九）负责管理全区电影行政事务，指导监管电影制片、发行、放映工作，组织对电影内容进行审查，指导协调全区性重大电影活动。</w:t>
      </w:r>
    </w:p>
    <w:p w14:paraId="4C1B93F0">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十）对全区新闻出版、广播影视、文化艺术业改革发展研究提出政策性建议，统筹指导协调文化体制改革和文化事业、文化产业及旅游业发展，负责区级文化企业国有资产监督管理。承担区文化体制改革和文化产业发展工作领导小组办公室日常工作。</w:t>
      </w:r>
    </w:p>
    <w:p w14:paraId="47172689">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（十一）统筹指导全区舆情信息工作，组织协调开展区内外舆情信息收集分析研判工作，跟踪了解、研究掌握宣传舆情动态。</w:t>
      </w:r>
    </w:p>
    <w:p w14:paraId="36F84796">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（十二）统筹研究拟订有关全区精神文明建设的方针、政策。规划部署全区精神文明建设工作，组织指导全区群众性精神文明创建活动。</w:t>
      </w:r>
    </w:p>
    <w:p w14:paraId="0EA97C75">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（十三）统筹协调全区对外宣传工作。指导协调有关部门研究拟订全区对外宣传事业发展规划，组织协调我区对外宣传文化交流工作，会同有关部门做好境外记者采访事务方面工作。</w:t>
      </w:r>
    </w:p>
    <w:p w14:paraId="5C13BE89">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（十四）统筹协调组织开展新闻发布工作。承担区委新闻发布有关组织协调工作，负责区政府新闻发布组织实施工作，指导协调区政府各部门和各乡（镇）、街道的新闻发布工作，推动新闻发言人制度落实。</w:t>
      </w:r>
    </w:p>
    <w:p w14:paraId="686802DF">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（十五）统筹指导协调全区哲学社会科学发展工作。组织制定发展战略、中长期规划和专项计划。负责组织社会科学课题成果转化应用等工作。</w:t>
      </w:r>
    </w:p>
    <w:p w14:paraId="6EA3D8FB">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十六）受区委委托，会同区委组织部管理新闻、文化、社会科学研究和互联网信息等方面区直宣传思想文化单位的领导干部。对各乡（镇）、街道党（工）委宣传委员的任免提出意见。负责有关重要宣传舆论阵地和重要岗位领导干部管理工作。统筹组织开展宣传思想文化系统干部教育培训和人才工作。</w:t>
      </w:r>
    </w:p>
    <w:p w14:paraId="4D2A021F">
      <w:pPr>
        <w:pStyle w:val="11"/>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（十七）对区委网络安全和信息化委员会办公室（区互联网信息办公室）互联网宣传和信息内容管理方面的工作实施方针、政策的指导。归口领导区文化广电体育和旅游局、区广播电视台。</w:t>
      </w:r>
    </w:p>
    <w:p w14:paraId="3FD96415">
      <w:pPr>
        <w:adjustRightInd w:val="0"/>
        <w:snapToGrid w:val="0"/>
        <w:spacing w:line="560" w:lineRule="exact"/>
        <w:ind w:firstLine="640" w:firstLineChars="200"/>
        <w:rPr>
          <w:rFonts w:ascii="仿宋" w:hAnsi="仿宋" w:eastAsia="仿宋"/>
          <w:sz w:val="32"/>
          <w:szCs w:val="32"/>
        </w:rPr>
      </w:pPr>
      <w:r>
        <w:rPr>
          <w:rFonts w:hint="eastAsia" w:ascii="仿宋" w:hAnsi="仿宋" w:eastAsia="仿宋" w:cs="黑体"/>
          <w:kern w:val="2"/>
          <w:sz w:val="32"/>
          <w:szCs w:val="32"/>
          <w:lang w:val="en-US" w:eastAsia="zh-CN" w:bidi="ar-SA"/>
        </w:rPr>
        <w:t>（十八）完成区委交办的其他任务。</w:t>
      </w:r>
    </w:p>
    <w:p w14:paraId="78A4253E">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2．机构情况。</w:t>
      </w:r>
    </w:p>
    <w:tbl>
      <w:tblPr>
        <w:tblStyle w:val="9"/>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6DB901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4E2F4B8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59E0BBB4">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44FA5C4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6BA3213C">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29877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vAlign w:val="top"/>
          </w:tcPr>
          <w:p w14:paraId="34B7A857">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vAlign w:val="top"/>
          </w:tcPr>
          <w:p w14:paraId="3EAA63EA">
            <w:pPr>
              <w:spacing w:line="560" w:lineRule="exact"/>
              <w:rPr>
                <w:rFonts w:ascii="仿宋_GB2312" w:hAnsi="Calibri" w:eastAsia="仿宋_GB2312" w:cs="ArialUnicodeMS"/>
                <w:kern w:val="0"/>
                <w:sz w:val="28"/>
                <w:szCs w:val="28"/>
              </w:rPr>
            </w:pPr>
            <w:r>
              <w:rPr>
                <w:rFonts w:ascii="仿宋_GB2312" w:hAnsi="Calibri" w:eastAsia="仿宋_GB2312" w:cs="ArialUnicodeMS"/>
                <w:kern w:val="0"/>
                <w:sz w:val="28"/>
                <w:szCs w:val="28"/>
              </w:rPr>
              <w:t>中共石家庄市井陉矿区委</w:t>
            </w:r>
            <w:r>
              <w:rPr>
                <w:rFonts w:hint="eastAsia" w:ascii="仿宋_GB2312" w:eastAsia="仿宋_GB2312" w:cs="ArialUnicodeMS"/>
                <w:kern w:val="0"/>
                <w:sz w:val="28"/>
                <w:szCs w:val="28"/>
                <w:lang w:eastAsia="zh-CN"/>
              </w:rPr>
              <w:t>宣传</w:t>
            </w:r>
            <w:r>
              <w:rPr>
                <w:rFonts w:ascii="仿宋_GB2312" w:hAnsi="Calibri" w:eastAsia="仿宋_GB2312" w:cs="ArialUnicodeMS"/>
                <w:kern w:val="0"/>
                <w:sz w:val="28"/>
                <w:szCs w:val="28"/>
              </w:rPr>
              <w:t>部</w:t>
            </w:r>
          </w:p>
        </w:tc>
        <w:tc>
          <w:tcPr>
            <w:tcW w:w="2445" w:type="dxa"/>
            <w:vAlign w:val="top"/>
          </w:tcPr>
          <w:p w14:paraId="1A2D1204">
            <w:pPr>
              <w:spacing w:line="560" w:lineRule="exact"/>
              <w:jc w:val="center"/>
              <w:rPr>
                <w:rFonts w:ascii="仿宋_GB2312" w:hAnsi="Calibri" w:eastAsia="仿宋_GB2312" w:cs="ArialUnicodeMS"/>
                <w:kern w:val="0"/>
                <w:sz w:val="28"/>
                <w:szCs w:val="28"/>
              </w:rPr>
            </w:pPr>
            <w:r>
              <w:rPr>
                <w:rFonts w:ascii="仿宋_GB2312" w:hAnsi="Calibri" w:eastAsia="仿宋_GB2312" w:cs="ArialUnicodeMS"/>
                <w:kern w:val="0"/>
                <w:sz w:val="28"/>
                <w:szCs w:val="28"/>
              </w:rPr>
              <w:t>行政单位</w:t>
            </w:r>
          </w:p>
        </w:tc>
        <w:tc>
          <w:tcPr>
            <w:tcW w:w="2665" w:type="dxa"/>
            <w:vAlign w:val="top"/>
          </w:tcPr>
          <w:p w14:paraId="22BE1870">
            <w:pPr>
              <w:spacing w:line="560" w:lineRule="exact"/>
              <w:jc w:val="center"/>
              <w:rPr>
                <w:rFonts w:ascii="仿宋_GB2312" w:hAnsi="Calibri" w:eastAsia="仿宋_GB2312" w:cs="ArialUnicodeMS"/>
                <w:kern w:val="0"/>
                <w:sz w:val="28"/>
                <w:szCs w:val="28"/>
              </w:rPr>
            </w:pPr>
            <w:r>
              <w:rPr>
                <w:rFonts w:ascii="仿宋_GB2312" w:hAnsi="Calibri" w:eastAsia="仿宋_GB2312" w:cs="ArialUnicodeMS"/>
                <w:kern w:val="0"/>
                <w:sz w:val="28"/>
                <w:szCs w:val="28"/>
              </w:rPr>
              <w:t>财政拨款</w:t>
            </w:r>
          </w:p>
        </w:tc>
      </w:tr>
    </w:tbl>
    <w:p w14:paraId="77115E77">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3．人员情况。</w:t>
      </w:r>
    </w:p>
    <w:p w14:paraId="0D9DD6FB">
      <w:pPr>
        <w:snapToGrid w:val="0"/>
        <w:spacing w:line="520" w:lineRule="exact"/>
        <w:ind w:firstLine="640" w:firstLineChars="200"/>
        <w:rPr>
          <w:rFonts w:ascii="仿宋_GB2312" w:hAnsi="仿宋" w:eastAsia="仿宋_GB2312"/>
          <w:sz w:val="32"/>
          <w:szCs w:val="32"/>
        </w:rPr>
      </w:pPr>
      <w:r>
        <w:rPr>
          <w:rFonts w:hint="eastAsia" w:ascii="仿宋_GB2312" w:hAnsi="仿宋" w:eastAsia="仿宋_GB2312"/>
          <w:sz w:val="32"/>
          <w:szCs w:val="32"/>
        </w:rPr>
        <w:t>202</w:t>
      </w:r>
      <w:r>
        <w:rPr>
          <w:rFonts w:hint="eastAsia" w:ascii="仿宋_GB2312" w:hAnsi="仿宋" w:eastAsia="仿宋_GB2312"/>
          <w:sz w:val="32"/>
          <w:szCs w:val="32"/>
          <w:lang w:val="en-US" w:eastAsia="zh-CN"/>
        </w:rPr>
        <w:t>4</w:t>
      </w:r>
      <w:r>
        <w:rPr>
          <w:rFonts w:hint="eastAsia" w:ascii="仿宋_GB2312" w:hAnsi="仿宋" w:eastAsia="仿宋_GB2312"/>
          <w:sz w:val="32"/>
          <w:szCs w:val="32"/>
        </w:rPr>
        <w:t>年末实有人数</w:t>
      </w:r>
      <w:r>
        <w:rPr>
          <w:rFonts w:hint="eastAsia" w:ascii="仿宋_GB2312" w:hAnsi="仿宋" w:eastAsia="仿宋_GB2312"/>
          <w:sz w:val="32"/>
          <w:szCs w:val="32"/>
          <w:lang w:val="en-US" w:eastAsia="zh-CN"/>
        </w:rPr>
        <w:t>10</w:t>
      </w:r>
      <w:r>
        <w:rPr>
          <w:rFonts w:hint="eastAsia" w:ascii="仿宋_GB2312" w:hAnsi="仿宋" w:eastAsia="仿宋_GB2312"/>
          <w:sz w:val="32"/>
          <w:szCs w:val="32"/>
        </w:rPr>
        <w:t>人。</w:t>
      </w:r>
    </w:p>
    <w:p w14:paraId="72A9B4CD">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5EFC4C8D">
      <w:pPr>
        <w:widowControl w:val="0"/>
        <w:wordWrap/>
        <w:spacing w:line="560" w:lineRule="exact"/>
        <w:ind w:left="0" w:leftChars="0" w:right="0" w:firstLine="640" w:firstLineChars="200"/>
        <w:textAlignment w:val="auto"/>
        <w:outlineLvl w:val="9"/>
        <w:rPr>
          <w:rFonts w:hint="default" w:ascii="楷体" w:hAnsi="楷体" w:eastAsia="楷体" w:cs="楷体_GB2312"/>
          <w:bCs/>
          <w:sz w:val="32"/>
          <w:szCs w:val="32"/>
          <w:lang w:val="en-US" w:eastAsia="zh-CN"/>
        </w:rPr>
      </w:pP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年年初预算安排情况</w:t>
      </w:r>
      <w:r>
        <w:rPr>
          <w:rFonts w:hint="eastAsia" w:ascii="仿宋_GB2312" w:eastAsia="仿宋_GB2312" w:cs="Times New Roman"/>
          <w:color w:val="000000"/>
          <w:sz w:val="32"/>
          <w:szCs w:val="32"/>
          <w:u w:val="none"/>
          <w:lang w:val="en-US" w:eastAsia="zh-CN"/>
        </w:rPr>
        <w:t>458.73</w:t>
      </w:r>
      <w:r>
        <w:rPr>
          <w:rFonts w:hint="eastAsia" w:ascii="仿宋" w:hAnsi="仿宋" w:eastAsia="仿宋"/>
          <w:sz w:val="32"/>
          <w:szCs w:val="32"/>
        </w:rPr>
        <w:t>万元，其中基本支出</w:t>
      </w:r>
      <w:r>
        <w:rPr>
          <w:rFonts w:hint="eastAsia" w:ascii="仿宋" w:hAnsi="仿宋" w:eastAsia="仿宋"/>
          <w:sz w:val="32"/>
          <w:szCs w:val="32"/>
          <w:lang w:val="en-US" w:eastAsia="zh-CN"/>
        </w:rPr>
        <w:t>186.97</w:t>
      </w:r>
      <w:r>
        <w:rPr>
          <w:rFonts w:hint="eastAsia" w:ascii="仿宋" w:hAnsi="仿宋" w:eastAsia="仿宋"/>
          <w:sz w:val="32"/>
          <w:szCs w:val="32"/>
        </w:rPr>
        <w:t>万元，其中人员经费支出</w:t>
      </w:r>
      <w:r>
        <w:rPr>
          <w:rFonts w:hint="eastAsia" w:ascii="仿宋" w:hAnsi="仿宋" w:eastAsia="仿宋"/>
          <w:sz w:val="32"/>
          <w:szCs w:val="32"/>
          <w:lang w:val="en-US" w:eastAsia="zh-CN"/>
        </w:rPr>
        <w:t>176.71</w:t>
      </w:r>
      <w:r>
        <w:rPr>
          <w:rFonts w:hint="eastAsia" w:ascii="仿宋" w:hAnsi="仿宋" w:eastAsia="仿宋"/>
          <w:sz w:val="32"/>
          <w:szCs w:val="32"/>
        </w:rPr>
        <w:t>万元，日常公用经费</w:t>
      </w:r>
      <w:r>
        <w:rPr>
          <w:rFonts w:hint="eastAsia" w:ascii="仿宋" w:hAnsi="仿宋" w:eastAsia="仿宋"/>
          <w:sz w:val="32"/>
          <w:szCs w:val="32"/>
          <w:lang w:val="en-US" w:eastAsia="zh-CN"/>
        </w:rPr>
        <w:t>10.26</w:t>
      </w:r>
      <w:r>
        <w:rPr>
          <w:rFonts w:hint="eastAsia" w:ascii="仿宋" w:hAnsi="仿宋" w:eastAsia="仿宋"/>
          <w:sz w:val="32"/>
          <w:szCs w:val="32"/>
        </w:rPr>
        <w:t>万元；项目支出</w:t>
      </w:r>
      <w:r>
        <w:rPr>
          <w:rFonts w:hint="eastAsia" w:ascii="仿宋" w:hAnsi="仿宋" w:eastAsia="仿宋"/>
          <w:sz w:val="32"/>
          <w:szCs w:val="32"/>
          <w:lang w:val="en-US" w:eastAsia="zh-CN"/>
        </w:rPr>
        <w:t>271.76</w:t>
      </w:r>
      <w:r>
        <w:rPr>
          <w:rFonts w:hint="eastAsia" w:ascii="仿宋" w:hAnsi="仿宋" w:eastAsia="仿宋"/>
          <w:sz w:val="32"/>
          <w:szCs w:val="32"/>
        </w:rPr>
        <w:t>万元。202</w:t>
      </w:r>
      <w:r>
        <w:rPr>
          <w:rFonts w:hint="eastAsia" w:ascii="仿宋" w:hAnsi="仿宋" w:eastAsia="仿宋"/>
          <w:sz w:val="32"/>
          <w:szCs w:val="32"/>
          <w:lang w:val="en-US" w:eastAsia="zh-CN"/>
        </w:rPr>
        <w:t>4</w:t>
      </w:r>
      <w:r>
        <w:rPr>
          <w:rFonts w:hint="eastAsia" w:ascii="仿宋" w:hAnsi="仿宋" w:eastAsia="仿宋"/>
          <w:sz w:val="32"/>
          <w:szCs w:val="32"/>
        </w:rPr>
        <w:t>年年底决算情况财政拨款收</w:t>
      </w:r>
      <w:r>
        <w:rPr>
          <w:rFonts w:hint="eastAsia" w:ascii="仿宋" w:hAnsi="仿宋" w:eastAsia="仿宋"/>
          <w:sz w:val="32"/>
          <w:szCs w:val="32"/>
          <w:lang w:val="en-US" w:eastAsia="zh-CN"/>
        </w:rPr>
        <w:t>279.59</w:t>
      </w:r>
      <w:r>
        <w:rPr>
          <w:rFonts w:hint="eastAsia" w:ascii="仿宋" w:hAnsi="仿宋" w:eastAsia="仿宋"/>
          <w:sz w:val="32"/>
          <w:szCs w:val="32"/>
        </w:rPr>
        <w:t>万元、支出</w:t>
      </w:r>
      <w:r>
        <w:rPr>
          <w:rFonts w:hint="eastAsia" w:ascii="仿宋" w:hAnsi="仿宋" w:eastAsia="仿宋"/>
          <w:sz w:val="32"/>
          <w:szCs w:val="32"/>
          <w:lang w:val="en-US" w:eastAsia="zh-CN"/>
        </w:rPr>
        <w:t>279.59</w:t>
      </w:r>
      <w:r>
        <w:rPr>
          <w:rFonts w:hint="eastAsia" w:ascii="仿宋" w:hAnsi="仿宋" w:eastAsia="仿宋"/>
          <w:sz w:val="32"/>
          <w:szCs w:val="32"/>
        </w:rPr>
        <w:t>万元，其中基本支出</w:t>
      </w:r>
      <w:r>
        <w:rPr>
          <w:rFonts w:hint="eastAsia" w:ascii="仿宋" w:hAnsi="仿宋" w:eastAsia="仿宋"/>
          <w:sz w:val="32"/>
          <w:szCs w:val="32"/>
          <w:lang w:val="en-US" w:eastAsia="zh-CN"/>
        </w:rPr>
        <w:t>153.45</w:t>
      </w:r>
      <w:r>
        <w:rPr>
          <w:rFonts w:hint="eastAsia" w:ascii="仿宋" w:hAnsi="仿宋" w:eastAsia="仿宋"/>
          <w:sz w:val="32"/>
          <w:szCs w:val="32"/>
        </w:rPr>
        <w:t>万元，其中人员经费支出</w:t>
      </w:r>
      <w:r>
        <w:rPr>
          <w:rFonts w:hint="eastAsia" w:ascii="仿宋" w:hAnsi="仿宋" w:eastAsia="仿宋"/>
          <w:sz w:val="32"/>
          <w:szCs w:val="32"/>
          <w:lang w:val="en-US" w:eastAsia="zh-CN"/>
        </w:rPr>
        <w:t>147.28万</w:t>
      </w:r>
      <w:r>
        <w:rPr>
          <w:rFonts w:hint="eastAsia" w:ascii="仿宋" w:hAnsi="仿宋" w:eastAsia="仿宋"/>
          <w:sz w:val="32"/>
          <w:szCs w:val="32"/>
        </w:rPr>
        <w:t>元，日常公用经费</w:t>
      </w:r>
      <w:r>
        <w:rPr>
          <w:rFonts w:hint="eastAsia" w:ascii="仿宋" w:hAnsi="仿宋" w:eastAsia="仿宋"/>
          <w:sz w:val="32"/>
          <w:szCs w:val="32"/>
          <w:lang w:val="en-US" w:eastAsia="zh-CN"/>
        </w:rPr>
        <w:t>6.17</w:t>
      </w:r>
      <w:r>
        <w:rPr>
          <w:rFonts w:hint="eastAsia" w:ascii="仿宋" w:hAnsi="仿宋" w:eastAsia="仿宋"/>
          <w:sz w:val="32"/>
          <w:szCs w:val="32"/>
        </w:rPr>
        <w:t>万元；项目支出</w:t>
      </w:r>
      <w:r>
        <w:rPr>
          <w:rFonts w:hint="eastAsia" w:ascii="仿宋" w:hAnsi="仿宋" w:eastAsia="仿宋"/>
          <w:sz w:val="32"/>
          <w:szCs w:val="32"/>
          <w:lang w:val="en-US" w:eastAsia="zh-CN"/>
        </w:rPr>
        <w:t>126.14</w:t>
      </w:r>
      <w:r>
        <w:rPr>
          <w:rFonts w:hint="eastAsia" w:ascii="仿宋" w:hAnsi="仿宋" w:eastAsia="仿宋"/>
          <w:sz w:val="32"/>
          <w:szCs w:val="32"/>
        </w:rPr>
        <w:t>万元。</w:t>
      </w:r>
    </w:p>
    <w:p w14:paraId="1C951F4E">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6A665717">
      <w:pPr>
        <w:widowControl w:val="0"/>
        <w:wordWrap/>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坚持以习近平新时代中国特色社会主义思想为指导，深入贯彻落实新时代党的建设总要求和新时代党的组织路线，准确把握新发展阶段、新发展理念、新发展格局对组织工作的新要求，更加突出党的政治建设，更加突出高素质专业化干部队伍建设，更加突出创新核心地位与人才战略地位，更加突出党建引领基层治理，更加突出组织部门自身建设。</w:t>
      </w:r>
    </w:p>
    <w:p w14:paraId="3AC0F551">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6E5919AE">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3244A107">
      <w:pPr>
        <w:ind w:firstLine="640"/>
        <w:rPr>
          <w:rFonts w:ascii="仿宋" w:hAnsi="仿宋" w:eastAsia="仿宋"/>
          <w:sz w:val="32"/>
          <w:szCs w:val="32"/>
        </w:rPr>
      </w:pPr>
      <w:r>
        <w:rPr>
          <w:rFonts w:hint="eastAsia" w:ascii="仿宋" w:hAnsi="仿宋" w:eastAsia="仿宋"/>
          <w:sz w:val="32"/>
          <w:szCs w:val="32"/>
          <w:lang w:eastAsia="zh-CN"/>
        </w:rPr>
        <w:t>宣传部</w:t>
      </w:r>
      <w:r>
        <w:rPr>
          <w:rFonts w:hint="eastAsia" w:ascii="仿宋" w:hAnsi="仿宋" w:eastAsia="仿宋"/>
          <w:sz w:val="32"/>
          <w:szCs w:val="32"/>
        </w:rPr>
        <w:t>高度重视此项绩效自评工作，成立了绩效评价小组，组长由单位主管领导</w:t>
      </w:r>
      <w:r>
        <w:rPr>
          <w:rFonts w:hint="eastAsia" w:ascii="仿宋" w:hAnsi="仿宋" w:eastAsia="仿宋"/>
          <w:sz w:val="32"/>
          <w:szCs w:val="32"/>
          <w:lang w:val="en-US" w:eastAsia="zh-CN"/>
        </w:rPr>
        <w:t>吴涛</w:t>
      </w:r>
      <w:r>
        <w:rPr>
          <w:rFonts w:hint="eastAsia" w:ascii="仿宋" w:hAnsi="仿宋" w:eastAsia="仿宋"/>
          <w:sz w:val="32"/>
          <w:szCs w:val="32"/>
        </w:rPr>
        <w:t>担任，成员包括各业务科室、财务主管部门主要负责人，按照通知要求，评价组事先制定了自评工作方案，明确评价内容、评价程序及时间安排，并组织各委员会召开专题会议，要求各委员会提前准备相关资料，积极配合做好自评工作。</w:t>
      </w:r>
    </w:p>
    <w:p w14:paraId="0E8B7A5B">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1E4FA3B2">
      <w:pPr>
        <w:ind w:firstLine="640"/>
        <w:rPr>
          <w:rFonts w:ascii="仿宋" w:hAnsi="仿宋" w:eastAsia="仿宋"/>
          <w:sz w:val="32"/>
          <w:szCs w:val="32"/>
        </w:rPr>
      </w:pPr>
      <w:r>
        <w:rPr>
          <w:rFonts w:hint="eastAsia" w:ascii="仿宋" w:hAnsi="仿宋" w:eastAsia="仿宋"/>
          <w:sz w:val="32"/>
          <w:szCs w:val="32"/>
        </w:rPr>
        <w:t>评价以20</w:t>
      </w:r>
      <w:r>
        <w:rPr>
          <w:rFonts w:hint="eastAsia" w:ascii="仿宋" w:hAnsi="仿宋" w:eastAsia="仿宋"/>
          <w:sz w:val="32"/>
          <w:szCs w:val="32"/>
          <w:lang w:val="en-US" w:eastAsia="zh-CN"/>
        </w:rPr>
        <w:t>24</w:t>
      </w:r>
      <w:r>
        <w:rPr>
          <w:rFonts w:hint="eastAsia" w:ascii="仿宋" w:hAnsi="仿宋" w:eastAsia="仿宋"/>
          <w:sz w:val="32"/>
          <w:szCs w:val="32"/>
        </w:rPr>
        <w:t>年初预算确定的项目绩效目标和绩效指标为依据，通过对相关账目进行核实，对比各绩效指标完成情况，进一步分析和总结，对</w:t>
      </w:r>
      <w:r>
        <w:rPr>
          <w:rFonts w:hint="eastAsia" w:ascii="仿宋" w:hAnsi="仿宋" w:eastAsia="仿宋"/>
          <w:sz w:val="32"/>
          <w:szCs w:val="32"/>
          <w:lang w:val="en-US" w:eastAsia="zh-CN"/>
        </w:rPr>
        <w:t>10</w:t>
      </w:r>
      <w:r>
        <w:rPr>
          <w:rFonts w:hint="eastAsia" w:ascii="仿宋" w:hAnsi="仿宋" w:eastAsia="仿宋"/>
          <w:sz w:val="32"/>
          <w:szCs w:val="32"/>
        </w:rPr>
        <w:t>个项目进行了自评价，并完成《部门专项项目绩效自评表》。</w:t>
      </w:r>
    </w:p>
    <w:p w14:paraId="35E2C716">
      <w:pPr>
        <w:numPr>
          <w:ilvl w:val="0"/>
          <w:numId w:val="0"/>
        </w:numPr>
        <w:spacing w:line="560" w:lineRule="exact"/>
        <w:rPr>
          <w:rFonts w:hint="default" w:ascii="楷体" w:hAnsi="楷体" w:eastAsia="楷体" w:cs="楷体_GB2312"/>
          <w:bCs/>
          <w:sz w:val="32"/>
          <w:szCs w:val="32"/>
          <w:lang w:val="en-US" w:eastAsia="zh-CN"/>
        </w:rPr>
      </w:pPr>
    </w:p>
    <w:p w14:paraId="4C98512E">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55144EA5">
      <w:pPr>
        <w:numPr>
          <w:ilvl w:val="0"/>
          <w:numId w:val="3"/>
        </w:numPr>
        <w:spacing w:line="560" w:lineRule="exact"/>
        <w:ind w:left="0"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3F3DBBF4">
      <w:pPr>
        <w:pStyle w:val="1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2024年区委宣传部将认真贯彻落实党二十届全会，牢牢把握党在意识形态领域的领导权、话语权、管理权，为加快实现矿区“全面转型、绿色崛起”奋斗目标、争创国家级转型发展示范区，提供坚强思想保证、强大精神动力、有力舆论支持和良好文化条件。</w:t>
      </w:r>
    </w:p>
    <w:p w14:paraId="00C42F6A">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1F2F38D4">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组织部基本完成年初分项绩效目标：</w:t>
      </w:r>
    </w:p>
    <w:p w14:paraId="0602EEE3">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（一） 宣传思想理论武装工作</w:t>
      </w:r>
    </w:p>
    <w:p w14:paraId="4A15073F">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绩效目标：高标准完成全年中心组学习及意识形态考核任务</w:t>
      </w:r>
    </w:p>
    <w:p w14:paraId="66EE2C81">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绩效指标：结合中央省市区重要精神部署和“不忘初心、牢记使命”主题教育等各类主题教育活动，高标准完成全年不低于24次中心组学习任务；按照时间节点完成全年百姓讲坛讲座10场；扎实开展宣传文化示范村、宣传思想文化工作示范社区的创建工作；撰写理论文章不少于3篇。统筹协调全区党的意识形态工作，贯彻落实区委关于意识形态工作决策部署，组织协调意识形态工作责任制落实和日常监督检查</w:t>
      </w:r>
    </w:p>
    <w:p w14:paraId="5EBD6B2D">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（二）新闻宣传工作</w:t>
      </w:r>
    </w:p>
    <w:p w14:paraId="5FDB753B">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绩效目标：加大媒体宣传力度，提高矿区知名度美誉度。</w:t>
      </w:r>
    </w:p>
    <w:p w14:paraId="69298A20">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 xml:space="preserve">绩效指标：争取2024年在市级以上媒体尤其是中央媒体实现新的突破；通讯员轮训制度；加强新闻理论学习，与各级媒体记者加强交流，不断提升科室人员自身业务素质。指导协调有关部门研究拟订全区对外宣传事业发展规划，组织协调我区对外宣传文化交流工作，会同有关部门做好境外记者采访事务方面工作 。 </w:t>
      </w:r>
    </w:p>
    <w:p w14:paraId="19BCAFF2">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（三）文化艺术工作及“扫黄打非”出版发行等工作</w:t>
      </w:r>
    </w:p>
    <w:p w14:paraId="15948BD6">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绩效目标：组织开展好各类文化活动，圆满完成全区出版发行及“扫黄打非”各项工作任务。</w:t>
      </w:r>
    </w:p>
    <w:p w14:paraId="74E5A64C">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绩效指标：组织好“春节连庄会”、“彩色周末”、“社火文化街”等重大吉庆节日群众性文化活动；加大培育文艺精品生产创作；承指导监管全区电影制片、发行、放映工作，做好全区印刷、复制、出版物发行单位和业务的监督管理工作，对出版物发行单位进行年度核验，审核印刷复制企业年度报告，贯彻落实国家、省市“扫黄打非”工作方针政策，拟订全区“扫黄打非”行动方案并组织实施；组织、指导、协调全区“扫黄打非”工作，组织查处非法和违禁出版传播活动的大案要案。</w:t>
      </w:r>
    </w:p>
    <w:p w14:paraId="3E7AE516">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（四）精神文明建设工作</w:t>
      </w:r>
    </w:p>
    <w:p w14:paraId="58D2BAC9">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绩效目标：圆满完成创建省级文明城区任务，组织开展好各行各业道德模范、身边好人等评选活动。</w:t>
      </w:r>
    </w:p>
    <w:p w14:paraId="2087ABDE">
      <w:pPr>
        <w:widowControl w:val="0"/>
        <w:wordWrap/>
        <w:spacing w:line="560" w:lineRule="exact"/>
        <w:ind w:left="0" w:leftChars="0" w:right="0" w:firstLine="640" w:firstLineChars="200"/>
        <w:textAlignment w:val="auto"/>
        <w:outlineLvl w:val="9"/>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绩效指标：加强道德模范选树宣传；做好家庭文明创建和文明家庭评选管理；组织道德模范、身边好人推荐评选和宣传、管理工作，协调推进全国文明城市、省级文明城区创建工作；组织行业和窗口单位精神文明创建；组织“讲文明、树新风”活动和文明创建公益广告宣传工作；协调推进文明旅游和诚信制度化工作。负责全区志愿服务活动的总体规划和协调指导工作；组织开展志愿服务活动，建设志愿服务站点，组织培训交流，宣传推介先进典型，推进志愿服务制度化建设；指导社会公益组织开展志愿服务活动。</w:t>
      </w:r>
    </w:p>
    <w:p w14:paraId="753B5BD7">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32149DDC">
      <w:pPr>
        <w:spacing w:line="560" w:lineRule="exact"/>
        <w:ind w:firstLine="640" w:firstLineChars="200"/>
        <w:rPr>
          <w:rFonts w:ascii="仿宋" w:hAnsi="仿宋" w:eastAsia="仿宋"/>
          <w:sz w:val="32"/>
          <w:szCs w:val="32"/>
        </w:rPr>
      </w:pPr>
      <w:r>
        <w:rPr>
          <w:rFonts w:hint="eastAsia" w:ascii="仿宋" w:hAnsi="仿宋" w:eastAsia="仿宋"/>
          <w:sz w:val="32"/>
          <w:szCs w:val="32"/>
        </w:rPr>
        <w:t>根据</w:t>
      </w:r>
      <w:r>
        <w:rPr>
          <w:rFonts w:hint="eastAsia" w:ascii="仿宋" w:hAnsi="仿宋" w:eastAsia="仿宋"/>
          <w:sz w:val="32"/>
          <w:szCs w:val="32"/>
          <w:lang w:eastAsia="zh-CN"/>
        </w:rPr>
        <w:t>职责定位和各项工作履职情况进行综合评价</w:t>
      </w:r>
      <w:r>
        <w:rPr>
          <w:rFonts w:hint="eastAsia" w:ascii="仿宋" w:hAnsi="仿宋" w:eastAsia="仿宋"/>
          <w:sz w:val="32"/>
          <w:szCs w:val="32"/>
        </w:rPr>
        <w:t>，</w:t>
      </w:r>
      <w:r>
        <w:rPr>
          <w:rFonts w:hint="eastAsia" w:ascii="仿宋" w:hAnsi="仿宋" w:eastAsia="仿宋"/>
          <w:sz w:val="32"/>
          <w:szCs w:val="32"/>
          <w:lang w:eastAsia="zh-CN"/>
        </w:rPr>
        <w:t>我部整体支出</w:t>
      </w:r>
      <w:r>
        <w:rPr>
          <w:rFonts w:hint="eastAsia" w:ascii="仿宋" w:hAnsi="仿宋" w:eastAsia="仿宋"/>
          <w:sz w:val="32"/>
          <w:szCs w:val="32"/>
        </w:rPr>
        <w:t>综合绩效评价</w:t>
      </w:r>
      <w:r>
        <w:rPr>
          <w:rFonts w:hint="eastAsia" w:ascii="仿宋" w:hAnsi="仿宋" w:eastAsia="仿宋"/>
          <w:sz w:val="32"/>
          <w:szCs w:val="32"/>
          <w:lang w:eastAsia="zh-CN"/>
        </w:rPr>
        <w:t>为</w:t>
      </w:r>
      <w:r>
        <w:rPr>
          <w:rFonts w:hint="eastAsia" w:ascii="仿宋" w:hAnsi="仿宋" w:eastAsia="仿宋"/>
          <w:sz w:val="32"/>
          <w:szCs w:val="32"/>
          <w:lang w:val="en-US" w:eastAsia="zh-CN"/>
        </w:rPr>
        <w:t>优秀，得99分</w:t>
      </w:r>
    </w:p>
    <w:p w14:paraId="789B8616">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2BE431C4">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471E8558">
      <w:pPr>
        <w:widowControl w:val="0"/>
        <w:wordWrap/>
        <w:spacing w:line="560" w:lineRule="exact"/>
        <w:ind w:left="0" w:leftChars="0" w:right="0" w:firstLine="640" w:firstLineChars="200"/>
        <w:textAlignment w:val="auto"/>
        <w:outlineLvl w:val="9"/>
        <w:rPr>
          <w:rFonts w:hint="eastAsia" w:ascii="楷体" w:hAnsi="楷体" w:eastAsia="楷体"/>
          <w:bCs/>
          <w:sz w:val="32"/>
          <w:szCs w:val="32"/>
        </w:rPr>
      </w:pPr>
      <w:r>
        <w:rPr>
          <w:rFonts w:hint="eastAsia" w:ascii="仿宋" w:hAnsi="仿宋" w:eastAsia="仿宋"/>
          <w:b w:val="0"/>
          <w:bCs w:val="0"/>
          <w:sz w:val="32"/>
          <w:szCs w:val="32"/>
          <w:lang w:val="en-US" w:eastAsia="zh-CN"/>
        </w:rPr>
        <w:t>受市委安排的临时性工作等不可抗力因素影响，宣传干部工作经费、文化活动补贴经费、创建文明城工作经费等存在不足，造成资金浪费或无法及时开展相关工作。下一步，我部将制定更精准的年初预算，提高资金使用效益，推动财政管理科学化、精细化水平。</w:t>
      </w:r>
    </w:p>
    <w:p w14:paraId="3E6DA7CD">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18495D63">
      <w:p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六、评价工作组人员名单及签字</w:t>
      </w:r>
    </w:p>
    <w:p w14:paraId="3C380540">
      <w:pPr>
        <w:adjustRightInd w:val="0"/>
        <w:snapToGrid w:val="0"/>
        <w:spacing w:line="560" w:lineRule="exact"/>
        <w:ind w:firstLine="640" w:firstLineChars="200"/>
        <w:rPr>
          <w:rFonts w:hint="eastAsia" w:ascii="黑体" w:hAnsi="黑体" w:eastAsia="黑体"/>
          <w:sz w:val="32"/>
          <w:szCs w:val="32"/>
        </w:rPr>
      </w:pPr>
    </w:p>
    <w:tbl>
      <w:tblPr>
        <w:tblStyle w:val="9"/>
        <w:tblW w:w="90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3"/>
        <w:gridCol w:w="4485"/>
        <w:gridCol w:w="3184"/>
      </w:tblGrid>
      <w:tr w14:paraId="47AA3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63" w:type="dxa"/>
          </w:tcPr>
          <w:p w14:paraId="2B224FAA">
            <w:pPr>
              <w:widowControl w:val="0"/>
              <w:wordWrap/>
              <w:spacing w:line="560" w:lineRule="exact"/>
              <w:ind w:right="0"/>
              <w:jc w:val="center"/>
              <w:textAlignment w:val="auto"/>
              <w:outlineLvl w:val="9"/>
              <w:rPr>
                <w:rFonts w:hint="eastAsia" w:ascii="黑体" w:hAnsi="黑体" w:eastAsia="黑体" w:cs="黑体"/>
                <w:color w:val="auto"/>
                <w:sz w:val="32"/>
                <w:szCs w:val="32"/>
                <w:lang w:eastAsia="zh-CN"/>
              </w:rPr>
            </w:pPr>
            <w:r>
              <w:rPr>
                <w:rFonts w:hint="eastAsia" w:ascii="黑体" w:hAnsi="黑体" w:eastAsia="黑体" w:cs="黑体"/>
                <w:color w:val="auto"/>
                <w:sz w:val="32"/>
                <w:szCs w:val="32"/>
                <w:lang w:eastAsia="zh-CN"/>
              </w:rPr>
              <w:t>姓名</w:t>
            </w:r>
          </w:p>
        </w:tc>
        <w:tc>
          <w:tcPr>
            <w:tcW w:w="4485" w:type="dxa"/>
          </w:tcPr>
          <w:p w14:paraId="25573EC2">
            <w:pPr>
              <w:widowControl w:val="0"/>
              <w:wordWrap/>
              <w:spacing w:line="560" w:lineRule="exact"/>
              <w:ind w:right="0"/>
              <w:jc w:val="center"/>
              <w:textAlignment w:val="auto"/>
              <w:outlineLvl w:val="9"/>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单位及职务</w:t>
            </w:r>
          </w:p>
        </w:tc>
        <w:tc>
          <w:tcPr>
            <w:tcW w:w="3184" w:type="dxa"/>
          </w:tcPr>
          <w:p w14:paraId="64D7DCC9">
            <w:pPr>
              <w:widowControl w:val="0"/>
              <w:wordWrap/>
              <w:spacing w:line="560" w:lineRule="exact"/>
              <w:ind w:left="0" w:leftChars="0" w:right="0" w:firstLine="640" w:firstLineChars="200"/>
              <w:jc w:val="center"/>
              <w:textAlignment w:val="auto"/>
              <w:outlineLvl w:val="9"/>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签字</w:t>
            </w:r>
          </w:p>
        </w:tc>
      </w:tr>
      <w:tr w14:paraId="45532F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363" w:type="dxa"/>
            <w:vAlign w:val="center"/>
          </w:tcPr>
          <w:p w14:paraId="117E0C40">
            <w:pPr>
              <w:widowControl w:val="0"/>
              <w:wordWrap/>
              <w:spacing w:line="560" w:lineRule="exact"/>
              <w:ind w:right="0"/>
              <w:jc w:val="center"/>
              <w:textAlignment w:val="auto"/>
              <w:outlineLvl w:val="9"/>
              <w:rPr>
                <w:rFonts w:hint="default" w:ascii="仿宋" w:hAnsi="仿宋" w:eastAsia="仿宋"/>
                <w:color w:val="auto"/>
                <w:sz w:val="32"/>
                <w:szCs w:val="32"/>
                <w:lang w:val="en-US" w:eastAsia="zh-CN"/>
              </w:rPr>
            </w:pPr>
            <w:r>
              <w:rPr>
                <w:rFonts w:hint="eastAsia" w:ascii="仿宋" w:hAnsi="仿宋" w:eastAsia="仿宋"/>
                <w:color w:val="auto"/>
                <w:sz w:val="32"/>
                <w:szCs w:val="32"/>
                <w:lang w:val="en-US" w:eastAsia="zh-CN"/>
              </w:rPr>
              <w:t>李永强</w:t>
            </w:r>
          </w:p>
        </w:tc>
        <w:tc>
          <w:tcPr>
            <w:tcW w:w="4485" w:type="dxa"/>
            <w:vAlign w:val="center"/>
          </w:tcPr>
          <w:p w14:paraId="194A765E">
            <w:pPr>
              <w:widowControl w:val="0"/>
              <w:wordWrap/>
              <w:spacing w:line="560" w:lineRule="exact"/>
              <w:ind w:right="0"/>
              <w:jc w:val="center"/>
              <w:textAlignment w:val="auto"/>
              <w:outlineLvl w:val="9"/>
              <w:rPr>
                <w:rFonts w:hint="eastAsia" w:ascii="仿宋" w:hAnsi="仿宋" w:eastAsia="仿宋"/>
                <w:color w:val="auto"/>
                <w:sz w:val="32"/>
                <w:szCs w:val="32"/>
                <w:lang w:val="en-US" w:eastAsia="zh-CN"/>
              </w:rPr>
            </w:pPr>
            <w:r>
              <w:rPr>
                <w:rFonts w:hint="eastAsia" w:ascii="仿宋" w:hAnsi="仿宋" w:eastAsia="仿宋"/>
                <w:color w:val="auto"/>
                <w:sz w:val="32"/>
                <w:szCs w:val="32"/>
                <w:lang w:val="en-US" w:eastAsia="zh-CN"/>
              </w:rPr>
              <w:t>井陉矿区委宣传部常务副部长</w:t>
            </w:r>
          </w:p>
        </w:tc>
        <w:tc>
          <w:tcPr>
            <w:tcW w:w="3184" w:type="dxa"/>
            <w:vAlign w:val="top"/>
          </w:tcPr>
          <w:p w14:paraId="69016F5F">
            <w:pPr>
              <w:widowControl w:val="0"/>
              <w:wordWrap/>
              <w:spacing w:line="560" w:lineRule="exact"/>
              <w:ind w:right="0"/>
              <w:jc w:val="center"/>
              <w:textAlignment w:val="auto"/>
              <w:outlineLvl w:val="9"/>
              <w:rPr>
                <w:rFonts w:hint="eastAsia" w:ascii="仿宋" w:hAnsi="仿宋" w:eastAsia="仿宋"/>
                <w:color w:val="auto"/>
                <w:sz w:val="32"/>
                <w:szCs w:val="32"/>
                <w:lang w:val="en-US" w:eastAsia="zh-CN"/>
              </w:rPr>
            </w:pPr>
          </w:p>
        </w:tc>
      </w:tr>
      <w:tr w14:paraId="54247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363" w:type="dxa"/>
            <w:vAlign w:val="center"/>
          </w:tcPr>
          <w:p w14:paraId="1E845E28">
            <w:pPr>
              <w:widowControl w:val="0"/>
              <w:wordWrap/>
              <w:spacing w:line="560" w:lineRule="exact"/>
              <w:ind w:right="0"/>
              <w:jc w:val="center"/>
              <w:textAlignment w:val="auto"/>
              <w:outlineLvl w:val="9"/>
              <w:rPr>
                <w:rFonts w:hint="eastAsia" w:ascii="仿宋" w:hAnsi="仿宋" w:eastAsia="仿宋"/>
                <w:color w:val="auto"/>
                <w:sz w:val="32"/>
                <w:szCs w:val="32"/>
                <w:lang w:val="en-US" w:eastAsia="zh-CN"/>
              </w:rPr>
            </w:pPr>
            <w:r>
              <w:rPr>
                <w:rFonts w:hint="eastAsia" w:ascii="仿宋" w:hAnsi="仿宋" w:eastAsia="仿宋"/>
                <w:color w:val="auto"/>
                <w:sz w:val="32"/>
                <w:szCs w:val="32"/>
                <w:lang w:val="en-US" w:eastAsia="zh-CN"/>
              </w:rPr>
              <w:t>高敏</w:t>
            </w:r>
          </w:p>
        </w:tc>
        <w:tc>
          <w:tcPr>
            <w:tcW w:w="4485" w:type="dxa"/>
            <w:vAlign w:val="center"/>
          </w:tcPr>
          <w:p w14:paraId="093F715C">
            <w:pPr>
              <w:widowControl w:val="0"/>
              <w:wordWrap/>
              <w:spacing w:line="560" w:lineRule="exact"/>
              <w:ind w:right="0"/>
              <w:jc w:val="center"/>
              <w:textAlignment w:val="auto"/>
              <w:outlineLvl w:val="9"/>
              <w:rPr>
                <w:rFonts w:hint="eastAsia" w:ascii="仿宋" w:hAnsi="仿宋" w:eastAsia="仿宋"/>
                <w:color w:val="auto"/>
                <w:sz w:val="32"/>
                <w:szCs w:val="32"/>
                <w:lang w:val="en-US" w:eastAsia="zh-CN"/>
              </w:rPr>
            </w:pPr>
            <w:r>
              <w:rPr>
                <w:rFonts w:hint="eastAsia" w:ascii="仿宋" w:hAnsi="仿宋" w:eastAsia="仿宋"/>
                <w:color w:val="auto"/>
                <w:sz w:val="32"/>
                <w:szCs w:val="32"/>
                <w:lang w:val="en-US" w:eastAsia="zh-CN"/>
              </w:rPr>
              <w:t>井陉矿区委宣传部副部长</w:t>
            </w:r>
          </w:p>
        </w:tc>
        <w:tc>
          <w:tcPr>
            <w:tcW w:w="3184" w:type="dxa"/>
            <w:vAlign w:val="top"/>
          </w:tcPr>
          <w:p w14:paraId="31922349">
            <w:pPr>
              <w:widowControl w:val="0"/>
              <w:wordWrap/>
              <w:spacing w:line="560" w:lineRule="exact"/>
              <w:ind w:right="0"/>
              <w:jc w:val="center"/>
              <w:textAlignment w:val="auto"/>
              <w:outlineLvl w:val="9"/>
              <w:rPr>
                <w:rFonts w:hint="eastAsia" w:ascii="仿宋" w:hAnsi="仿宋" w:eastAsia="仿宋"/>
                <w:color w:val="auto"/>
                <w:sz w:val="32"/>
                <w:szCs w:val="32"/>
                <w:lang w:val="en-US" w:eastAsia="zh-CN"/>
              </w:rPr>
            </w:pPr>
          </w:p>
        </w:tc>
      </w:tr>
      <w:tr w14:paraId="2F4E9A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363" w:type="dxa"/>
            <w:vAlign w:val="center"/>
          </w:tcPr>
          <w:p w14:paraId="78A35121">
            <w:pPr>
              <w:widowControl w:val="0"/>
              <w:wordWrap/>
              <w:spacing w:line="560" w:lineRule="exact"/>
              <w:ind w:right="0" w:rightChars="0"/>
              <w:jc w:val="center"/>
              <w:textAlignment w:val="auto"/>
              <w:outlineLvl w:val="9"/>
              <w:rPr>
                <w:rFonts w:hint="eastAsia" w:ascii="仿宋" w:hAnsi="仿宋" w:eastAsia="仿宋" w:cs="黑体"/>
                <w:color w:val="auto"/>
                <w:kern w:val="2"/>
                <w:sz w:val="32"/>
                <w:szCs w:val="32"/>
                <w:lang w:val="en-US" w:eastAsia="zh-CN" w:bidi="ar-SA"/>
              </w:rPr>
            </w:pPr>
            <w:r>
              <w:rPr>
                <w:rFonts w:hint="eastAsia" w:ascii="仿宋" w:hAnsi="仿宋" w:eastAsia="仿宋"/>
                <w:color w:val="auto"/>
                <w:sz w:val="32"/>
                <w:szCs w:val="32"/>
                <w:lang w:val="en-US" w:eastAsia="zh-CN"/>
              </w:rPr>
              <w:t>屈会明</w:t>
            </w:r>
          </w:p>
        </w:tc>
        <w:tc>
          <w:tcPr>
            <w:tcW w:w="4485" w:type="dxa"/>
            <w:vAlign w:val="center"/>
          </w:tcPr>
          <w:p w14:paraId="278D1909">
            <w:pPr>
              <w:widowControl w:val="0"/>
              <w:wordWrap/>
              <w:spacing w:line="560" w:lineRule="exact"/>
              <w:ind w:right="0" w:rightChars="0"/>
              <w:jc w:val="center"/>
              <w:textAlignment w:val="auto"/>
              <w:outlineLvl w:val="9"/>
              <w:rPr>
                <w:rFonts w:hint="eastAsia" w:ascii="仿宋" w:hAnsi="仿宋" w:eastAsia="仿宋" w:cs="黑体"/>
                <w:color w:val="auto"/>
                <w:kern w:val="2"/>
                <w:sz w:val="32"/>
                <w:szCs w:val="32"/>
                <w:lang w:val="en-US" w:eastAsia="zh-CN" w:bidi="ar-SA"/>
              </w:rPr>
            </w:pPr>
            <w:r>
              <w:rPr>
                <w:rFonts w:hint="eastAsia" w:ascii="仿宋" w:hAnsi="仿宋" w:eastAsia="仿宋"/>
                <w:color w:val="auto"/>
                <w:sz w:val="32"/>
                <w:szCs w:val="32"/>
                <w:lang w:val="en-US" w:eastAsia="zh-CN"/>
              </w:rPr>
              <w:t>井陉矿区委宣传部部务会成员</w:t>
            </w:r>
          </w:p>
        </w:tc>
        <w:tc>
          <w:tcPr>
            <w:tcW w:w="3184" w:type="dxa"/>
            <w:vAlign w:val="top"/>
          </w:tcPr>
          <w:p w14:paraId="1929D5DE">
            <w:pPr>
              <w:widowControl w:val="0"/>
              <w:wordWrap/>
              <w:spacing w:line="560" w:lineRule="exact"/>
              <w:ind w:right="0"/>
              <w:jc w:val="center"/>
              <w:textAlignment w:val="auto"/>
              <w:outlineLvl w:val="9"/>
              <w:rPr>
                <w:rFonts w:hint="eastAsia" w:ascii="仿宋" w:hAnsi="仿宋" w:eastAsia="仿宋"/>
                <w:color w:val="auto"/>
                <w:sz w:val="32"/>
                <w:szCs w:val="32"/>
                <w:lang w:val="en-US" w:eastAsia="zh-CN"/>
              </w:rPr>
            </w:pPr>
          </w:p>
        </w:tc>
      </w:tr>
      <w:tr w14:paraId="165C4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363" w:type="dxa"/>
            <w:vAlign w:val="center"/>
          </w:tcPr>
          <w:p w14:paraId="1FCF7EAA">
            <w:pPr>
              <w:widowControl w:val="0"/>
              <w:wordWrap/>
              <w:spacing w:line="560" w:lineRule="exact"/>
              <w:ind w:right="0"/>
              <w:jc w:val="center"/>
              <w:textAlignment w:val="auto"/>
              <w:outlineLvl w:val="9"/>
              <w:rPr>
                <w:rFonts w:hint="eastAsia" w:ascii="仿宋" w:hAnsi="仿宋" w:eastAsia="仿宋"/>
                <w:color w:val="auto"/>
                <w:sz w:val="32"/>
                <w:szCs w:val="32"/>
                <w:lang w:val="en-US" w:eastAsia="zh-CN"/>
              </w:rPr>
            </w:pPr>
            <w:r>
              <w:rPr>
                <w:rFonts w:hint="eastAsia" w:ascii="仿宋" w:hAnsi="仿宋" w:eastAsia="仿宋"/>
                <w:color w:val="auto"/>
                <w:sz w:val="32"/>
                <w:szCs w:val="32"/>
                <w:lang w:val="en-US" w:eastAsia="zh-CN"/>
              </w:rPr>
              <w:t>王云霞</w:t>
            </w:r>
          </w:p>
        </w:tc>
        <w:tc>
          <w:tcPr>
            <w:tcW w:w="4485" w:type="dxa"/>
            <w:vAlign w:val="center"/>
          </w:tcPr>
          <w:p w14:paraId="0FE778D9">
            <w:pPr>
              <w:widowControl w:val="0"/>
              <w:wordWrap/>
              <w:spacing w:line="560" w:lineRule="exact"/>
              <w:ind w:right="0"/>
              <w:jc w:val="center"/>
              <w:textAlignment w:val="auto"/>
              <w:outlineLvl w:val="9"/>
              <w:rPr>
                <w:rFonts w:hint="eastAsia" w:ascii="仿宋" w:hAnsi="仿宋" w:eastAsia="仿宋"/>
                <w:color w:val="auto"/>
                <w:sz w:val="32"/>
                <w:szCs w:val="32"/>
                <w:lang w:val="en-US" w:eastAsia="zh-CN"/>
              </w:rPr>
            </w:pPr>
            <w:r>
              <w:rPr>
                <w:rFonts w:hint="eastAsia" w:ascii="仿宋" w:hAnsi="仿宋" w:eastAsia="仿宋"/>
                <w:color w:val="auto"/>
                <w:sz w:val="32"/>
                <w:szCs w:val="32"/>
                <w:lang w:val="en-US" w:eastAsia="zh-CN"/>
              </w:rPr>
              <w:t>井陉矿区委宣传部科员</w:t>
            </w:r>
          </w:p>
        </w:tc>
        <w:tc>
          <w:tcPr>
            <w:tcW w:w="3184" w:type="dxa"/>
            <w:vAlign w:val="top"/>
          </w:tcPr>
          <w:p w14:paraId="026FFDFB">
            <w:pPr>
              <w:widowControl w:val="0"/>
              <w:wordWrap/>
              <w:spacing w:line="560" w:lineRule="exact"/>
              <w:ind w:right="0"/>
              <w:jc w:val="center"/>
              <w:textAlignment w:val="auto"/>
              <w:outlineLvl w:val="9"/>
              <w:rPr>
                <w:rFonts w:hint="eastAsia" w:ascii="仿宋" w:hAnsi="仿宋" w:eastAsia="仿宋"/>
                <w:color w:val="auto"/>
                <w:sz w:val="32"/>
                <w:szCs w:val="32"/>
                <w:lang w:val="en-US" w:eastAsia="zh-CN"/>
              </w:rPr>
            </w:pPr>
          </w:p>
        </w:tc>
      </w:tr>
    </w:tbl>
    <w:p w14:paraId="2099752F">
      <w:pPr>
        <w:adjustRightInd w:val="0"/>
        <w:snapToGrid w:val="0"/>
        <w:spacing w:line="560" w:lineRule="exact"/>
        <w:ind w:firstLine="640" w:firstLineChars="200"/>
        <w:rPr>
          <w:rFonts w:ascii="黑体" w:hAnsi="黑体" w:eastAsia="黑体"/>
          <w:sz w:val="32"/>
          <w:szCs w:val="32"/>
        </w:rPr>
      </w:pPr>
    </w:p>
    <w:p w14:paraId="148B80B6">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仿宋_GBK">
    <w:panose1 w:val="02000000000000000000"/>
    <w:charset w:val="86"/>
    <w:family w:val="roman"/>
    <w:pitch w:val="default"/>
    <w:sig w:usb0="A00002BF" w:usb1="38CF7CFA" w:usb2="00082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DCECD6">
    <w:pPr>
      <w:pStyle w:val="6"/>
    </w:pPr>
    <w:r>
      <mc:AlternateContent>
        <mc:Choice Requires="wps">
          <w:drawing>
            <wp:anchor distT="0" distB="0" distL="90805" distR="90805" simplePos="0" relativeHeight="251659264" behindDoc="0" locked="0" layoutInCell="1" allowOverlap="1">
              <wp:simplePos x="0" y="0"/>
              <wp:positionH relativeFrom="margin">
                <wp:align>center</wp:align>
              </wp:positionH>
              <wp:positionV relativeFrom="paragraph">
                <wp:posOffset>0</wp:posOffset>
              </wp:positionV>
              <wp:extent cx="209550" cy="162560"/>
              <wp:effectExtent l="0" t="0" r="0" b="0"/>
              <wp:wrapNone/>
              <wp:docPr id="1" name="Quad Arrow 3073"/>
              <wp:cNvGraphicFramePr/>
              <a:graphic xmlns:a="http://schemas.openxmlformats.org/drawingml/2006/main">
                <a:graphicData uri="http://schemas.microsoft.com/office/word/2010/wordprocessingShape">
                  <wps:wsp>
                    <wps:cNvSpPr/>
                    <wps:spPr>
                      <a:xfrm>
                        <a:off x="0" y="0"/>
                        <a:ext cx="209492" cy="162820"/>
                      </a:xfrm>
                      <a:prstGeom prst="rect">
                        <a:avLst/>
                      </a:prstGeom>
                      <a:noFill/>
                      <a:ln w="9525" cap="flat" cmpd="sng">
                        <a:noFill/>
                        <a:prstDash val="solid"/>
                        <a:miter/>
                      </a:ln>
                    </wps:spPr>
                    <wps:txbx>
                      <w:txbxContent>
                        <w:p w14:paraId="5666B71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8pt;width:16.5pt;mso-position-horizontal:center;mso-position-horizontal-relative:margin;mso-wrap-style:none;z-index:251659264;mso-width-relative:page;mso-height-relative:page;" filled="f" stroked="f" coordsize="21600,21600" o:gfxdata="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1qUiZ0QAAAAMBAAAPAAAAAAAAAAEAIAAAACIAAABkcnMvZG93bnJldi54bWxQSwEC&#10;FAAUAAAACACHTuJAh+iDI/sBAAD4AwAADgAAAAAAAAABACAAAAAgAQAAZHJzL2Uyb0RvYy54bWxQ&#10;SwUGAAAAAAYABgBZAQAAjQUAAAAA&#10;">
              <v:fill on="f" focussize="0,0"/>
              <v:stroke on="f" joinstyle="miter"/>
              <v:imagedata o:title=""/>
              <o:lock v:ext="edit" aspectratio="f"/>
              <v:textbox inset="0mm,0mm,0mm,0mm" style="mso-fit-shape-to-text:t;">
                <w:txbxContent>
                  <w:p w14:paraId="5666B71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0C078870"/>
    <w:multiLevelType w:val="singleLevel"/>
    <w:tmpl w:val="0C078870"/>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pPr>
        <w:ind w:left="0" w:firstLine="0"/>
      </w:pPr>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Y4ZDM3MWZhNDg5YzFkODQwMjMzNmQwMjUwYzNjNzgifQ=="/>
  </w:docVars>
  <w:rsids>
    <w:rsidRoot w:val="00000000"/>
    <w:rsid w:val="167C11CA"/>
    <w:rsid w:val="2865224F"/>
    <w:rsid w:val="2954393B"/>
    <w:rsid w:val="450016EB"/>
    <w:rsid w:val="508C1112"/>
    <w:rsid w:val="6176083D"/>
    <w:rsid w:val="706C22D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1"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autoRedefine/>
    <w:qFormat/>
    <w:uiPriority w:val="0"/>
    <w:pPr>
      <w:keepNext/>
      <w:keepLines/>
      <w:spacing w:before="340" w:after="330" w:line="578" w:lineRule="auto"/>
      <w:outlineLvl w:val="0"/>
    </w:pPr>
    <w:rPr>
      <w:b/>
      <w:bCs/>
      <w:kern w:val="44"/>
      <w:sz w:val="44"/>
      <w:szCs w:val="44"/>
    </w:rPr>
  </w:style>
  <w:style w:type="paragraph" w:styleId="3">
    <w:name w:val="heading 2"/>
    <w:basedOn w:val="1"/>
    <w:next w:val="1"/>
    <w:autoRedefine/>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autoRedefine/>
    <w:qFormat/>
    <w:uiPriority w:val="0"/>
    <w:pPr>
      <w:keepNext/>
      <w:keepLines/>
      <w:spacing w:before="260" w:after="260" w:line="415" w:lineRule="auto"/>
      <w:outlineLvl w:val="2"/>
    </w:pPr>
    <w:rPr>
      <w:b/>
      <w:bCs/>
      <w:sz w:val="32"/>
      <w:szCs w:val="32"/>
    </w:rPr>
  </w:style>
  <w:style w:type="paragraph" w:styleId="5">
    <w:name w:val="heading 6"/>
    <w:basedOn w:val="1"/>
    <w:next w:val="1"/>
    <w:unhideWhenUsed/>
    <w:qFormat/>
    <w:uiPriority w:val="0"/>
    <w:pPr>
      <w:keepNext/>
      <w:keepLines/>
      <w:tabs>
        <w:tab w:val="left" w:pos="1151"/>
      </w:tabs>
      <w:spacing w:before="240" w:after="64" w:line="320" w:lineRule="auto"/>
      <w:ind w:left="1151" w:hanging="1151"/>
      <w:outlineLvl w:val="5"/>
    </w:pPr>
    <w:rPr>
      <w:rFonts w:ascii="Cambria" w:hAnsi="Cambria"/>
      <w:b/>
      <w:bCs/>
    </w:rPr>
  </w:style>
  <w:style w:type="character" w:default="1" w:styleId="10">
    <w:name w:val="Default Paragraph Font"/>
    <w:autoRedefine/>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6">
    <w:name w:val="footer"/>
    <w:basedOn w:val="1"/>
    <w:autoRedefine/>
    <w:qFormat/>
    <w:uiPriority w:val="0"/>
    <w:pPr>
      <w:tabs>
        <w:tab w:val="center" w:pos="4153"/>
        <w:tab w:val="right" w:pos="8306"/>
      </w:tabs>
      <w:snapToGrid w:val="0"/>
      <w:jc w:val="left"/>
    </w:pPr>
    <w:rPr>
      <w:sz w:val="18"/>
    </w:rPr>
  </w:style>
  <w:style w:type="paragraph" w:styleId="7">
    <w:name w:val="header"/>
    <w:basedOn w:val="1"/>
    <w:autoRedefine/>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pPr>
    <w:rPr>
      <w:rFonts w:ascii="Times New Roman" w:hAnsi="Times New Roman"/>
      <w:sz w:val="18"/>
    </w:rPr>
  </w:style>
  <w:style w:type="table" w:styleId="9">
    <w:name w:val="Table Grid"/>
    <w:autoRedefine/>
    <w:qFormat/>
    <w:uiPriority w:val="1"/>
    <w:rPr>
      <w:rFonts w:ascii="Calibri" w:hAnsi="Calibri"/>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插入文本样式-插入部门职责文件"/>
    <w:basedOn w:val="1"/>
    <w:autoRedefine/>
    <w:qFormat/>
    <w:uiPriority w:val="0"/>
    <w:pPr>
      <w:spacing w:line="500" w:lineRule="exact"/>
      <w:ind w:firstLine="560"/>
    </w:pPr>
    <w:rPr>
      <w:rFonts w:eastAsia="方正仿宋_GBK"/>
      <w:sz w:val="28"/>
    </w:rPr>
  </w:style>
  <w:style w:type="paragraph" w:customStyle="1" w:styleId="12">
    <w:name w:val="插入文本样式-插入总体目标文件"/>
    <w:basedOn w:val="1"/>
    <w:autoRedefine/>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CD4C7BB-A523-4D9D-894D-9DF76CD21AC1}">
  <ds:schemaRefs/>
</ds:datastoreItem>
</file>

<file path=docProps/app.xml><?xml version="1.0" encoding="utf-8"?>
<Properties xmlns="http://schemas.openxmlformats.org/officeDocument/2006/extended-properties" xmlns:vt="http://schemas.openxmlformats.org/officeDocument/2006/docPropsVTypes">
  <Template>Normal.eit</Template>
  <Pages>7</Pages>
  <Words>3556</Words>
  <Characters>3641</Characters>
  <Lines>0</Lines>
  <Paragraphs>29</Paragraphs>
  <TotalTime>21</TotalTime>
  <ScaleCrop>false</ScaleCrop>
  <LinksUpToDate>false</LinksUpToDate>
  <CharactersWithSpaces>3661</CharactersWithSpaces>
  <Application>WPS Office_12.1.0.24034_F1E327BC-269C-435d-A152-05C5408002CA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FreefrAnk</cp:lastModifiedBy>
  <cp:lastPrinted>2024-03-06T07:40:00Z</cp:lastPrinted>
  <dcterms:modified xsi:type="dcterms:W3CDTF">2025-12-26T09:44:31Z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0FC6A1EFDE284B2A8124E5EA9B523F8A_13</vt:lpwstr>
  </property>
  <property fmtid="{D5CDD505-2E9C-101B-9397-08002B2CF9AE}" pid="4" name="KSOTemplateDocerSaveRecord">
    <vt:lpwstr>eyJoZGlkIjoiZjczMDZkNDRiZDdhZjExNTAyZWE2ZWI4OGU2YzBiY2EiLCJ1c2VySWQiOiIzMzAzNzY0NDcifQ==</vt:lpwstr>
  </property>
</Properties>
</file>