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84A909">
      <w:pPr>
        <w:widowControl w:val="0"/>
        <w:wordWrap/>
        <w:spacing w:line="560" w:lineRule="exact"/>
        <w:ind w:left="0" w:leftChars="0" w:right="0"/>
        <w:jc w:val="center"/>
        <w:textAlignment w:val="auto"/>
        <w:outlineLvl w:val="9"/>
        <w:rPr>
          <w:rFonts w:hint="eastAsia" w:ascii="宋体" w:hAnsi="宋体" w:cs="宋体"/>
          <w:b/>
          <w:bCs/>
          <w:sz w:val="44"/>
          <w:szCs w:val="44"/>
        </w:rPr>
      </w:pPr>
    </w:p>
    <w:p w14:paraId="6B90EC24">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区审计局2024年度</w:t>
      </w:r>
    </w:p>
    <w:p w14:paraId="44CF442F">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整体支出绩效</w:t>
      </w:r>
      <w:r>
        <w:rPr>
          <w:rFonts w:hint="eastAsia" w:ascii="宋体" w:hAnsi="宋体" w:cs="宋体"/>
          <w:b/>
          <w:bCs/>
          <w:sz w:val="44"/>
          <w:szCs w:val="44"/>
        </w:rPr>
        <w:t>自评报告</w:t>
      </w:r>
    </w:p>
    <w:p w14:paraId="1D86BF8E">
      <w:pPr>
        <w:widowControl w:val="0"/>
        <w:wordWrap/>
        <w:spacing w:line="560" w:lineRule="exact"/>
        <w:ind w:left="0" w:leftChars="0" w:right="0"/>
        <w:jc w:val="center"/>
        <w:textAlignment w:val="auto"/>
        <w:outlineLvl w:val="9"/>
        <w:rPr>
          <w:rFonts w:ascii="华文楷体" w:eastAsia="华文楷体"/>
          <w:sz w:val="32"/>
          <w:szCs w:val="32"/>
        </w:rPr>
      </w:pPr>
    </w:p>
    <w:p w14:paraId="00EA39FF">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石家庄市井陉矿区审计局</w:t>
      </w:r>
      <w:r>
        <w:rPr>
          <w:rFonts w:hint="eastAsia" w:ascii="仿宋" w:hAnsi="仿宋" w:eastAsia="仿宋"/>
          <w:sz w:val="32"/>
          <w:szCs w:val="32"/>
          <w:lang w:eastAsia="zh-CN"/>
        </w:rPr>
        <w:t>（下文简称“审计局”）</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1B5CD9E8">
      <w:pPr>
        <w:pageBreakBefore w:val="0"/>
        <w:widowControl w:val="0"/>
        <w:kinsoku/>
        <w:wordWrap/>
        <w:overflowPunct/>
        <w:topLinePunct w:val="0"/>
        <w:autoSpaceDE/>
        <w:autoSpaceDN/>
        <w:bidi w:val="0"/>
        <w:adjustRightInd w:val="0"/>
        <w:snapToGrid w:val="0"/>
        <w:spacing w:line="54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172EF14F">
      <w:pPr>
        <w:pageBreakBefore w:val="0"/>
        <w:widowControl w:val="0"/>
        <w:kinsoku/>
        <w:wordWrap/>
        <w:overflowPunct/>
        <w:topLinePunct w:val="0"/>
        <w:autoSpaceDE/>
        <w:autoSpaceDN/>
        <w:bidi w:val="0"/>
        <w:adjustRightInd w:val="0"/>
        <w:snapToGrid w:val="0"/>
        <w:spacing w:line="54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74117654">
      <w:pPr>
        <w:pStyle w:val="4"/>
        <w:pageBreakBefore w:val="0"/>
        <w:widowControl w:val="0"/>
        <w:kinsoku/>
        <w:wordWrap/>
        <w:overflowPunct/>
        <w:topLinePunct w:val="0"/>
        <w:autoSpaceDE/>
        <w:autoSpaceDN/>
        <w:bidi w:val="0"/>
        <w:adjustRightInd/>
        <w:snapToGrid/>
        <w:spacing w:before="0" w:beforeLines="0" w:beforeAutospacing="0" w:after="0" w:afterLines="0" w:afterAutospacing="0"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主要职能</w:t>
      </w:r>
    </w:p>
    <w:p w14:paraId="1E470142">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贯彻落实中央和省委、市委、区委关于审计工作的方针政策和决策部署，坚持和加强党对审计工作的集中统一领导。主要职责是：</w:t>
      </w:r>
    </w:p>
    <w:p w14:paraId="7AB4375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67C8976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p>
    <w:p w14:paraId="30E9B674">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向中共</w:t>
      </w:r>
      <w:r>
        <w:rPr>
          <w:rFonts w:hint="eastAsia" w:ascii="仿宋_GB2312" w:hAnsi="仿宋_GB2312" w:eastAsia="仿宋_GB2312" w:cs="仿宋_GB2312"/>
          <w:sz w:val="32"/>
          <w:szCs w:val="32"/>
          <w:lang w:eastAsia="zh-CN"/>
        </w:rPr>
        <w:t>井陉</w:t>
      </w:r>
      <w:r>
        <w:rPr>
          <w:rFonts w:hint="eastAsia" w:ascii="仿宋_GB2312" w:hAnsi="仿宋_GB2312" w:eastAsia="仿宋_GB2312" w:cs="仿宋_GB2312"/>
          <w:sz w:val="32"/>
          <w:szCs w:val="32"/>
        </w:rPr>
        <w:t>矿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1BBB63CF">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直接审计下列事项，出具审计报告，在法定职权范围内作出审计决定，包括国家和省、市、区有关重大政策措施贯彻落实情况；区本级预算执行情况和其他财政收支，区直各部门（含所属单位）预算执行情况、决算草案和其他财政收变；乡（镇）预算执行情况、决算草案和其他财政收支；中央、省和市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14:paraId="02ADB5CB">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）按规定对区管党政主要领导干部及其他单位主要负责人实施经济责任审计和自然资源资产离任审计。</w:t>
      </w:r>
    </w:p>
    <w:p w14:paraId="618A1337">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）组织实施对财经法律法规、规章、政策和宏观调控措施执行情况、财政预算管理及国有资产管理使用等与财政收支有关的特定事项进行专项审计调查。</w:t>
      </w:r>
    </w:p>
    <w:p w14:paraId="13434F80">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）依法检查审计决定执行情况，督促整改审计查出的问题，依法办理被审计单位对审计决定提请行政复议、行政诉讼或区政府裁决中的有关事项；协助配合有关部门查处相关重大案件。</w:t>
      </w:r>
    </w:p>
    <w:p w14:paraId="5CBB1E8E">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）指导和监督内部审计工作，核查社会审计机构对依消属于审计监督对象的单位出具的相关审计报告。</w:t>
      </w:r>
    </w:p>
    <w:p w14:paraId="2D8B75AF">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）会同区委机构编制委员会办公室，对党政机关及直属事业单位的机构设置、编制使用，以及有关机构编制规定的执行情况进行审计调查。</w:t>
      </w:r>
    </w:p>
    <w:p w14:paraId="5320FF10">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）完成区委、区政府和上级审计机关交办的其他任务。</w:t>
      </w:r>
    </w:p>
    <w:p w14:paraId="5DB8B8BF">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审计管理体制机制，加强全区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14:paraId="151CAFD3">
      <w:pPr>
        <w:pStyle w:val="4"/>
        <w:pageBreakBefore w:val="0"/>
        <w:widowControl w:val="0"/>
        <w:kinsoku/>
        <w:wordWrap/>
        <w:overflowPunct/>
        <w:topLinePunct w:val="0"/>
        <w:autoSpaceDE/>
        <w:autoSpaceDN/>
        <w:bidi w:val="0"/>
        <w:adjustRightInd/>
        <w:snapToGrid/>
        <w:spacing w:before="0" w:beforeLines="0" w:beforeAutospacing="0" w:after="0" w:afterLines="0" w:afterAutospacing="0"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机构情况</w:t>
      </w:r>
    </w:p>
    <w:p w14:paraId="41FC78E6">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机构</w:t>
      </w:r>
      <w:r>
        <w:rPr>
          <w:rFonts w:hint="eastAsia" w:ascii="仿宋_GB2312" w:hAnsi="仿宋_GB2312" w:eastAsia="仿宋_GB2312" w:cs="仿宋_GB2312"/>
          <w:sz w:val="32"/>
          <w:szCs w:val="32"/>
          <w:lang w:val="en-US" w:eastAsia="zh-CN"/>
        </w:rPr>
        <w:t>1个，内设办公室、财政审计股、行政事业审计股、固定资产投资审计股、经济责任审计股五个股室。</w:t>
      </w:r>
    </w:p>
    <w:p w14:paraId="2190D54E">
      <w:pPr>
        <w:pStyle w:val="4"/>
        <w:pageBreakBefore w:val="0"/>
        <w:widowControl w:val="0"/>
        <w:kinsoku/>
        <w:wordWrap/>
        <w:overflowPunct/>
        <w:topLinePunct w:val="0"/>
        <w:autoSpaceDE/>
        <w:autoSpaceDN/>
        <w:bidi w:val="0"/>
        <w:adjustRightInd/>
        <w:snapToGrid/>
        <w:spacing w:before="0" w:beforeLines="0" w:beforeAutospacing="0" w:after="0" w:afterLines="0" w:afterAutospacing="0"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人员情况</w:t>
      </w:r>
    </w:p>
    <w:p w14:paraId="326343A2">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在职</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人；退休人员</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人。</w:t>
      </w:r>
    </w:p>
    <w:p w14:paraId="5CC47BC9">
      <w:pPr>
        <w:pStyle w:val="4"/>
        <w:pageBreakBefore w:val="0"/>
        <w:widowControl w:val="0"/>
        <w:kinsoku/>
        <w:wordWrap/>
        <w:overflowPunct/>
        <w:topLinePunct w:val="0"/>
        <w:autoSpaceDE/>
        <w:autoSpaceDN/>
        <w:bidi w:val="0"/>
        <w:adjustRightInd/>
        <w:snapToGrid/>
        <w:spacing w:before="0" w:beforeLines="0" w:beforeAutospacing="0" w:after="0" w:afterLines="0" w:afterAutospacing="0"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4.资产情况</w:t>
      </w:r>
    </w:p>
    <w:p w14:paraId="30DB8D74">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在用</w:t>
      </w:r>
      <w:r>
        <w:rPr>
          <w:rFonts w:hint="eastAsia" w:ascii="仿宋_GB2312" w:hAnsi="仿宋_GB2312" w:eastAsia="仿宋_GB2312" w:cs="仿宋_GB2312"/>
          <w:sz w:val="32"/>
          <w:szCs w:val="32"/>
        </w:rPr>
        <w:t>资产</w:t>
      </w:r>
      <w:r>
        <w:rPr>
          <w:rFonts w:hint="eastAsia" w:ascii="仿宋_GB2312" w:hAnsi="仿宋_GB2312" w:eastAsia="仿宋_GB2312" w:cs="仿宋_GB2312"/>
          <w:sz w:val="32"/>
          <w:szCs w:val="32"/>
          <w:lang w:val="en-US" w:eastAsia="zh-CN"/>
        </w:rPr>
        <w:t>40.55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2024年报废资产0.67万元。</w:t>
      </w:r>
    </w:p>
    <w:p w14:paraId="7FD197C0">
      <w:pPr>
        <w:pageBreakBefore w:val="0"/>
        <w:widowControl w:val="0"/>
        <w:numPr>
          <w:ilvl w:val="0"/>
          <w:numId w:val="1"/>
        </w:numPr>
        <w:kinsoku/>
        <w:wordWrap/>
        <w:overflowPunct/>
        <w:topLinePunct w:val="0"/>
        <w:autoSpaceDE/>
        <w:autoSpaceDN/>
        <w:bidi w:val="0"/>
        <w:adjustRightInd w:val="0"/>
        <w:snapToGrid w:val="0"/>
        <w:spacing w:line="54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14:paraId="63CCEF7B">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2024年年初预算111.72万元，其中人员经费86.76万元，日常公用经费4.15万元，项目经费20.82万元。2023年年底财政拨款收入111.72万元，其中人员经费86.76万元，日常公用经费4.15万元，项目经费20.82万元。</w:t>
      </w:r>
    </w:p>
    <w:p w14:paraId="4AA67E8D">
      <w:pPr>
        <w:pageBreakBefore w:val="0"/>
        <w:widowControl w:val="0"/>
        <w:kinsoku/>
        <w:wordWrap/>
        <w:overflowPunct/>
        <w:topLinePunct w:val="0"/>
        <w:autoSpaceDE/>
        <w:autoSpaceDN/>
        <w:bidi w:val="0"/>
        <w:adjustRightInd w:val="0"/>
        <w:snapToGrid w:val="0"/>
        <w:spacing w:line="54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40DC7E78">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hd w:val="clear" w:color="auto" w:fill="FDFDFD"/>
        </w:rPr>
      </w:pPr>
      <w:r>
        <w:rPr>
          <w:rFonts w:hint="eastAsia" w:ascii="仿宋" w:hAnsi="仿宋" w:eastAsia="仿宋"/>
          <w:sz w:val="32"/>
          <w:shd w:val="clear" w:color="auto" w:fill="FDFDFD"/>
        </w:rPr>
        <w:t>总体目标：完成年度审计项目</w:t>
      </w:r>
      <w:r>
        <w:rPr>
          <w:rFonts w:hint="eastAsia" w:ascii="仿宋" w:hAnsi="仿宋" w:eastAsia="仿宋"/>
          <w:sz w:val="32"/>
          <w:shd w:val="clear" w:color="auto" w:fill="FDFDFD"/>
          <w:lang w:val="en-US" w:eastAsia="zh-CN"/>
        </w:rPr>
        <w:t>21</w:t>
      </w:r>
      <w:r>
        <w:rPr>
          <w:rFonts w:hint="eastAsia" w:ascii="仿宋" w:hAnsi="仿宋" w:eastAsia="仿宋"/>
          <w:sz w:val="32"/>
          <w:shd w:val="clear" w:color="auto" w:fill="FDFDFD"/>
        </w:rPr>
        <w:t>个，出具审计报告</w:t>
      </w:r>
      <w:r>
        <w:rPr>
          <w:rFonts w:hint="eastAsia" w:ascii="仿宋" w:hAnsi="仿宋" w:eastAsia="仿宋"/>
          <w:sz w:val="32"/>
          <w:shd w:val="clear" w:color="auto" w:fill="FDFDFD"/>
          <w:lang w:val="en-US" w:eastAsia="zh-CN"/>
        </w:rPr>
        <w:t>21</w:t>
      </w:r>
      <w:r>
        <w:rPr>
          <w:rFonts w:hint="eastAsia" w:ascii="仿宋" w:hAnsi="仿宋" w:eastAsia="仿宋"/>
          <w:sz w:val="32"/>
          <w:shd w:val="clear" w:color="auto" w:fill="FDFDFD"/>
        </w:rPr>
        <w:t>份，提出审计建议不少于</w:t>
      </w:r>
      <w:r>
        <w:rPr>
          <w:rFonts w:hint="eastAsia" w:ascii="仿宋" w:hAnsi="仿宋" w:eastAsia="仿宋"/>
          <w:sz w:val="32"/>
          <w:shd w:val="clear" w:color="auto" w:fill="FDFDFD"/>
          <w:lang w:val="en-US" w:eastAsia="zh-CN"/>
        </w:rPr>
        <w:t>60</w:t>
      </w:r>
      <w:r>
        <w:rPr>
          <w:rFonts w:hint="eastAsia" w:ascii="仿宋" w:hAnsi="仿宋" w:eastAsia="仿宋"/>
          <w:sz w:val="32"/>
          <w:shd w:val="clear" w:color="auto" w:fill="FDFDFD"/>
        </w:rPr>
        <w:t>条，督促被审计单位整改问题率达90%以上，规范财政资金使用，提升审计监督效能。</w:t>
      </w:r>
    </w:p>
    <w:p w14:paraId="54A7D497">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hd w:val="clear" w:color="auto" w:fill="FDFDFD"/>
        </w:rPr>
      </w:pPr>
      <w:r>
        <w:rPr>
          <w:rFonts w:hint="eastAsia" w:ascii="仿宋" w:hAnsi="仿宋" w:eastAsia="仿宋"/>
          <w:sz w:val="32"/>
          <w:shd w:val="clear" w:color="auto" w:fill="FDFDFD"/>
        </w:rPr>
        <w:t>核心指标：</w:t>
      </w:r>
    </w:p>
    <w:p w14:paraId="09311249">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hd w:val="clear" w:color="auto" w:fill="FDFDFD"/>
        </w:rPr>
      </w:pPr>
      <w:r>
        <w:rPr>
          <w:rFonts w:hint="eastAsia" w:ascii="仿宋" w:hAnsi="仿宋" w:eastAsia="仿宋"/>
          <w:sz w:val="32"/>
          <w:shd w:val="clear" w:color="auto" w:fill="FDFDFD"/>
        </w:rPr>
        <w:t>完成审计项目数量：</w:t>
      </w:r>
      <w:r>
        <w:rPr>
          <w:rFonts w:hint="eastAsia" w:ascii="仿宋" w:hAnsi="仿宋" w:eastAsia="仿宋"/>
          <w:sz w:val="32"/>
          <w:shd w:val="clear" w:color="auto" w:fill="FDFDFD"/>
          <w:lang w:val="en-US" w:eastAsia="zh-CN"/>
        </w:rPr>
        <w:t>25</w:t>
      </w:r>
      <w:r>
        <w:rPr>
          <w:rFonts w:hint="eastAsia" w:ascii="仿宋" w:hAnsi="仿宋" w:eastAsia="仿宋"/>
          <w:sz w:val="32"/>
          <w:shd w:val="clear" w:color="auto" w:fill="FDFDFD"/>
        </w:rPr>
        <w:t>个（量化指标）。</w:t>
      </w:r>
    </w:p>
    <w:p w14:paraId="7EE0B1F1">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hd w:val="clear" w:color="auto" w:fill="FDFDFD"/>
        </w:rPr>
      </w:pPr>
      <w:r>
        <w:rPr>
          <w:rFonts w:hint="eastAsia" w:ascii="仿宋" w:hAnsi="仿宋" w:eastAsia="仿宋"/>
          <w:sz w:val="32"/>
          <w:shd w:val="clear" w:color="auto" w:fill="FDFDFD"/>
        </w:rPr>
        <w:t>审计报告合格率：100%（质量指标）。</w:t>
      </w:r>
    </w:p>
    <w:p w14:paraId="2C35A105">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hd w:val="clear" w:color="auto" w:fill="FDFDFD"/>
        </w:rPr>
      </w:pPr>
      <w:r>
        <w:rPr>
          <w:rFonts w:hint="eastAsia" w:ascii="仿宋" w:hAnsi="仿宋" w:eastAsia="仿宋"/>
          <w:sz w:val="32"/>
          <w:shd w:val="clear" w:color="auto" w:fill="FDFDFD"/>
        </w:rPr>
        <w:t>审计建议采纳率：85%以上（效益指标）。</w:t>
      </w:r>
    </w:p>
    <w:p w14:paraId="57F7F9AE">
      <w:pPr>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ascii="黑体" w:hAnsi="黑体" w:eastAsia="黑体"/>
          <w:sz w:val="32"/>
          <w:szCs w:val="32"/>
        </w:rPr>
      </w:pPr>
      <w:r>
        <w:rPr>
          <w:rFonts w:hint="eastAsia" w:ascii="仿宋" w:hAnsi="仿宋" w:eastAsia="仿宋"/>
          <w:sz w:val="32"/>
          <w:shd w:val="clear" w:color="auto" w:fill="FDFDFD"/>
        </w:rPr>
        <w:t>项目完成时效：所有项目在规定时限内完成（时效指标）。</w:t>
      </w: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57315E1">
      <w:pPr>
        <w:pageBreakBefore w:val="0"/>
        <w:widowControl w:val="0"/>
        <w:kinsoku/>
        <w:wordWrap/>
        <w:overflowPunct/>
        <w:topLinePunct w:val="0"/>
        <w:autoSpaceDE/>
        <w:autoSpaceDN/>
        <w:bidi w:val="0"/>
        <w:spacing w:line="54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00364C79">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成立绩效自评工作小组，由局长任组长，分管副局长任副组长，科室负责人为成员。通过收集财务凭证、审计项目档案、绩效目标申报表等资料，对部门整体支出情况进行梳理，明确评价范围和重点。</w:t>
      </w:r>
    </w:p>
    <w:p w14:paraId="1A90A292">
      <w:pPr>
        <w:pageBreakBefore w:val="0"/>
        <w:widowControl w:val="0"/>
        <w:numPr>
          <w:ilvl w:val="0"/>
          <w:numId w:val="0"/>
        </w:numPr>
        <w:kinsoku/>
        <w:wordWrap/>
        <w:overflowPunct/>
        <w:topLinePunct w:val="0"/>
        <w:autoSpaceDE/>
        <w:autoSpaceDN/>
        <w:bidi w:val="0"/>
        <w:spacing w:line="540" w:lineRule="exact"/>
        <w:ind w:right="0" w:right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lang w:val="en-US" w:eastAsia="zh-CN"/>
        </w:rPr>
        <w:t xml:space="preserve"> </w:t>
      </w:r>
      <w:r>
        <w:rPr>
          <w:rFonts w:hint="eastAsia" w:ascii="仿宋" w:hAnsi="仿宋" w:eastAsia="仿宋" w:cs="楷体_GB2312"/>
          <w:b/>
          <w:bCs/>
          <w:sz w:val="32"/>
          <w:szCs w:val="32"/>
          <w:lang w:eastAsia="zh-CN"/>
        </w:rPr>
        <w:t>（二）</w:t>
      </w:r>
      <w:r>
        <w:rPr>
          <w:rFonts w:hint="eastAsia" w:ascii="仿宋" w:hAnsi="仿宋" w:eastAsia="仿宋" w:cs="楷体_GB2312"/>
          <w:b/>
          <w:bCs/>
          <w:sz w:val="32"/>
          <w:szCs w:val="32"/>
        </w:rPr>
        <w:t>自评的方法和过程</w:t>
      </w:r>
    </w:p>
    <w:p w14:paraId="525ADF28">
      <w:pPr>
        <w:pageBreakBefore w:val="0"/>
        <w:widowControl w:val="0"/>
        <w:kinsoku/>
        <w:wordWrap/>
        <w:overflowPunct/>
        <w:topLinePunct w:val="0"/>
        <w:autoSpaceDE/>
        <w:autoSpaceDN/>
        <w:bidi w:val="0"/>
        <w:spacing w:line="540" w:lineRule="exact"/>
        <w:ind w:left="0" w:leftChars="0" w:right="0"/>
        <w:textAlignment w:val="auto"/>
        <w:outlineLvl w:val="9"/>
        <w:rPr>
          <w:rFonts w:hint="eastAsia" w:ascii="仿宋" w:hAnsi="仿宋" w:eastAsia="仿宋" w:cs="楷体_GB2312"/>
          <w:b w:val="0"/>
          <w:bCs w:val="0"/>
          <w:sz w:val="32"/>
          <w:szCs w:val="32"/>
          <w:lang w:eastAsia="zh-CN"/>
        </w:rPr>
      </w:pPr>
      <w:r>
        <w:rPr>
          <w:rFonts w:hint="eastAsia" w:ascii="仿宋" w:hAnsi="仿宋" w:eastAsia="仿宋" w:cs="楷体_GB2312"/>
          <w:b w:val="0"/>
          <w:bCs w:val="0"/>
          <w:sz w:val="32"/>
          <w:szCs w:val="32"/>
          <w:lang w:eastAsia="zh-CN"/>
        </w:rPr>
        <w:t>本次绩效</w:t>
      </w:r>
      <w:r>
        <w:rPr>
          <w:rFonts w:hint="eastAsia" w:ascii="仿宋" w:hAnsi="仿宋" w:eastAsia="仿宋" w:cs="楷体_GB2312"/>
          <w:b w:val="0"/>
          <w:bCs w:val="0"/>
          <w:sz w:val="32"/>
          <w:szCs w:val="32"/>
          <w:lang w:val="en-US" w:eastAsia="zh-CN"/>
        </w:rPr>
        <w:t>自</w:t>
      </w:r>
      <w:r>
        <w:rPr>
          <w:rFonts w:hint="eastAsia" w:ascii="仿宋" w:hAnsi="仿宋" w:eastAsia="仿宋" w:cs="楷体_GB2312"/>
          <w:b w:val="0"/>
          <w:bCs w:val="0"/>
          <w:sz w:val="32"/>
          <w:szCs w:val="32"/>
          <w:lang w:eastAsia="zh-CN"/>
        </w:rPr>
        <w:t>评采用数据对比</w:t>
      </w:r>
      <w:r>
        <w:rPr>
          <w:rFonts w:hint="eastAsia" w:ascii="仿宋" w:hAnsi="仿宋" w:eastAsia="仿宋" w:cs="楷体_GB2312"/>
          <w:b w:val="0"/>
          <w:bCs w:val="0"/>
          <w:sz w:val="32"/>
          <w:szCs w:val="32"/>
          <w:lang w:val="en-US" w:eastAsia="zh-CN"/>
        </w:rPr>
        <w:t>的</w:t>
      </w:r>
      <w:r>
        <w:rPr>
          <w:rFonts w:hint="eastAsia" w:ascii="仿宋" w:hAnsi="仿宋" w:eastAsia="仿宋" w:cs="楷体_GB2312"/>
          <w:b w:val="0"/>
          <w:bCs w:val="0"/>
          <w:sz w:val="32"/>
          <w:szCs w:val="32"/>
          <w:lang w:eastAsia="zh-CN"/>
        </w:rPr>
        <w:t>方法，通过系统化流程全面评估项目执行情况，具体方法和过程如下：对比劳务费预算与实际支出、不同项目或专家的费用标准，分析资金使用效率；统计专家工作时长、成果产出数量等数据，评估投入产出比。</w:t>
      </w:r>
    </w:p>
    <w:p w14:paraId="77184A0D">
      <w:pPr>
        <w:pageBreakBefore w:val="0"/>
        <w:widowControl w:val="0"/>
        <w:kinsoku/>
        <w:wordWrap/>
        <w:overflowPunct/>
        <w:topLinePunct w:val="0"/>
        <w:autoSpaceDE/>
        <w:autoSpaceDN/>
        <w:bidi w:val="0"/>
        <w:spacing w:line="54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w:t>
      </w:r>
      <w:bookmarkStart w:id="0" w:name="_GoBack"/>
      <w:bookmarkEnd w:id="0"/>
      <w:r>
        <w:rPr>
          <w:rFonts w:hint="eastAsia" w:ascii="黑体" w:hAnsi="黑体" w:eastAsia="黑体"/>
          <w:sz w:val="32"/>
          <w:szCs w:val="32"/>
          <w:lang w:eastAsia="zh-CN"/>
        </w:rPr>
        <w:t>标实现情况及指标分析</w:t>
      </w:r>
    </w:p>
    <w:p w14:paraId="1BA9A90F">
      <w:pPr>
        <w:pageBreakBefore w:val="0"/>
        <w:widowControl w:val="0"/>
        <w:numPr>
          <w:ilvl w:val="0"/>
          <w:numId w:val="2"/>
        </w:numPr>
        <w:kinsoku/>
        <w:wordWrap/>
        <w:overflowPunct/>
        <w:topLinePunct w:val="0"/>
        <w:autoSpaceDE/>
        <w:autoSpaceDN/>
        <w:bidi w:val="0"/>
        <w:spacing w:line="54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010EBD9A">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2024</w:t>
      </w:r>
      <w:r>
        <w:rPr>
          <w:rFonts w:hint="eastAsia" w:ascii="仿宋" w:hAnsi="仿宋" w:eastAsia="仿宋" w:cs="楷体_GB2312"/>
          <w:b w:val="0"/>
          <w:bCs w:val="0"/>
          <w:sz w:val="32"/>
          <w:szCs w:val="32"/>
          <w:lang w:eastAsia="zh-CN"/>
        </w:rPr>
        <w:t>年</w:t>
      </w:r>
      <w:r>
        <w:rPr>
          <w:rFonts w:hint="eastAsia" w:ascii="仿宋" w:hAnsi="仿宋" w:eastAsia="仿宋" w:cs="楷体_GB2312"/>
          <w:b w:val="0"/>
          <w:bCs w:val="0"/>
          <w:sz w:val="32"/>
          <w:szCs w:val="32"/>
          <w:lang w:val="en-US" w:eastAsia="zh-CN"/>
        </w:rPr>
        <w:t>我部门全年实际完成审计项目25个，出具审计报告25份，提出审计建议65条，被审计单位整改问题率90%，超额完成年度总体目标，有效发挥了审计监督作用，促进了财政资金规范管理。</w:t>
      </w:r>
    </w:p>
    <w:p w14:paraId="0F541BFE">
      <w:pPr>
        <w:pageBreakBefore w:val="0"/>
        <w:widowControl w:val="0"/>
        <w:kinsoku/>
        <w:wordWrap/>
        <w:overflowPunct/>
        <w:topLinePunct w:val="0"/>
        <w:autoSpaceDE/>
        <w:autoSpaceDN/>
        <w:bidi w:val="0"/>
        <w:spacing w:line="54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3C61286C">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审计项目完成数量：目标25个，实际完成25个，完成率100%，得分20分（满分20分）。</w:t>
      </w:r>
    </w:p>
    <w:p w14:paraId="7EFCBF80">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审计报告质量：经抽查，所有报告均符合审计规范，数据准确、结论客观，合格率100%，得分25分（满分25分）。</w:t>
      </w:r>
    </w:p>
    <w:p w14:paraId="3DAD85C5">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审计建议采纳：目标采纳率100%，实际采纳65条，采纳率100%，得分25分（满分25分）。</w:t>
      </w:r>
    </w:p>
    <w:p w14:paraId="7C8B727D">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项目完成时效：所有项目均在合同约定或法定时限内完成，得分15分（满分15分）。</w:t>
      </w:r>
    </w:p>
    <w:p w14:paraId="6F9D480C">
      <w:pPr>
        <w:pStyle w:val="5"/>
        <w:pageBreakBefore w:val="0"/>
        <w:widowControl w:val="0"/>
        <w:kinsoku/>
        <w:wordWrap/>
        <w:overflowPunct/>
        <w:topLinePunct w:val="0"/>
        <w:autoSpaceDE/>
        <w:autoSpaceDN/>
        <w:bidi w:val="0"/>
        <w:spacing w:line="540" w:lineRule="exact"/>
        <w:textAlignment w:val="auto"/>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成本控制：项目支出控制在预算范围内，得分10分（满分10分）。</w:t>
      </w:r>
    </w:p>
    <w:p w14:paraId="156BC22B">
      <w:pPr>
        <w:pageBreakBefore w:val="0"/>
        <w:widowControl w:val="0"/>
        <w:kinsoku/>
        <w:wordWrap/>
        <w:overflowPunct/>
        <w:topLinePunct w:val="0"/>
        <w:autoSpaceDE/>
        <w:autoSpaceDN/>
        <w:bidi w:val="0"/>
        <w:spacing w:line="54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0C86CB82">
      <w:pPr>
        <w:pageBreakBefore w:val="0"/>
        <w:widowControl w:val="0"/>
        <w:kinsoku/>
        <w:wordWrap/>
        <w:overflowPunct/>
        <w:topLinePunct w:val="0"/>
        <w:autoSpaceDE/>
        <w:autoSpaceDN/>
        <w:bidi w:val="0"/>
        <w:spacing w:line="54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val="en-US" w:eastAsia="zh-CN"/>
        </w:rPr>
        <w:t>为“优秀”</w:t>
      </w:r>
      <w:r>
        <w:rPr>
          <w:rFonts w:hint="eastAsia" w:ascii="仿宋" w:hAnsi="仿宋" w:eastAsia="仿宋"/>
          <w:sz w:val="32"/>
          <w:szCs w:val="32"/>
        </w:rPr>
        <w:t>。</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1DF89D1">
      <w:pPr>
        <w:pageBreakBefore w:val="0"/>
        <w:widowControl w:val="0"/>
        <w:kinsoku/>
        <w:wordWrap/>
        <w:overflowPunct/>
        <w:topLinePunct w:val="0"/>
        <w:autoSpaceDE/>
        <w:autoSpaceDN/>
        <w:bidi w:val="0"/>
        <w:spacing w:line="540" w:lineRule="exact"/>
        <w:ind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5A9B8687">
      <w:pPr>
        <w:pageBreakBefore w:val="0"/>
        <w:widowControl w:val="0"/>
        <w:kinsoku/>
        <w:wordWrap/>
        <w:overflowPunct/>
        <w:topLinePunct w:val="0"/>
        <w:autoSpaceDE/>
        <w:autoSpaceDN/>
        <w:bidi w:val="0"/>
        <w:spacing w:line="54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79D3286E">
      <w:pPr>
        <w:pageBreakBefore w:val="0"/>
        <w:widowControl w:val="0"/>
        <w:numPr>
          <w:numId w:val="0"/>
        </w:numPr>
        <w:kinsoku/>
        <w:wordWrap/>
        <w:overflowPunct/>
        <w:topLinePunct w:val="0"/>
        <w:autoSpaceDE/>
        <w:autoSpaceDN/>
        <w:bidi w:val="0"/>
        <w:spacing w:line="540" w:lineRule="exact"/>
        <w:ind w:leftChars="200" w:right="0" w:rightChars="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审计信息化建设投入不足，部分项目数据采集效率有待提升。绩效指标细化程度不够，个别效益指标量化标准需进一步明确。</w:t>
      </w:r>
    </w:p>
    <w:p w14:paraId="69F6A128">
      <w:pPr>
        <w:pageBreakBefore w:val="0"/>
        <w:widowControl w:val="0"/>
        <w:numPr>
          <w:ilvl w:val="0"/>
          <w:numId w:val="2"/>
        </w:numPr>
        <w:kinsoku/>
        <w:wordWrap/>
        <w:overflowPunct/>
        <w:topLinePunct w:val="0"/>
        <w:autoSpaceDE/>
        <w:autoSpaceDN/>
        <w:bidi w:val="0"/>
        <w:spacing w:line="54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 xml:space="preserve"> </w:t>
      </w:r>
      <w:r>
        <w:rPr>
          <w:rFonts w:hint="eastAsia" w:ascii="仿宋" w:hAnsi="仿宋" w:eastAsia="仿宋"/>
          <w:b/>
          <w:bCs/>
          <w:sz w:val="32"/>
          <w:szCs w:val="32"/>
        </w:rPr>
        <w:t>针对问题提出具体的改进措施或建议</w:t>
      </w:r>
    </w:p>
    <w:p w14:paraId="7B5C6A73">
      <w:pPr>
        <w:pageBreakBefore w:val="0"/>
        <w:widowControl w:val="0"/>
        <w:numPr>
          <w:ilvl w:val="0"/>
          <w:numId w:val="0"/>
        </w:numPr>
        <w:kinsoku/>
        <w:wordWrap/>
        <w:overflowPunct/>
        <w:topLinePunct w:val="0"/>
        <w:autoSpaceDE/>
        <w:autoSpaceDN/>
        <w:bidi w:val="0"/>
        <w:adjustRightInd w:val="0"/>
        <w:snapToGrid w:val="0"/>
        <w:spacing w:line="540" w:lineRule="exact"/>
        <w:ind w:leftChars="200"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2025年</w:t>
      </w:r>
      <w:r>
        <w:rPr>
          <w:rFonts w:hint="eastAsia" w:ascii="仿宋" w:hAnsi="仿宋" w:eastAsia="仿宋" w:cs="仿宋"/>
          <w:sz w:val="32"/>
          <w:szCs w:val="32"/>
          <w:lang w:val="en-US" w:eastAsia="zh-CN"/>
        </w:rPr>
        <w:t>更有效利用</w:t>
      </w:r>
      <w:r>
        <w:rPr>
          <w:rFonts w:hint="eastAsia" w:ascii="仿宋" w:hAnsi="仿宋" w:eastAsia="仿宋" w:cs="仿宋"/>
          <w:sz w:val="32"/>
          <w:szCs w:val="32"/>
        </w:rPr>
        <w:t>审计软件系统，加强大数据分析能力，提高审计效率。结合年度重点工作，细化绩效指标设置，明确效益指标量化考核标准，强化绩效目标导向。</w:t>
      </w:r>
    </w:p>
    <w:p w14:paraId="0659260B">
      <w:pPr>
        <w:pageBreakBefore w:val="0"/>
        <w:widowControl w:val="0"/>
        <w:numPr>
          <w:ilvl w:val="0"/>
          <w:numId w:val="0"/>
        </w:numPr>
        <w:kinsoku/>
        <w:wordWrap/>
        <w:overflowPunct/>
        <w:topLinePunct w:val="0"/>
        <w:autoSpaceDE/>
        <w:autoSpaceDN/>
        <w:bidi w:val="0"/>
        <w:adjustRightInd w:val="0"/>
        <w:snapToGrid w:val="0"/>
        <w:spacing w:line="540" w:lineRule="exact"/>
        <w:ind w:right="0" w:rightChars="0" w:firstLine="640" w:firstLineChars="200"/>
        <w:textAlignment w:val="auto"/>
        <w:outlineLvl w:val="9"/>
        <w:rPr>
          <w:rFonts w:hint="eastAsia"/>
        </w:rPr>
      </w:pPr>
      <w:r>
        <w:rPr>
          <w:rFonts w:hint="eastAsia" w:ascii="黑体" w:hAnsi="黑体" w:eastAsia="黑体" w:cs="黑体"/>
          <w:sz w:val="32"/>
          <w:szCs w:val="32"/>
          <w:lang w:val="en-US" w:eastAsia="zh-CN"/>
        </w:rPr>
        <w:t>六、</w:t>
      </w:r>
      <w:r>
        <w:rPr>
          <w:rFonts w:hint="eastAsia" w:ascii="黑体" w:hAnsi="黑体" w:eastAsia="黑体" w:cs="黑体"/>
          <w:sz w:val="32"/>
          <w:szCs w:val="32"/>
        </w:rPr>
        <w:t>评价工作组人员名单及签字（姓名、工作单位、职务、职称）</w:t>
      </w:r>
    </w:p>
    <w:p w14:paraId="31DD91CF">
      <w:pPr>
        <w:widowControl w:val="0"/>
        <w:wordWrap/>
        <w:spacing w:line="560" w:lineRule="exact"/>
        <w:ind w:left="0" w:leftChars="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00A25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top"/>
          </w:tcPr>
          <w:p w14:paraId="16884C96">
            <w:pPr>
              <w:pStyle w:val="5"/>
              <w:ind w:left="0" w:leftChars="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vAlign w:val="top"/>
          </w:tcPr>
          <w:p w14:paraId="0FF7FD55">
            <w:pPr>
              <w:pStyle w:val="5"/>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vAlign w:val="top"/>
          </w:tcPr>
          <w:p w14:paraId="25CBC1B5">
            <w:pPr>
              <w:pStyle w:val="5"/>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vAlign w:val="top"/>
          </w:tcPr>
          <w:p w14:paraId="4043551F">
            <w:pPr>
              <w:pStyle w:val="5"/>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vAlign w:val="top"/>
          </w:tcPr>
          <w:p w14:paraId="748D83F2">
            <w:pPr>
              <w:pStyle w:val="5"/>
              <w:jc w:val="both"/>
              <w:rPr>
                <w:rFonts w:hint="eastAsia"/>
                <w:vertAlign w:val="baseline"/>
                <w:lang w:eastAsia="zh-CN"/>
              </w:rPr>
            </w:pPr>
            <w:r>
              <w:rPr>
                <w:rFonts w:hint="eastAsia"/>
                <w:vertAlign w:val="baseline"/>
                <w:lang w:eastAsia="zh-CN"/>
              </w:rPr>
              <w:t>签名</w:t>
            </w:r>
          </w:p>
        </w:tc>
      </w:tr>
      <w:tr w14:paraId="22E43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12F66489">
            <w:pPr>
              <w:pStyle w:val="5"/>
              <w:ind w:left="0" w:leftChars="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vAlign w:val="top"/>
          </w:tcPr>
          <w:p w14:paraId="422B9B56">
            <w:pPr>
              <w:pStyle w:val="5"/>
              <w:ind w:left="0" w:leftChars="0" w:firstLine="0" w:firstLineChars="0"/>
              <w:jc w:val="both"/>
              <w:rPr>
                <w:rFonts w:hint="default"/>
                <w:vertAlign w:val="baseline"/>
                <w:lang w:val="en-US" w:eastAsia="zh-CN"/>
              </w:rPr>
            </w:pPr>
            <w:r>
              <w:rPr>
                <w:rFonts w:hint="eastAsia"/>
                <w:vertAlign w:val="baseline"/>
                <w:lang w:val="en-US" w:eastAsia="zh-CN"/>
              </w:rPr>
              <w:t>张  琨</w:t>
            </w:r>
          </w:p>
        </w:tc>
        <w:tc>
          <w:tcPr>
            <w:tcW w:w="1856" w:type="dxa"/>
            <w:vAlign w:val="center"/>
          </w:tcPr>
          <w:p w14:paraId="11905978">
            <w:pPr>
              <w:pStyle w:val="5"/>
              <w:ind w:left="0" w:leftChars="0" w:firstLine="0" w:firstLineChars="0"/>
              <w:jc w:val="center"/>
              <w:rPr>
                <w:rFonts w:hint="eastAsia"/>
                <w:vertAlign w:val="baseline"/>
                <w:lang w:eastAsia="zh-CN"/>
              </w:rPr>
            </w:pPr>
            <w:r>
              <w:rPr>
                <w:rFonts w:hint="eastAsia"/>
                <w:vertAlign w:val="baseline"/>
                <w:lang w:eastAsia="zh-CN"/>
              </w:rPr>
              <w:t>区</w:t>
            </w:r>
            <w:r>
              <w:rPr>
                <w:rFonts w:hint="eastAsia"/>
                <w:vertAlign w:val="baseline"/>
                <w:lang w:val="en-US" w:eastAsia="zh-CN"/>
              </w:rPr>
              <w:t>审计局</w:t>
            </w:r>
          </w:p>
        </w:tc>
        <w:tc>
          <w:tcPr>
            <w:tcW w:w="3071" w:type="dxa"/>
            <w:vAlign w:val="top"/>
          </w:tcPr>
          <w:p w14:paraId="7584DB9E">
            <w:pPr>
              <w:pStyle w:val="5"/>
              <w:ind w:left="0" w:leftChars="0" w:firstLine="0" w:firstLineChars="0"/>
              <w:jc w:val="center"/>
              <w:rPr>
                <w:rFonts w:hint="eastAsia"/>
                <w:vertAlign w:val="baseline"/>
                <w:lang w:eastAsia="zh-CN"/>
              </w:rPr>
            </w:pPr>
            <w:r>
              <w:rPr>
                <w:rFonts w:hint="eastAsia"/>
                <w:vertAlign w:val="baseline"/>
                <w:lang w:eastAsia="zh-CN"/>
              </w:rPr>
              <w:t>局长</w:t>
            </w:r>
          </w:p>
        </w:tc>
        <w:tc>
          <w:tcPr>
            <w:tcW w:w="1813" w:type="dxa"/>
            <w:vAlign w:val="top"/>
          </w:tcPr>
          <w:p w14:paraId="256D4D17">
            <w:pPr>
              <w:pStyle w:val="5"/>
              <w:jc w:val="both"/>
              <w:rPr>
                <w:rFonts w:hint="eastAsia"/>
                <w:vertAlign w:val="baseline"/>
                <w:lang w:eastAsia="zh-CN"/>
              </w:rPr>
            </w:pPr>
          </w:p>
        </w:tc>
      </w:tr>
      <w:tr w14:paraId="5EB6D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74065DB9">
            <w:pPr>
              <w:pStyle w:val="5"/>
              <w:ind w:left="0" w:leftChars="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vAlign w:val="top"/>
          </w:tcPr>
          <w:p w14:paraId="72461A85">
            <w:pPr>
              <w:pStyle w:val="5"/>
              <w:ind w:left="0" w:leftChars="0" w:firstLine="0" w:firstLineChars="0"/>
              <w:jc w:val="both"/>
              <w:rPr>
                <w:rFonts w:hint="eastAsia"/>
                <w:vertAlign w:val="baseline"/>
                <w:lang w:eastAsia="zh-CN"/>
              </w:rPr>
            </w:pPr>
            <w:r>
              <w:rPr>
                <w:rFonts w:hint="eastAsia"/>
                <w:vertAlign w:val="baseline"/>
                <w:lang w:val="en-US" w:eastAsia="zh-CN"/>
              </w:rPr>
              <w:t>高海桐</w:t>
            </w:r>
          </w:p>
        </w:tc>
        <w:tc>
          <w:tcPr>
            <w:tcW w:w="1856" w:type="dxa"/>
            <w:vAlign w:val="center"/>
          </w:tcPr>
          <w:p w14:paraId="058160A4">
            <w:pPr>
              <w:pStyle w:val="5"/>
              <w:ind w:left="0" w:leftChars="0" w:firstLine="0" w:firstLineChars="0"/>
              <w:jc w:val="center"/>
              <w:rPr>
                <w:rFonts w:hint="eastAsia"/>
                <w:vertAlign w:val="baseline"/>
                <w:lang w:eastAsia="zh-CN"/>
              </w:rPr>
            </w:pPr>
            <w:r>
              <w:rPr>
                <w:rFonts w:hint="eastAsia"/>
                <w:vertAlign w:val="baseline"/>
                <w:lang w:eastAsia="zh-CN"/>
              </w:rPr>
              <w:t>区</w:t>
            </w:r>
            <w:r>
              <w:rPr>
                <w:rFonts w:hint="eastAsia"/>
                <w:vertAlign w:val="baseline"/>
                <w:lang w:val="en-US" w:eastAsia="zh-CN"/>
              </w:rPr>
              <w:t>审计局</w:t>
            </w:r>
          </w:p>
        </w:tc>
        <w:tc>
          <w:tcPr>
            <w:tcW w:w="3071" w:type="dxa"/>
            <w:vAlign w:val="top"/>
          </w:tcPr>
          <w:p w14:paraId="39294AB3">
            <w:pPr>
              <w:pStyle w:val="5"/>
              <w:ind w:left="0" w:leftChars="0" w:firstLine="0" w:firstLineChars="0"/>
              <w:jc w:val="center"/>
              <w:rPr>
                <w:rFonts w:hint="eastAsia"/>
                <w:vertAlign w:val="baseline"/>
                <w:lang w:eastAsia="zh-CN"/>
              </w:rPr>
            </w:pPr>
            <w:r>
              <w:rPr>
                <w:rFonts w:hint="eastAsia"/>
                <w:vertAlign w:val="baseline"/>
                <w:lang w:val="en-US" w:eastAsia="zh-CN"/>
              </w:rPr>
              <w:t>主管</w:t>
            </w:r>
            <w:r>
              <w:rPr>
                <w:rFonts w:hint="eastAsia"/>
                <w:vertAlign w:val="baseline"/>
                <w:lang w:eastAsia="zh-CN"/>
              </w:rPr>
              <w:t>副局长</w:t>
            </w:r>
          </w:p>
        </w:tc>
        <w:tc>
          <w:tcPr>
            <w:tcW w:w="1813" w:type="dxa"/>
            <w:vAlign w:val="top"/>
          </w:tcPr>
          <w:p w14:paraId="2CE6898D">
            <w:pPr>
              <w:pStyle w:val="5"/>
              <w:jc w:val="both"/>
              <w:rPr>
                <w:rFonts w:hint="eastAsia"/>
                <w:vertAlign w:val="baseline"/>
                <w:lang w:eastAsia="zh-CN"/>
              </w:rPr>
            </w:pPr>
          </w:p>
        </w:tc>
      </w:tr>
      <w:tr w14:paraId="5ABBC6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vAlign w:val="center"/>
          </w:tcPr>
          <w:p w14:paraId="3FF9681B">
            <w:pPr>
              <w:pStyle w:val="5"/>
              <w:ind w:left="0" w:leftChars="0" w:firstLine="0" w:firstLineChars="0"/>
              <w:jc w:val="both"/>
              <w:rPr>
                <w:rFonts w:hint="eastAsia"/>
                <w:vertAlign w:val="baseline"/>
                <w:lang w:val="en-US" w:eastAsia="zh-CN"/>
              </w:rPr>
            </w:pPr>
            <w:r>
              <w:rPr>
                <w:rFonts w:hint="eastAsia"/>
                <w:vertAlign w:val="baseline"/>
                <w:lang w:val="en-US" w:eastAsia="zh-CN"/>
              </w:rPr>
              <w:t xml:space="preserve">  3</w:t>
            </w:r>
          </w:p>
        </w:tc>
        <w:tc>
          <w:tcPr>
            <w:tcW w:w="1172" w:type="dxa"/>
            <w:vAlign w:val="top"/>
          </w:tcPr>
          <w:p w14:paraId="3A353715">
            <w:pPr>
              <w:pStyle w:val="5"/>
              <w:ind w:left="0" w:leftChars="0" w:firstLine="0" w:firstLineChars="0"/>
              <w:jc w:val="both"/>
              <w:rPr>
                <w:rFonts w:hint="default" w:eastAsia="仿宋_GB2312"/>
                <w:vertAlign w:val="baseline"/>
                <w:lang w:val="en-US" w:eastAsia="zh-CN"/>
              </w:rPr>
            </w:pPr>
            <w:r>
              <w:rPr>
                <w:rFonts w:hint="eastAsia"/>
                <w:vertAlign w:val="baseline"/>
                <w:lang w:val="en-US" w:eastAsia="zh-CN"/>
              </w:rPr>
              <w:t>高俊菊</w:t>
            </w:r>
          </w:p>
        </w:tc>
        <w:tc>
          <w:tcPr>
            <w:tcW w:w="1856" w:type="dxa"/>
            <w:vAlign w:val="center"/>
          </w:tcPr>
          <w:p w14:paraId="0C5F9C10">
            <w:pPr>
              <w:pStyle w:val="5"/>
              <w:ind w:left="0" w:leftChars="0" w:firstLine="0" w:firstLineChars="0"/>
              <w:jc w:val="center"/>
              <w:rPr>
                <w:rFonts w:hint="eastAsia"/>
                <w:vertAlign w:val="baseline"/>
                <w:lang w:eastAsia="zh-CN"/>
              </w:rPr>
            </w:pPr>
            <w:r>
              <w:rPr>
                <w:rFonts w:hint="eastAsia"/>
                <w:vertAlign w:val="baseline"/>
                <w:lang w:eastAsia="zh-CN"/>
              </w:rPr>
              <w:t>区</w:t>
            </w:r>
            <w:r>
              <w:rPr>
                <w:rFonts w:hint="eastAsia"/>
                <w:vertAlign w:val="baseline"/>
                <w:lang w:val="en-US" w:eastAsia="zh-CN"/>
              </w:rPr>
              <w:t>审计局</w:t>
            </w:r>
          </w:p>
        </w:tc>
        <w:tc>
          <w:tcPr>
            <w:tcW w:w="3071" w:type="dxa"/>
            <w:vAlign w:val="top"/>
          </w:tcPr>
          <w:p w14:paraId="5F958D34">
            <w:pPr>
              <w:pStyle w:val="5"/>
              <w:tabs>
                <w:tab w:val="left" w:pos="287"/>
              </w:tabs>
              <w:ind w:left="0" w:leftChars="0" w:firstLine="0" w:firstLineChars="0"/>
              <w:jc w:val="center"/>
              <w:rPr>
                <w:rFonts w:hint="default"/>
                <w:vertAlign w:val="baseline"/>
                <w:lang w:val="en-US" w:eastAsia="zh-CN"/>
              </w:rPr>
            </w:pPr>
            <w:r>
              <w:rPr>
                <w:rFonts w:hint="eastAsia"/>
                <w:vertAlign w:val="baseline"/>
                <w:lang w:val="en-US" w:eastAsia="zh-CN"/>
              </w:rPr>
              <w:t>办公室工作人员</w:t>
            </w:r>
          </w:p>
        </w:tc>
        <w:tc>
          <w:tcPr>
            <w:tcW w:w="1813" w:type="dxa"/>
            <w:vAlign w:val="top"/>
          </w:tcPr>
          <w:p w14:paraId="3ACA9837">
            <w:pPr>
              <w:pStyle w:val="5"/>
              <w:jc w:val="both"/>
              <w:rPr>
                <w:rFonts w:hint="eastAsia"/>
                <w:vertAlign w:val="baseline"/>
                <w:lang w:eastAsia="zh-CN"/>
              </w:rPr>
            </w:pPr>
          </w:p>
        </w:tc>
      </w:tr>
    </w:tbl>
    <w:p w14:paraId="3D688BC1">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EAAB0">
    <w:pPr>
      <w:pStyle w:val="7"/>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E453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0E453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1181F0"/>
    <w:multiLevelType w:val="singleLevel"/>
    <w:tmpl w:val="351181F0"/>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4ODJmMDU4N2E3OGU5NWFlOTQyMjlmMzRhNDRkOTUifQ=="/>
  </w:docVars>
  <w:rsids>
    <w:rsidRoot w:val="0EBD2122"/>
    <w:rsid w:val="007E6C1F"/>
    <w:rsid w:val="00AF566A"/>
    <w:rsid w:val="00B6553A"/>
    <w:rsid w:val="01B104CA"/>
    <w:rsid w:val="02106AB0"/>
    <w:rsid w:val="02B43A28"/>
    <w:rsid w:val="046F331E"/>
    <w:rsid w:val="056C686F"/>
    <w:rsid w:val="059A6BDF"/>
    <w:rsid w:val="07956271"/>
    <w:rsid w:val="080817F3"/>
    <w:rsid w:val="08346096"/>
    <w:rsid w:val="09721397"/>
    <w:rsid w:val="0BB63BED"/>
    <w:rsid w:val="0EB97A43"/>
    <w:rsid w:val="0EBD2122"/>
    <w:rsid w:val="0F214EAE"/>
    <w:rsid w:val="0F6C3997"/>
    <w:rsid w:val="11924921"/>
    <w:rsid w:val="11B71E6A"/>
    <w:rsid w:val="12D70244"/>
    <w:rsid w:val="146F4797"/>
    <w:rsid w:val="16D95A63"/>
    <w:rsid w:val="1884181D"/>
    <w:rsid w:val="1A620D3B"/>
    <w:rsid w:val="1AAF0063"/>
    <w:rsid w:val="1BE140DE"/>
    <w:rsid w:val="232F7CDD"/>
    <w:rsid w:val="248C197D"/>
    <w:rsid w:val="252959AF"/>
    <w:rsid w:val="26315401"/>
    <w:rsid w:val="26554540"/>
    <w:rsid w:val="267970F1"/>
    <w:rsid w:val="277A6671"/>
    <w:rsid w:val="29155D5D"/>
    <w:rsid w:val="292D35B7"/>
    <w:rsid w:val="336F71D7"/>
    <w:rsid w:val="33944664"/>
    <w:rsid w:val="33EB6CFF"/>
    <w:rsid w:val="35A12947"/>
    <w:rsid w:val="37387040"/>
    <w:rsid w:val="3B625C0A"/>
    <w:rsid w:val="3C052337"/>
    <w:rsid w:val="3CDF390D"/>
    <w:rsid w:val="3CEE1963"/>
    <w:rsid w:val="44F208A0"/>
    <w:rsid w:val="46D52711"/>
    <w:rsid w:val="48D74168"/>
    <w:rsid w:val="4A4C3C3E"/>
    <w:rsid w:val="4A6873F9"/>
    <w:rsid w:val="4BC82845"/>
    <w:rsid w:val="4C9C27FE"/>
    <w:rsid w:val="4CBD7ED0"/>
    <w:rsid w:val="512260B4"/>
    <w:rsid w:val="526E6886"/>
    <w:rsid w:val="52BD6ACB"/>
    <w:rsid w:val="55537534"/>
    <w:rsid w:val="561A74F1"/>
    <w:rsid w:val="587A0BBB"/>
    <w:rsid w:val="58FC5C49"/>
    <w:rsid w:val="59295ADF"/>
    <w:rsid w:val="597244E8"/>
    <w:rsid w:val="5EB71C30"/>
    <w:rsid w:val="66AF0CE5"/>
    <w:rsid w:val="66B84586"/>
    <w:rsid w:val="6AC537CF"/>
    <w:rsid w:val="6C717911"/>
    <w:rsid w:val="6E5B14A6"/>
    <w:rsid w:val="6EC14F5C"/>
    <w:rsid w:val="6EEC05C4"/>
    <w:rsid w:val="711B255E"/>
    <w:rsid w:val="719347B6"/>
    <w:rsid w:val="733573AE"/>
    <w:rsid w:val="745130F8"/>
    <w:rsid w:val="74EF6244"/>
    <w:rsid w:val="78CD2C4D"/>
    <w:rsid w:val="7BB51E06"/>
    <w:rsid w:val="7C297A11"/>
    <w:rsid w:val="7C387F7C"/>
    <w:rsid w:val="7F411A00"/>
    <w:rsid w:val="7F4F28EB"/>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autoRedefine/>
    <w:qFormat/>
    <w:uiPriority w:val="0"/>
    <w:pPr>
      <w:keepNext/>
      <w:keepLines/>
      <w:spacing w:before="100" w:beforeLines="0" w:beforeAutospacing="0" w:after="90" w:afterLines="0" w:afterAutospacing="0" w:line="576" w:lineRule="auto"/>
      <w:outlineLvl w:val="0"/>
    </w:pPr>
    <w:rPr>
      <w:rFonts w:eastAsia="黑体"/>
      <w:b/>
      <w:kern w:val="44"/>
    </w:rPr>
  </w:style>
  <w:style w:type="paragraph" w:styleId="2">
    <w:name w:val="heading 2"/>
    <w:basedOn w:val="1"/>
    <w:next w:val="1"/>
    <w:autoRedefine/>
    <w:qFormat/>
    <w:uiPriority w:val="0"/>
    <w:pPr>
      <w:spacing w:before="100" w:beforeAutospacing="1" w:after="100" w:afterAutospacing="1"/>
      <w:jc w:val="left"/>
      <w:outlineLvl w:val="1"/>
    </w:pPr>
    <w:rPr>
      <w:rFonts w:hint="eastAsia" w:ascii="宋体" w:hAnsi="宋体" w:eastAsia="楷体_GB2312"/>
      <w:b/>
      <w:kern w:val="0"/>
      <w:sz w:val="32"/>
      <w:szCs w:val="36"/>
    </w:rPr>
  </w:style>
  <w:style w:type="paragraph" w:styleId="4">
    <w:name w:val="heading 3"/>
    <w:basedOn w:val="1"/>
    <w:next w:val="1"/>
    <w:autoRedefine/>
    <w:unhideWhenUsed/>
    <w:qFormat/>
    <w:uiPriority w:val="0"/>
    <w:pPr>
      <w:keepNext/>
      <w:keepLines/>
      <w:spacing w:before="20" w:beforeLines="0" w:beforeAutospacing="0" w:after="20" w:afterLines="0" w:afterAutospacing="0" w:line="413" w:lineRule="auto"/>
      <w:outlineLvl w:val="2"/>
    </w:pPr>
    <w:rPr>
      <w:b/>
    </w:rPr>
  </w:style>
  <w:style w:type="character" w:default="1" w:styleId="11">
    <w:name w:val="Default Paragraph Font"/>
    <w:unhideWhenUsed/>
    <w:qFormat/>
    <w:uiPriority w:val="1"/>
  </w:style>
  <w:style w:type="table" w:default="1" w:styleId="9">
    <w:name w:val="Normal Table"/>
    <w:autoRedefine/>
    <w:unhideWhenUsed/>
    <w:qFormat/>
    <w:uiPriority w:val="99"/>
    <w:tblPr>
      <w:tblCellMar>
        <w:top w:w="0" w:type="dxa"/>
        <w:left w:w="108" w:type="dxa"/>
        <w:bottom w:w="0" w:type="dxa"/>
        <w:right w:w="108" w:type="dxa"/>
      </w:tblCellMar>
    </w:tblPr>
  </w:style>
  <w:style w:type="paragraph" w:styleId="5">
    <w:name w:val="Normal Indent"/>
    <w:basedOn w:val="1"/>
    <w:next w:val="6"/>
    <w:autoRedefine/>
    <w:qFormat/>
    <w:uiPriority w:val="0"/>
    <w:pPr>
      <w:ind w:firstLine="420" w:firstLineChars="200"/>
    </w:pPr>
    <w:rPr>
      <w:rFonts w:eastAsia="仿宋_GB2312"/>
      <w:sz w:val="30"/>
    </w:rPr>
  </w:style>
  <w:style w:type="paragraph" w:styleId="6">
    <w:name w:val="Subtitle"/>
    <w:basedOn w:val="1"/>
    <w:autoRedefine/>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annotation reference"/>
    <w:basedOn w:val="11"/>
    <w:semiHidden/>
    <w:unhideWhenUsed/>
    <w:qFormat/>
    <w:uiPriority w:val="99"/>
    <w:rPr>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3407</Words>
  <Characters>3585</Characters>
  <Lines>7</Lines>
  <Paragraphs>2</Paragraphs>
  <TotalTime>3</TotalTime>
  <ScaleCrop>false</ScaleCrop>
  <LinksUpToDate>false</LinksUpToDate>
  <CharactersWithSpaces>3619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蓝紫爱恋</cp:lastModifiedBy>
  <cp:lastPrinted>2022-03-25T02:17:00Z</cp:lastPrinted>
  <dcterms:modified xsi:type="dcterms:W3CDTF">2025-07-04T07:23:55Z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14C5DA8972104B84949AD7A7467302EC</vt:lpwstr>
  </property>
  <property fmtid="{D5CDD505-2E9C-101B-9397-08002B2CF9AE}" pid="4" name="KSOTemplateDocerSaveRecord">
    <vt:lpwstr>eyJoZGlkIjoiMDY4ODJmMDU4N2E3OGU5NWFlOTQyMjlmMzRhNDRkOTUiLCJ1c2VySWQiOiIzMjczNzE2MzEifQ==</vt:lpwstr>
  </property>
</Properties>
</file>