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40" w:lineRule="exact"/>
        <w:ind w:leftChars="0" w:left="0"/>
        <w:rPr>
          <w:rFonts w:ascii="黑体" w:eastAsia="黑体" w:cs="黑体" w:hAnsi="黑体" w:hint="eastAsia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color w:val="000000"/>
          <w:sz w:val="32"/>
          <w:szCs w:val="32"/>
        </w:rPr>
        <w:t>附件4</w:t>
      </w:r>
    </w:p>
    <w:p>
      <w:pPr>
        <w:spacing w:line="540" w:lineRule="exact"/>
        <w:ind w:leftChars="0" w:left="0"/>
        <w:jc w:val="center"/>
        <w:rPr>
          <w:rFonts w:ascii="宋体" w:cs="宋体" w:hAnsi="宋体"/>
          <w:b/>
          <w:bCs/>
          <w:color w:val="000000"/>
          <w:sz w:val="44"/>
          <w:szCs w:val="44"/>
        </w:rPr>
      </w:pPr>
    </w:p>
    <w:p>
      <w:pPr>
        <w:wordWrap/>
        <w:spacing w:line="540" w:lineRule="exact"/>
        <w:ind w:leftChars="0" w:left="0"/>
        <w:jc w:val="center"/>
        <w:rPr>
          <w:rFonts w:ascii="宋体" w:cs="宋体" w:hAnsi="宋体"/>
          <w:b/>
          <w:bCs/>
          <w:color w:val="000000"/>
          <w:sz w:val="44"/>
          <w:szCs w:val="44"/>
        </w:rPr>
      </w:pPr>
      <w:r>
        <w:rPr>
          <w:rFonts w:ascii="宋体" w:cs="宋体" w:hAnsi="宋体"/>
          <w:b/>
          <w:bCs/>
          <w:color w:val="000000"/>
          <w:sz w:val="44"/>
          <w:szCs w:val="44"/>
        </w:rPr>
        <w:t>矿区司法局</w:t>
      </w:r>
    </w:p>
    <w:p>
      <w:pPr>
        <w:spacing w:line="540" w:lineRule="exact"/>
        <w:ind w:leftChars="0" w:left="0"/>
        <w:jc w:val="center"/>
        <w:rPr>
          <w:rFonts w:ascii="宋体" w:cs="宋体" w:hAnsi="宋体"/>
          <w:b/>
          <w:bCs/>
          <w:color w:val="000000"/>
          <w:sz w:val="44"/>
          <w:szCs w:val="44"/>
        </w:rPr>
      </w:pPr>
      <w:r>
        <w:rPr>
          <w:rFonts w:ascii="宋体" w:cs="宋体" w:hAnsi="宋体" w:hint="eastAsia"/>
          <w:b/>
          <w:bCs/>
          <w:color w:val="000000"/>
          <w:sz w:val="44"/>
          <w:szCs w:val="44"/>
        </w:rPr>
        <w:t>202</w:t>
      </w:r>
      <w:r>
        <w:rPr>
          <w:rFonts w:ascii="宋体" w:cs="宋体" w:hAnsi="宋体"/>
          <w:b/>
          <w:bCs/>
          <w:color w:val="000000"/>
          <w:sz w:val="44"/>
          <w:szCs w:val="44"/>
        </w:rPr>
        <w:t>4</w:t>
      </w:r>
      <w:r>
        <w:rPr>
          <w:rFonts w:ascii="宋体" w:cs="宋体" w:hAnsi="宋体" w:hint="eastAsia"/>
          <w:b/>
          <w:bCs/>
          <w:color w:val="000000"/>
          <w:sz w:val="44"/>
          <w:szCs w:val="44"/>
        </w:rPr>
        <w:t>年度整体支出绩效自评报告</w:t>
      </w:r>
    </w:p>
    <w:p>
      <w:pPr>
        <w:spacing w:line="540" w:lineRule="exact"/>
        <w:ind w:leftChars="0" w:left="0"/>
        <w:jc w:val="center"/>
        <w:rPr>
          <w:rFonts w:ascii="华文楷体" w:eastAsia="华文楷体"/>
          <w:color w:val="000000"/>
          <w:sz w:val="32"/>
          <w:szCs w:val="32"/>
        </w:rPr>
      </w:pP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贯彻落实</w:t>
      </w:r>
      <w:r>
        <w:rPr>
          <w:rFonts w:ascii="仿宋" w:eastAsia="仿宋" w:hAnsi="仿宋"/>
          <w:color w:val="000000"/>
          <w:sz w:val="32"/>
          <w:szCs w:val="32"/>
        </w:rPr>
        <w:t>区委区政府</w:t>
      </w:r>
      <w:r>
        <w:rPr>
          <w:rFonts w:ascii="仿宋" w:eastAsia="仿宋" w:hAnsi="仿宋" w:hint="eastAsia"/>
          <w:color w:val="000000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color w:val="000000"/>
          <w:sz w:val="32"/>
          <w:szCs w:val="32"/>
        </w:rPr>
        <w:t>矿</w:t>
      </w:r>
      <w:r>
        <w:rPr>
          <w:rFonts w:ascii="仿宋" w:eastAsia="仿宋" w:hAnsi="仿宋" w:hint="eastAsia"/>
          <w:color w:val="000000"/>
          <w:sz w:val="32"/>
          <w:szCs w:val="32"/>
        </w:rPr>
        <w:t>发﹝2019﹞</w:t>
      </w:r>
      <w:r>
        <w:rPr>
          <w:rFonts w:ascii="仿宋" w:eastAsia="仿宋" w:hAnsi="仿宋"/>
          <w:color w:val="000000"/>
          <w:sz w:val="32"/>
          <w:szCs w:val="32"/>
        </w:rPr>
        <w:t>7</w:t>
      </w:r>
      <w:r>
        <w:rPr>
          <w:rFonts w:ascii="仿宋" w:eastAsia="仿宋" w:hAnsi="仿宋" w:hint="eastAsia"/>
          <w:color w:val="000000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color w:val="000000"/>
          <w:sz w:val="32"/>
          <w:szCs w:val="32"/>
        </w:rPr>
        <w:t>矿区司法局</w:t>
      </w:r>
      <w:r>
        <w:rPr>
          <w:rFonts w:ascii="仿宋" w:eastAsia="仿宋" w:hAnsi="仿宋" w:hint="eastAsia"/>
          <w:color w:val="000000"/>
          <w:sz w:val="32"/>
          <w:szCs w:val="32"/>
        </w:rPr>
        <w:t>202</w:t>
      </w:r>
      <w:r>
        <w:rPr>
          <w:rFonts w:ascii="仿宋" w:eastAsia="仿宋" w:hAnsi="仿宋"/>
          <w:color w:val="000000"/>
          <w:sz w:val="32"/>
          <w:szCs w:val="32"/>
        </w:rPr>
        <w:t>4</w:t>
      </w:r>
      <w:r>
        <w:rPr>
          <w:rFonts w:ascii="仿宋" w:eastAsia="仿宋" w:hAnsi="仿宋" w:hint="eastAsia"/>
          <w:color w:val="000000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40" w:lineRule="exact"/>
        <w:ind w:leftChars="0" w:left="0"/>
        <w:rPr>
          <w:rFonts w:ascii="黑体" w:eastAsia="黑体" w:hAnsi="黑体"/>
          <w:b/>
          <w:bCs/>
          <w:color w:val="000000"/>
          <w:sz w:val="32"/>
          <w:szCs w:val="36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color w:val="000000"/>
          <w:sz w:val="32"/>
          <w:szCs w:val="36"/>
        </w:rPr>
        <w:t>基本情况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（一）部门概况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楷体_GB2312" w:hAnsi="仿宋" w:hint="eastAsia"/>
          <w:b/>
          <w:bCs/>
          <w:color w:val="000000"/>
          <w:sz w:val="32"/>
          <w:szCs w:val="32"/>
        </w:rPr>
      </w:pPr>
      <w:r>
        <w:rPr>
          <w:rFonts w:ascii="仿宋" w:eastAsia="仿宋" w:hAnsi="仿宋"/>
          <w:b/>
          <w:bCs/>
          <w:color w:val="000000"/>
          <w:sz w:val="32"/>
          <w:szCs w:val="32"/>
          <w:lang w:eastAsia="zh-CN"/>
        </w:rPr>
        <w:t>（1）</w:t>
      </w:r>
      <w:r>
        <w:rPr>
          <w:rFonts w:ascii="仿宋" w:eastAsia="仿宋" w:hAnsi="仿宋" w:hint="eastAsia"/>
          <w:b/>
          <w:bCs/>
          <w:color w:val="000000"/>
          <w:sz w:val="32"/>
          <w:szCs w:val="32"/>
          <w:lang w:eastAsia="zh-CN"/>
        </w:rPr>
        <w:t>部门职能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1.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承担全面依法治区重大问题的政策研究。组织协调有关方面提出全面依法治区中长期规划建议，负责有关重大决策部署督察工作。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2.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负责区政府各部门政府规范性文件的备案审查工作。负责对区政府政策措施、规范性文件和合同协议的合法性审核工作；承办区政府交办的涉法事务。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3.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承担统筹推进井陉矿区法治政府建设的责任。指导、监督区政府各部门依法行政工作；负责综合协调行政执法，推进行政执法体制改革有关工作，推进严格规范公正文明执法；依法承办行政复议案件；受区政府委托，代理行政诉讼案件的应诉；受区政府委托，代理由市政府审理的行政复议裁决案件；指导、监督全区行政复议和行政应诉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4.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承担统筹规划全区法治社会建设的责任。负责拟订全区法治宣传教育规划，组织实施普法宣传工作；负责全区依法治理和法治创建工作，推动全区人民参与和促进法治建设，负责全区调解工作；负责全区人民陪审员、人民监督员选任管理工作；管理、指导全区司法所建设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5.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负责全区社区矫正工作，负责全区刑满释放人员的帮教安置工作。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6.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负责拟订全区公共法律服务体系建设规划并组织实施，统筹和布局全区法律服务资源；负责全区律师、公证、法律援助、司法鉴定、仲裁和基层法律服务管理工作。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7.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负责本系统警车等物资装备管理工作；指导、监督本系统财务、装备、设施、场所等保障工作。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8.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规划、协调、指导全区法治人才队伍建设相关工作；负责本系统队伍建设，负责本系统人事警务管理工作。</w:t>
      </w:r>
    </w:p>
    <w:p>
      <w:pPr>
        <w:pStyle w:val="133"/>
        <w:spacing w:line="540" w:lineRule="exact"/>
        <w:ind w:leftChars="0" w:left="0"/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ascii="仿宋_GB2312" w:eastAsia="仿宋_GB2312" w:hAnsi="仿宋"/>
          <w:color w:val="000000"/>
          <w:kern w:val="2"/>
          <w:sz w:val="32"/>
          <w:szCs w:val="32"/>
          <w:lang w:val="en-US" w:eastAsia="zh-CN" w:bidi="ar-SA"/>
        </w:rPr>
        <w:t>9.</w:t>
      </w:r>
      <w:r>
        <w:rPr>
          <w:rFonts w:ascii="仿宋_GB2312" w:eastAsia="仿宋_GB2312" w:hAnsi="仿宋" w:hint="eastAsia"/>
          <w:color w:val="000000"/>
          <w:kern w:val="2"/>
          <w:sz w:val="32"/>
          <w:szCs w:val="32"/>
          <w:lang w:val="en-US" w:eastAsia="zh-CN" w:bidi="ar-SA"/>
        </w:rPr>
        <w:t>完成区委、区政府交办的其他任务。</w:t>
      </w:r>
    </w:p>
    <w:p>
      <w:pPr>
        <w:pStyle w:val="133"/>
        <w:spacing w:line="540" w:lineRule="exact"/>
        <w:ind w:leftChars="0" w:left="0"/>
        <w:rPr>
          <w:rFonts w:ascii="仿宋" w:eastAsia="仿宋" w:cs="仿宋" w:hAnsi="仿宋" w:hint="eastAsia"/>
          <w:b/>
          <w:bCs/>
          <w:color w:val="000000"/>
          <w:sz w:val="32"/>
          <w:szCs w:val="32"/>
        </w:rPr>
      </w:pPr>
      <w:r>
        <w:rPr>
          <w:rFonts w:ascii="仿宋" w:eastAsia="仿宋" w:cs="仿宋" w:hAnsi="仿宋" w:hint="eastAsia"/>
          <w:b/>
          <w:bCs/>
          <w:color w:val="000000"/>
          <w:kern w:val="2"/>
          <w:sz w:val="32"/>
          <w:szCs w:val="32"/>
          <w:lang w:val="en-US" w:eastAsia="zh-CN" w:bidi="ar-SA"/>
        </w:rPr>
        <w:t>（2）</w:t>
      </w:r>
      <w:r>
        <w:rPr>
          <w:rFonts w:ascii="仿宋" w:eastAsia="仿宋" w:cs="仿宋" w:hAnsi="仿宋" w:hint="eastAsia"/>
          <w:b/>
          <w:bCs/>
          <w:color w:val="000000"/>
          <w:sz w:val="32"/>
          <w:szCs w:val="32"/>
          <w:lang w:eastAsia="zh-CN"/>
        </w:rPr>
        <w:t>组织机构及人员</w:t>
      </w:r>
    </w:p>
    <w:p>
      <w:pPr>
        <w:snapToGrid w:val="0"/>
        <w:spacing w:line="540" w:lineRule="exact"/>
        <w:ind w:leftChars="0" w:left="0" w:firstLineChars="200" w:firstLine="640"/>
        <w:rPr>
          <w:rFonts w:ascii="仿宋_GB2312" w:eastAsia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int="eastAsia"/>
          <w:color w:val="000000"/>
          <w:sz w:val="32"/>
          <w:szCs w:val="32"/>
          <w:lang w:val="en-US" w:eastAsia="zh-CN" w:bidi="ar-SA"/>
        </w:rPr>
        <w:t>矿区司法局编制数18个，截至2024年底实际在编共14人。经费来源为财政拨款。下设石家庄市井陉矿区公证处（不单独核算），编制数3个，截至2022年底实际在编共0人。经费来源为财政拨款。2024年，我部门共减少3人，行政编制2人，事业编制1人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（二）部门收支预决算情况</w:t>
      </w:r>
    </w:p>
    <w:p>
      <w:pPr>
        <w:snapToGrid w:val="0"/>
        <w:spacing w:line="540" w:lineRule="exact"/>
        <w:ind w:leftChars="0" w:left="0" w:firstLineChars="200" w:firstLine="640"/>
        <w:rPr>
          <w:rFonts w:ascii="仿宋_GB2312" w:eastAsia="仿宋_GB2312" w:cs="仿宋_GB2312" w:hint="eastAsia"/>
          <w:bCs/>
          <w:color w:val="000000"/>
          <w:sz w:val="32"/>
          <w:szCs w:val="32"/>
        </w:rPr>
      </w:pP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本年年初预算收入、支出均为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bidi="ar-SA"/>
        </w:rPr>
        <w:t>465.71万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元，其中包括：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bidi="ar-SA"/>
        </w:rPr>
        <w:t>人员经费305.1万元，日常公用经费17.12万元，项目支出143.49</w:t>
      </w:r>
      <w:r>
        <w:rPr>
          <w:rFonts w:ascii="仿宋_GB2312" w:eastAsia="仿宋_GB2312" w:cs="仿宋_GB2312" w:hint="eastAsia"/>
          <w:bCs/>
          <w:color w:val="000000"/>
          <w:sz w:val="32"/>
          <w:szCs w:val="32"/>
          <w:lang w:val="en-US" w:eastAsia="zh-CN" w:bidi="ar-SA"/>
        </w:rPr>
        <w:t>万元。与上年对比增加58.62万元，增加原因主要是结转2023年上级专款。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（三）部门整体支出绩效目标、指标</w:t>
      </w:r>
    </w:p>
    <w:p>
      <w:pPr>
        <w:pStyle w:val="134"/>
        <w:spacing w:line="540" w:lineRule="exact"/>
        <w:ind w:leftChars="0" w:left="0"/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  <w:t>1.按照中央省、市要求，以维护公平正义为主线，在普法宣传、社区矫正、法律援助、公证业务上要有新突破，法律服务队伍管理、基层基础建设和机关自身建设要有新加强，实现司法行政整体工作进入取得先进位次，为建设科技特钢城，品质新矿区提供法律服务和法律保障。</w:t>
      </w:r>
    </w:p>
    <w:p>
      <w:pPr>
        <w:pStyle w:val="134"/>
        <w:spacing w:line="540" w:lineRule="exact"/>
        <w:ind w:leftChars="0" w:left="0"/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  <w:t>2.持续开展矛盾纠纷排查化解活动；充分发挥矿区民间疑难纠纷社区工作。充分发挥矿区民间疑难纠纷调解中心示范作用，探索培育新型调解组织。</w:t>
      </w:r>
    </w:p>
    <w:p>
      <w:pPr>
        <w:pStyle w:val="134"/>
        <w:spacing w:line="540" w:lineRule="exact"/>
        <w:ind w:leftChars="0" w:left="0"/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  <w:t>3.继续组织公证员、律师、法律服务人员深入开展“法律九进”和“法治九建”活动。全面落实“谁执法、谁普法”责任制，深入社区、机关、乡村、学校等地展开普法宣传活动。</w:t>
      </w:r>
    </w:p>
    <w:p>
      <w:pPr>
        <w:pStyle w:val="134"/>
        <w:spacing w:line="540" w:lineRule="exact"/>
        <w:ind w:leftChars="0" w:left="0"/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  <w:lang w:eastAsia="zh-CN"/>
        </w:rPr>
        <w:t>4.提升服务效能，加大法律援助工作力度。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Style w:val="0"/>
          <w:rFonts w:ascii="仿宋_GB2312" w:eastAsia="仿宋_GB2312" w:cs="仿宋_GB2312" w:hAnsi="仿宋_GB2312" w:hint="eastAsia"/>
          <w:bCs/>
          <w:color w:val="000000"/>
          <w:sz w:val="32"/>
          <w:szCs w:val="32"/>
        </w:rPr>
        <w:t>5.着力完善社区矫正各项管理制度和工作制度，确保刑法的规范化执行，扎实做好法治矿区创建工作。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二、自评工作开展情况</w:t>
      </w:r>
    </w:p>
    <w:p>
      <w:pPr>
        <w:spacing w:line="540" w:lineRule="exact"/>
        <w:ind w:leftChars="0" w:left="0"/>
        <w:rPr>
          <w:rFonts w:ascii="楷体" w:eastAsia="楷体" w:cs="楷体_GB2312" w:hAnsi="楷体"/>
          <w:color w:val="000000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color w:val="000000"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（一）自评的组织工作</w:t>
      </w:r>
    </w:p>
    <w:p>
      <w:pPr>
        <w:spacing w:line="540" w:lineRule="exact"/>
        <w:ind w:leftChars="0" w:left="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 xml:space="preserve">   </w:t>
      </w: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</w:rPr>
        <w:t>局党组将绩效自评作为重点工作进行部署，专门成立了绩效评价工作领导小组。领导小组由党组书记、局长史志强同志担任组长，成员涵盖办公室负责人、财务分管领导以及各业务股室负责人，为自评工作提供了有力的组织保障。</w:t>
      </w:r>
    </w:p>
    <w:p>
      <w:pPr>
        <w:spacing w:line="540" w:lineRule="exact"/>
        <w:ind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/>
          <w:bCs/>
          <w:color w:val="000000"/>
          <w:sz w:val="32"/>
          <w:szCs w:val="32"/>
        </w:rPr>
        <w:t>（二</w:t>
      </w:r>
      <w:bookmarkStart w:id="0" w:name="_GoBack"/>
      <w:bookmarkEnd w:id="0"/>
      <w:r>
        <w:rPr>
          <w:rFonts w:ascii="楷体" w:eastAsia="楷体" w:cs="楷体_GB2312" w:hAnsi="楷体"/>
          <w:bCs/>
          <w:color w:val="000000"/>
          <w:sz w:val="32"/>
          <w:szCs w:val="32"/>
        </w:rPr>
        <w:t>）</w:t>
      </w: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自评的方法和过程</w:t>
      </w:r>
    </w:p>
    <w:p>
      <w:pPr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</w:rPr>
        <w:t>评价工作组预先制定了详细的自评实施方案，明确了评价范围、工作步骤及进度安排，有序推进自评工作。本次评价以202</w:t>
      </w:r>
      <w:r>
        <w:rPr>
          <w:rFonts w:ascii="仿宋_GB2312" w:eastAsia="仿宋_GB2312" w:cs="仿宋_GB2312" w:hAnsi="仿宋_GB2312"/>
          <w:bCs/>
          <w:color w:val="000000"/>
          <w:sz w:val="32"/>
          <w:szCs w:val="32"/>
        </w:rPr>
        <w:t>4</w:t>
      </w:r>
      <w:r>
        <w:rPr>
          <w:rFonts w:ascii="仿宋_GB2312" w:eastAsia="仿宋_GB2312" w:cs="仿宋_GB2312" w:hAnsi="仿宋_GB2312" w:hint="eastAsia"/>
          <w:bCs/>
          <w:color w:val="000000"/>
          <w:sz w:val="32"/>
          <w:szCs w:val="32"/>
        </w:rPr>
        <w:t>年度预算批复的项目绩效目标和考核指标为基准，通过核查财务凭证、比对各项绩效指标实际完成情况，开展综合分析评估，最终形成各项目的自评结果。</w:t>
      </w:r>
    </w:p>
    <w:p>
      <w:pPr>
        <w:spacing w:line="540" w:lineRule="exact"/>
        <w:ind w:leftChars="0" w:left="0"/>
        <w:rPr>
          <w:rFonts w:ascii="黑体" w:eastAsia="黑体" w:hAnsi="黑体"/>
          <w:b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1"/>
        </w:numPr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总体绩效目标实现情况</w:t>
      </w:r>
    </w:p>
    <w:p>
      <w:pPr>
        <w:spacing w:line="540" w:lineRule="exact"/>
        <w:ind w:leftChars="0" w:left="0" w:firstLineChars="200" w:firstLine="640"/>
        <w:rPr>
          <w:rFonts w:ascii="仿宋_GB2312" w:eastAsia="仿宋_GB2312" w:cs="仿宋_GB2312"/>
          <w:color w:val="000000"/>
          <w:sz w:val="32"/>
          <w:szCs w:val="32"/>
          <w:lang w:bidi="ar-SA"/>
        </w:rPr>
      </w:pPr>
      <w:r>
        <w:rPr>
          <w:rFonts w:ascii="仿宋_GB2312" w:eastAsia="仿宋_GB2312" w:cs="仿宋_GB2312" w:hint="eastAsia"/>
          <w:color w:val="000000"/>
          <w:sz w:val="32"/>
          <w:szCs w:val="32"/>
          <w:lang w:eastAsia="zh-CN" w:bidi="ar-SA"/>
        </w:rPr>
        <w:t>按照中央省、市要求，以维护公平正义为主线，在普法宣传、社区矫正、法律援助、公证业务上要有新突破，法律服务队伍管理、基层基础建设和机关自身建设要有新加强，实现司法行政整体工作进入取得先进位次，为建设科技特钢城，品质新矿区提供法律服务和法律保障。持续开展矛盾纠纷排查化解活动；充分发挥矿区民间疑难纠纷社区工作。充分发挥矿区民间疑难纠纷调解中心示范作用，探索培育新型调解组织。继续组织公证员、律师、法律服务人员深入开展“法律九进”和“法治九建”活动。全面落实“谁执法、谁普法”责任制，深入社区、机关、乡村、学校等地展开普法宣传活动。提升服务效能，加大法律援助工作力度。</w:t>
      </w:r>
      <w:r>
        <w:rPr>
          <w:rFonts w:ascii="仿宋_GB2312" w:eastAsia="仿宋_GB2312" w:cs="仿宋_GB2312" w:hint="eastAsia"/>
          <w:color w:val="000000"/>
          <w:sz w:val="32"/>
          <w:szCs w:val="32"/>
          <w:lang w:bidi="ar-SA"/>
        </w:rPr>
        <w:t>着力完善社区矫正各项管理制度和工作制度，确保刑法的规范化执行，扎实做好法治矿区创建工作。</w:t>
      </w:r>
    </w:p>
    <w:p>
      <w:pPr>
        <w:spacing w:line="540" w:lineRule="exact"/>
        <w:ind w:leftChars="0" w:left="0" w:firstLineChars="200" w:firstLine="640"/>
        <w:rPr>
          <w:rFonts w:ascii="楷体" w:eastAsia="楷体" w:cs="楷体_GB2312" w:hAnsi="楷体"/>
          <w:bCs/>
          <w:color w:val="000000"/>
          <w:sz w:val="32"/>
          <w:szCs w:val="32"/>
        </w:rPr>
      </w:pPr>
      <w:r>
        <w:rPr>
          <w:rFonts w:ascii="楷体" w:eastAsia="楷体" w:cs="楷体_GB2312" w:hAnsi="楷体" w:hint="eastAsia"/>
          <w:bCs/>
          <w:color w:val="000000"/>
          <w:sz w:val="32"/>
          <w:szCs w:val="32"/>
        </w:rPr>
        <w:t>（二）分项绩效目标实现情况及指标分析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1</w:t>
      </w:r>
      <w:r>
        <w:rPr>
          <w:rFonts w:ascii="仿宋_GB2312" w:eastAsia="仿宋_GB2312" w:cs="仿宋_GB2312" w:hAnsi="仿宋_GB2312"/>
          <w:color w:val="000000"/>
          <w:sz w:val="32"/>
          <w:szCs w:val="32"/>
          <w:lang w:eastAsia="zh-CN"/>
        </w:rPr>
        <w:t>、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劳务派遣</w:t>
      </w:r>
      <w:r>
        <w:rPr>
          <w:rFonts w:ascii="仿宋_GB2312" w:eastAsia="仿宋_GB2312" w:cs="仿宋_GB2312" w:hAnsi="仿宋_GB2312"/>
          <w:color w:val="000000"/>
          <w:sz w:val="32"/>
          <w:szCs w:val="32"/>
          <w:lang w:eastAsia="zh-CN"/>
        </w:rPr>
        <w:t>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绩效目标：对本单位</w:t>
      </w:r>
      <w:r>
        <w:rPr>
          <w:rFonts w:ascii="仿宋_GB2312" w:eastAsia="仿宋_GB2312" w:cs="仿宋_GB2312" w:hAnsi="仿宋_GB2312"/>
          <w:color w:val="000000"/>
          <w:sz w:val="32"/>
          <w:szCs w:val="32"/>
          <w:lang w:eastAsia="zh-CN"/>
        </w:rPr>
        <w:t>1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名劳务派遣人员的工资做到按时发放。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</w:t>
      </w:r>
      <w:r>
        <w:rPr>
          <w:rFonts w:ascii="仿宋_GB2312" w:eastAsia="仿宋_GB2312" w:cs="仿宋_GB2312" w:hAnsi="仿宋_GB2312"/>
          <w:color w:val="000000"/>
          <w:sz w:val="32"/>
          <w:szCs w:val="32"/>
          <w:lang w:eastAsia="zh-CN"/>
        </w:rPr>
        <w:t>2024年度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每月按时发放工资。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2、党建经费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绩效目标：全面推进</w:t>
      </w:r>
      <w:r>
        <w:rPr>
          <w:rFonts w:ascii="仿宋_GB2312" w:eastAsia="仿宋_GB2312" w:cs="仿宋_GB2312" w:hAnsi="仿宋_GB2312"/>
          <w:color w:val="000000"/>
          <w:sz w:val="32"/>
          <w:szCs w:val="32"/>
          <w:lang w:eastAsia="zh-CN"/>
        </w:rPr>
        <w:t>党的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建设、思想建设、组织建设、作风建设、纪律建设，深入推进反腐斗争。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绩效指标：把制度建设贯穿其中，不断提高党的建设质量。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3、法律公正经费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绩效目标：根据当事人的申请。依法证明法律行为、有法律意义的文书和实施的真实性、合法性。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绩效指标：预防和减少纠纷，维护当事人合法权益。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4、法制办经费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绩效目标：按照法律法规做好执法监督、业务培训。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绩效指标：加强全区行政执法队伍建设，提高行政执法人员法律素养和执法水平。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5、社区矫正经费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绩效目标：减少矫正对象在犯罪行为，促进社会安全稳定。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6、安置帮教经费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绩效目标:有效减少重新犯罪行为，实现再社会化。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绩效指标：提高公众安全感，创造良好环境，保障人民群众安居乐业。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7、全面依法治区经费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绩效目标：统筹推进井陉矿区法治政府建设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绩效指标：完成全面依法治区重大问题的政策研究，完成区政府各部门政府规范性文件的备案审查工作。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8、法律顾问经费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绩效目标：为政府及时提供法律服务，降低风险。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绩效指标：做好政府法律顾问相关工作，发挥政府参谋助手作用，提升区政府依法行政决策水平。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9、法律援助经费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绩效目标：优化法律援助质量与效果，保障困难群体应援尽援。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绩效指标：加大对弱势群体和特殊人群的法律帮助，提高法律援助办案质量，维护困难群众及特殊人群的合法权益。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10、普法宣传经费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绩效目标：提升全区人民尊法学法守法用法意识。</w:t>
      </w:r>
    </w:p>
    <w:p>
      <w:pPr>
        <w:pStyle w:val="135"/>
        <w:spacing w:line="540" w:lineRule="exact"/>
        <w:ind w:leftChars="0" w:left="0"/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绩效指标：提供法律咨询，运用法律知识维护群众自身利益。</w:t>
      </w:r>
    </w:p>
    <w:p>
      <w:pPr>
        <w:spacing w:line="540" w:lineRule="exact"/>
        <w:ind w:leftChars="0" w:left="0"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四、评价结论和评价等级</w:t>
      </w:r>
    </w:p>
    <w:p>
      <w:pPr>
        <w:spacing w:line="540" w:lineRule="exact"/>
        <w:ind w:leftChars="0" w:left="0"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经综合评估我局职能定位及年度履职情况，部门整体绩效自评总分为85分（满分100分），绩效等级评定为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“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优秀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”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。202</w:t>
      </w:r>
      <w:r>
        <w:rPr>
          <w:rFonts w:ascii="仿宋_GB2312" w:eastAsia="仿宋_GB2312" w:cs="仿宋_GB2312" w:hAnsi="仿宋_GB2312"/>
          <w:color w:val="000000"/>
          <w:sz w:val="32"/>
          <w:szCs w:val="32"/>
        </w:rPr>
        <w:t>4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年度部门整体绩效目标紧密契合部门职责和年度重点工作任务，为履职尽责提供了清晰导向；预算编制科学合理，重点任务资金保障到位；经费支出严格遵循财经纪律，未出现专项资金挤占、挪用或截留等违规情况；年度整体绩效目标总体完成情况良好。</w:t>
      </w:r>
    </w:p>
    <w:p>
      <w:pPr>
        <w:spacing w:line="540" w:lineRule="exact"/>
        <w:ind w:leftChars="0" w:left="0"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五、存在的问题及改进措施</w:t>
      </w:r>
    </w:p>
    <w:p>
      <w:pPr>
        <w:spacing w:line="540" w:lineRule="exact"/>
        <w:ind w:leftChars="0" w:left="0" w:firstLineChars="200" w:firstLine="640"/>
        <w:rPr>
          <w:rFonts w:ascii="楷体" w:eastAsia="楷体" w:cs="楷体" w:hAnsi="楷体" w:hint="eastAsia"/>
          <w:bCs/>
          <w:color w:val="000000"/>
          <w:sz w:val="32"/>
          <w:szCs w:val="32"/>
        </w:rPr>
      </w:pPr>
      <w:r>
        <w:rPr>
          <w:rFonts w:ascii="楷体" w:eastAsia="楷体" w:cs="楷体" w:hAnsi="楷体" w:hint="eastAsia"/>
          <w:bCs/>
          <w:color w:val="000000"/>
          <w:sz w:val="32"/>
          <w:szCs w:val="32"/>
        </w:rPr>
        <w:t>（一）存在的主要问题</w:t>
      </w: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40" w:lineRule="exact"/>
        <w:ind w:leftChars="0" w:left="0" w:firstLineChars="200" w:firstLine="640"/>
        <w:rPr>
          <w:rFonts w:ascii="仿宋_GB2312" w:eastAsia="仿宋_GB2312" w:cs="仿宋_GB2312" w:hAnsi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1.绩效指标设置不够完善。现有绩效目标的三级指标设计较为单一，部分二级指标仅对应一个三级指标，未能充分体现项目实施的具体内容和成效。</w:t>
      </w: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40" w:lineRule="exact"/>
        <w:ind w:leftChars="0" w:left="0" w:firstLineChars="200" w:firstLine="640"/>
        <w:rPr>
          <w:rFonts w:ascii="仿宋_GB2312" w:eastAsia="仿宋_GB2312" w:cs="仿宋_GB2312" w:hAnsi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2.预算执行效率需进一步提升。在预算实施过程中，需加强项目推进力度，优化资金支付流程，严格按照时间节点加快预算执行进度，确保财政资金及时发挥效益。</w:t>
      </w:r>
    </w:p>
    <w:p>
      <w:pPr>
        <w:spacing w:line="540" w:lineRule="exact"/>
        <w:ind w:leftChars="0" w:left="0" w:firstLineChars="200" w:firstLine="640"/>
        <w:rPr>
          <w:rFonts w:ascii="楷体" w:eastAsia="楷体" w:hAnsi="楷体"/>
          <w:bCs/>
          <w:color w:val="000000"/>
          <w:sz w:val="32"/>
          <w:szCs w:val="32"/>
        </w:rPr>
      </w:pPr>
      <w:r>
        <w:rPr>
          <w:rFonts w:ascii="楷体" w:eastAsia="楷体" w:hAnsi="楷体" w:hint="eastAsia"/>
          <w:bCs/>
          <w:color w:val="000000"/>
          <w:sz w:val="32"/>
          <w:szCs w:val="32"/>
        </w:rPr>
        <w:t>（二）针对问题提出具体的改进措施或建议</w:t>
      </w: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40" w:lineRule="exact"/>
        <w:ind w:leftChars="0" w:left="0" w:firstLineChars="200" w:firstLine="640"/>
        <w:rPr>
          <w:rFonts w:ascii="仿宋_GB2312" w:eastAsia="仿宋_GB2312" w:cs="仿宋_GB2312" w:hAnsi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Ansi="仿宋_GB2312"/>
          <w:color w:val="000000"/>
          <w:sz w:val="32"/>
          <w:szCs w:val="32"/>
        </w:rPr>
        <w:t>1.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完善绩效指标体系。从时效性、数量化、质量化三个维度着手，科学设置多层次、可量化的绩效考评指标，构建更加系统、规范的绩效评价体系，切实提升指标设定的科学性和可操作性。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仿宋_GB2312" w:eastAsia="仿宋_GB2312" w:cs="仿宋_GB2312" w:hAnsi="仿宋_GB2312"/>
          <w:color w:val="000000"/>
          <w:sz w:val="32"/>
          <w:szCs w:val="32"/>
        </w:rPr>
      </w:pPr>
      <w:r>
        <w:rPr>
          <w:rFonts w:ascii="仿宋_GB2312" w:eastAsia="仿宋_GB2312" w:cs="仿宋_GB2312" w:hAnsi="仿宋_GB2312"/>
          <w:color w:val="000000"/>
          <w:sz w:val="32"/>
          <w:szCs w:val="32"/>
        </w:rPr>
        <w:t>2.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强化预算执行管理。建立健全预算执行</w:t>
      </w:r>
      <w:r>
        <w:rPr>
          <w:rFonts w:ascii="仿宋_GB2312" w:eastAsia="仿宋_GB2312" w:cs="仿宋_GB2312" w:hAnsi="仿宋_GB2312"/>
          <w:color w:val="000000"/>
          <w:sz w:val="32"/>
          <w:szCs w:val="32"/>
        </w:rPr>
        <w:t>监督管理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机制，加强对预算编制、执行全过程的监督管理，优化资金支付流程，着力提升预算执行效率和资金使用效益。</w:t>
      </w:r>
    </w:p>
    <w:p>
      <w:pPr>
        <w:adjustRightInd w:val="0"/>
        <w:snapToGrid w:val="0"/>
        <w:spacing w:line="540" w:lineRule="exact"/>
        <w:ind w:leftChars="0" w:left="0"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六、评价工作组人员名单及签字（姓名、工作单位、职务、职称）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 w:hint="eastAsia"/>
          <w:color w:val="000000"/>
          <w:sz w:val="32"/>
          <w:szCs w:val="32"/>
        </w:rPr>
        <w:t xml:space="preserve">组长：矿区司法局 党组书记、局长  </w:t>
      </w:r>
      <w:r>
        <w:rPr>
          <w:rFonts w:ascii="仿宋" w:eastAsia="仿宋" w:cs="仿宋" w:hAnsi="黑体"/>
          <w:color w:val="000000"/>
          <w:sz w:val="32"/>
          <w:szCs w:val="32"/>
        </w:rPr>
        <w:t xml:space="preserve">           </w:t>
      </w:r>
      <w:r>
        <w:rPr>
          <w:rFonts w:ascii="仿宋" w:eastAsia="仿宋" w:cs="仿宋" w:hAnsi="黑体" w:hint="eastAsia"/>
          <w:color w:val="000000"/>
          <w:sz w:val="32"/>
          <w:szCs w:val="32"/>
        </w:rPr>
        <w:t>史志强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>成员：矿区司法局 党组成员、副局长           高秋生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矿区司法局 党组成员、副局长           杨忠毅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矿区司法局 办公室主任                 郑  希</w:t>
      </w:r>
    </w:p>
    <w:p>
      <w:pPr>
        <w:wordWrap/>
        <w:adjustRightInd w:val="0"/>
        <w:snapToGrid w:val="0"/>
        <w:spacing w:line="540" w:lineRule="exact"/>
        <w:ind w:leftChars="0" w:left="0" w:firstLineChars="200" w:firstLine="64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矿区司法局 法制股                     吴  炜</w:t>
      </w:r>
    </w:p>
    <w:p>
      <w:pPr>
        <w:wordWrap/>
        <w:adjustRightInd w:val="0"/>
        <w:snapToGrid w:val="0"/>
        <w:spacing w:line="540" w:lineRule="exact"/>
        <w:ind w:leftChars="0" w:left="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    矿区司法局 行政执法管理股             赵艳萍 </w:t>
      </w:r>
    </w:p>
    <w:p>
      <w:pPr>
        <w:wordWrap/>
        <w:adjustRightInd w:val="0"/>
        <w:snapToGrid w:val="0"/>
        <w:spacing w:line="540" w:lineRule="exact"/>
        <w:ind w:leftChars="0" w:left="0" w:firstLineChars="500" w:firstLine="160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>矿区司法局 人民参与和促进法治股负责人 胡春洁</w:t>
      </w:r>
    </w:p>
    <w:p>
      <w:pPr>
        <w:wordWrap/>
        <w:adjustRightInd w:val="0"/>
        <w:snapToGrid w:val="0"/>
        <w:spacing w:line="540" w:lineRule="exact"/>
        <w:ind w:leftChars="0" w:left="0"/>
        <w:rPr>
          <w:rFonts w:ascii="仿宋" w:eastAsia="仿宋" w:cs="仿宋" w:hAnsi="黑体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    矿区司法局 社区矫正管理股负责人       乔计林</w:t>
      </w:r>
    </w:p>
    <w:p>
      <w:pPr>
        <w:wordWrap/>
        <w:adjustRightInd w:val="0"/>
        <w:snapToGrid w:val="0"/>
        <w:spacing w:line="540" w:lineRule="exact"/>
        <w:ind w:leftChars="0" w:left="0"/>
        <w:rPr>
          <w:rFonts w:ascii="仿宋" w:eastAsia="仿宋" w:cs="仿宋" w:hAnsi="黑体" w:hint="eastAsia"/>
          <w:color w:val="000000"/>
          <w:sz w:val="32"/>
          <w:szCs w:val="32"/>
        </w:rPr>
      </w:pPr>
      <w:r>
        <w:rPr>
          <w:rFonts w:ascii="仿宋" w:eastAsia="仿宋" w:cs="仿宋" w:hAnsi="黑体"/>
          <w:color w:val="000000"/>
          <w:sz w:val="32"/>
          <w:szCs w:val="32"/>
        </w:rPr>
        <w:t xml:space="preserve">          矿区司法局 普法办负责人               张  琦</w:t>
      </w:r>
    </w:p>
    <w:p>
      <w:pPr>
        <w:spacing w:line="540" w:lineRule="exact"/>
        <w:ind w:leftChars="0" w:left="0"/>
        <w:rPr>
          <w:rFonts w:ascii="仿宋" w:eastAsia="仿宋" w:hAnsi="仿宋"/>
          <w:color w:val="000000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方正仿宋_GBK">
    <w:altName w:val="宋体"/>
    <w:panose1 w:val="00000000000000000000"/>
    <w:charset w:val="86"/>
    <w:family w:val="swiss"/>
    <w:pitch w:val="variable"/>
    <w:sig w:usb0="00000000" w:usb1="00000000" w:usb2="00000000" w:usb3="00000000" w:csb0="00040001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7" distR="91437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492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9492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1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" o:spid="_x0000_s2" filled="f" stroked="f" style="position:absolute;margin-left:0.0pt;margin-top:0.0pt;width:16.495434pt;height:12.820473pt;z-index:12;mso-position-horizontal:center;mso-position-horizontal-relative:margin;mso-position-vertical:absolute;mso-wrap-distance-left:7.1998425pt;mso-wrap-distance-right:7.1998425pt;mso-wrap-style:none;">
              <v:stroke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黑体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黑体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黑体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qFormat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20">
    <w:name w:val="index 8"/>
    <w:qFormat/>
    <w:basedOn w:val="0"/>
    <w:autoRedefine/>
    <w:next w:val="0"/>
    <w:pPr>
      <w:ind w:left="2940"/>
    </w:pPr>
  </w:style>
  <w:style w:type="paragraph" w:styleId="21">
    <w:name w:val="index 9"/>
    <w:qFormat/>
    <w:basedOn w:val="0"/>
    <w:autoRedefine/>
    <w:next w:val="0"/>
    <w:pPr>
      <w:ind w:left="3360"/>
    </w:pPr>
  </w:style>
  <w:style w:type="paragraph" w:styleId="22">
    <w:name w:val="toc 1"/>
    <w:qFormat/>
    <w:basedOn w:val="0"/>
    <w:autoRedefine/>
    <w:next w:val="0"/>
  </w:style>
  <w:style w:type="paragraph" w:customStyle="1" w:styleId="133">
    <w:name w:val="插入文本样式-插入部门职责文件"/>
    <w:qFormat/>
    <w:basedOn w:val="0"/>
    <w:pPr>
      <w:widowControl w:val="0"/>
      <w:spacing w:line="500" w:lineRule="exact"/>
      <w:ind w:firstLine="560"/>
      <w:jc w:val="both"/>
    </w:pPr>
    <w:rPr>
      <w:rFonts w:ascii="Times New Roman" w:eastAsia="方正仿宋_GBK" w:cs="Times New Roman" w:hAnsi="Times New Roman"/>
      <w:kern w:val="2"/>
      <w:sz w:val="28"/>
      <w:szCs w:val="24"/>
      <w:lang w:val="en-US" w:eastAsia="zh-CN" w:bidi="ar-SA"/>
    </w:rPr>
  </w:style>
  <w:style w:type="paragraph" w:customStyle="1" w:styleId="134">
    <w:name w:val="插入文本样式-插入总体目标文件"/>
    <w:qFormat/>
    <w:basedOn w:val="0"/>
    <w:pPr>
      <w:widowControl w:val="0"/>
      <w:spacing w:before="0" w:after="0" w:line="500" w:lineRule="exact"/>
      <w:ind w:firstLine="560"/>
      <w:jc w:val="left"/>
      <w:outlineLvl w:val="9"/>
    </w:pPr>
    <w:rPr>
      <w:rFonts w:ascii="Times New Roman" w:eastAsia="方正仿宋_GBK" w:cs="Times New Roman" w:hAnsi="Times New Roman"/>
      <w:kern w:val="2"/>
      <w:sz w:val="28"/>
      <w:szCs w:val="24"/>
      <w:lang w:val="en-US" w:eastAsia="uk-UA" w:bidi="ar-SA"/>
    </w:rPr>
  </w:style>
  <w:style w:type="paragraph" w:customStyle="1" w:styleId="135">
    <w:name w:val="插入文本样式-插入职责分类绩效目标文件"/>
    <w:qFormat/>
    <w:basedOn w:val="0"/>
    <w:pPr>
      <w:widowControl w:val="0"/>
      <w:spacing w:before="0" w:after="0" w:line="500" w:lineRule="exact"/>
      <w:ind w:firstLine="560"/>
      <w:jc w:val="left"/>
      <w:outlineLvl w:val="9"/>
    </w:pPr>
    <w:rPr>
      <w:rFonts w:ascii="Times New Roman" w:eastAsia="方正仿宋_GBK" w:cs="Times New Roman" w:hAnsi="Times New Roman"/>
      <w:kern w:val="2"/>
      <w:sz w:val="28"/>
      <w:szCs w:val="24"/>
      <w:lang w:val="en-US" w:eastAsia="uk-UA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Relationship Id="rId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24DAD0C3-638C-4618-9704-AB14168F487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127</TotalTime>
  <Application>Yozo_Office9.0.4819.102ZH</Application>
  <Pages>7</Pages>
  <Words>0</Words>
  <Characters>2716</Characters>
  <Lines>0</Lines>
  <Paragraphs>87</Paragraphs>
  <CharactersWithSpaces>3622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3</cp:revision>
  <cp:lastPrinted>2024-03-06T07:40:18Z</cp:lastPrinted>
  <dcterms:created xsi:type="dcterms:W3CDTF">2020-02-04T03:46:00Z</dcterms:created>
  <dcterms:modified xsi:type="dcterms:W3CDTF">2025-07-22T02:40:17Z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