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ascii="宋体" w:hAnsi="宋体" w:cs="宋体"/>
          <w:b/>
          <w:bCs/>
          <w:sz w:val="44"/>
          <w:szCs w:val="44"/>
          <w:lang w:eastAsia="zh-CN"/>
        </w:rPr>
        <w:t>矿区</w:t>
      </w:r>
      <w:bookmarkStart w:id="0" w:name="OLE_LINK1"/>
      <w:r>
        <w:rPr>
          <w:rFonts w:hint="eastAsia" w:ascii="宋体" w:hAnsi="宋体" w:cs="宋体"/>
          <w:b/>
          <w:bCs/>
          <w:sz w:val="44"/>
          <w:szCs w:val="44"/>
          <w:lang w:eastAsia="zh-CN"/>
        </w:rPr>
        <w:t>卫健</w:t>
      </w:r>
      <w:bookmarkEnd w:id="0"/>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pPr>
        <w:adjustRightInd w:val="0"/>
        <w:snapToGrid w:val="0"/>
        <w:spacing w:line="560" w:lineRule="exact"/>
        <w:ind w:firstLine="640" w:firstLineChars="200"/>
        <w:rPr>
          <w:rFonts w:hint="eastAsia" w:ascii="仿宋" w:hAnsi="仿宋" w:eastAsia="仿宋"/>
          <w:sz w:val="32"/>
          <w:szCs w:val="32"/>
        </w:rPr>
      </w:pPr>
    </w:p>
    <w:p>
      <w:pPr>
        <w:pageBreakBefore w:val="0"/>
        <w:widowControl w:val="0"/>
        <w:kinsoku/>
        <w:wordWrap/>
        <w:overflowPunct/>
        <w:topLinePunct w:val="0"/>
        <w:autoSpaceDE/>
        <w:autoSpaceDN/>
        <w:bidi w:val="0"/>
        <w:adjustRightInd w:val="0"/>
        <w:snapToGrid w:val="0"/>
        <w:spacing w:line="590" w:lineRule="exact"/>
        <w:ind w:right="0" w:rightChars="0" w:firstLine="640" w:firstLineChars="200"/>
        <w:textAlignment w:val="auto"/>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卫健</w:t>
      </w:r>
      <w:r>
        <w:rPr>
          <w:rFonts w:hint="eastAsia" w:ascii="仿宋" w:hAnsi="仿宋" w:eastAsia="仿宋"/>
          <w:sz w:val="32"/>
          <w:szCs w:val="32"/>
        </w:rPr>
        <w:t>部门202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pageBreakBefore w:val="0"/>
        <w:widowControl w:val="0"/>
        <w:kinsoku/>
        <w:wordWrap/>
        <w:overflowPunct/>
        <w:topLinePunct w:val="0"/>
        <w:autoSpaceDE/>
        <w:autoSpaceDN/>
        <w:bidi w:val="0"/>
        <w:adjustRightInd w:val="0"/>
        <w:snapToGrid w:val="0"/>
        <w:spacing w:line="590" w:lineRule="exact"/>
        <w:ind w:right="0" w:rightChars="0"/>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pageBreakBefore w:val="0"/>
        <w:widowControl w:val="0"/>
        <w:kinsoku/>
        <w:wordWrap/>
        <w:overflowPunct/>
        <w:topLinePunct w:val="0"/>
        <w:autoSpaceDE/>
        <w:autoSpaceDN/>
        <w:bidi w:val="0"/>
        <w:adjustRightInd w:val="0"/>
        <w:snapToGrid w:val="0"/>
        <w:spacing w:line="590" w:lineRule="exact"/>
        <w:ind w:right="0" w:rightChars="0"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pStyle w:val="2"/>
        <w:keepNext/>
        <w:keepLines/>
        <w:pageBreakBefore w:val="0"/>
        <w:widowControl w:val="0"/>
        <w:kinsoku/>
        <w:wordWrap/>
        <w:overflowPunct/>
        <w:topLinePunct w:val="0"/>
        <w:autoSpaceDE/>
        <w:autoSpaceDN/>
        <w:bidi w:val="0"/>
        <w:adjustRightInd/>
        <w:snapToGrid/>
        <w:spacing w:before="0" w:after="0" w:line="590" w:lineRule="exact"/>
        <w:ind w:right="0" w:rightChars="0" w:firstLine="640" w:firstLineChars="200"/>
        <w:jc w:val="left"/>
        <w:textAlignment w:val="auto"/>
        <w:rPr>
          <w:rFonts w:hint="eastAsia" w:ascii="黑体" w:eastAsia="黑体" w:cs="黑体"/>
          <w:b w:val="0"/>
          <w:bCs w:val="0"/>
          <w:kern w:val="0"/>
          <w:sz w:val="32"/>
          <w:szCs w:val="32"/>
        </w:rPr>
      </w:pPr>
      <w:r>
        <w:rPr>
          <w:rFonts w:hint="eastAsia" w:ascii="黑体" w:eastAsia="黑体" w:cs="黑体"/>
          <w:b w:val="0"/>
          <w:bCs w:val="0"/>
          <w:kern w:val="0"/>
          <w:sz w:val="32"/>
          <w:szCs w:val="32"/>
          <w:lang w:val="en-US" w:eastAsia="zh-CN"/>
        </w:rPr>
        <w:t>1、</w:t>
      </w:r>
      <w:r>
        <w:rPr>
          <w:rFonts w:hint="eastAsia" w:ascii="黑体" w:eastAsia="黑体" w:cs="黑体"/>
          <w:b w:val="0"/>
          <w:bCs w:val="0"/>
          <w:kern w:val="0"/>
          <w:sz w:val="32"/>
          <w:szCs w:val="32"/>
        </w:rPr>
        <w:t>部门职责</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宋体" w:hAnsi="宋体" w:eastAsia="宋体" w:cs="宋体"/>
          <w:color w:val="000000"/>
          <w:sz w:val="32"/>
          <w:szCs w:val="32"/>
        </w:rPr>
        <w:t>（</w:t>
      </w:r>
      <w:r>
        <w:rPr>
          <w:rFonts w:hint="eastAsia" w:ascii="仿宋" w:hAnsi="仿宋" w:eastAsia="仿宋"/>
          <w:sz w:val="32"/>
          <w:szCs w:val="32"/>
          <w:lang w:val="en-US" w:eastAsia="zh-CN"/>
        </w:rPr>
        <w:t>一）贯彻落实卫生健康、中医药事业发展地方性法规、政府规章草案，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（三）贯彻落实疾病预防控制规划、国家免疫规划以及危害人民健康的公共卫生问题的干预措施。负责卫生应急工作，组织指导突发公共卫生事件的预防控制和各类突发公共事件的医疗卫生救援。</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（四）组织拟订并协调落实应对人口老龄化政策措施，负责推进老年健康服务体系建设和医养结合工作，承担区老龄工作委员会的日常工作。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五）组织实施国家基本药物政策和国家基本药物制度，开展药品使用监测、临床综合评价和短缺药品预警，提出全区基本药物价格政策的建议。配合省市卫生健康委做好食品安全风险监测和食品安全地方标准跟踪评价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六）负责职责范围内的职业卫生、放射卫生、环境卫生、学校卫生、公共场所卫生、饮用水卫生等公共卫生的监督管理，负责传染病防治监督，健全卫生健康综合监督体系。牵头《烟草控制框架公约》履约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（八）负责计划生育管理和服务工作，开展人口监测预警，研究提出人口与家庭发展相关政策建议，落实计划生育政策。</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（九）负责全区卫生健康工作，负责基层医疗卫生、妇幼健康服务体系和全科医生队伍建设。推进卫生健康科技创新发展。</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（十）拟订中医药中长期发展规划，并纳入卫生健康事业发展总体规划和战略目标。</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（十一）负责重要会议与重大活动的医疗卫生保障工作。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（十二）完成区委、区政府交办的其他任务。</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根据上述职责，卫生健康局设7个内设机构：</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一）办公室。负责机关日常工作的协调和督查，负责机关文电、会务、保密、档案、政务公开、后勤保障等工作，承担重大问题调研、重要文稿起草等工作，牵头办理信访、人大代表建议、政协委员提案答复工作。 </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拟订卫生健康人才发展规划，负责机关和所属单位的机构编制、人事管理和队伍建设等工作；负责卫生健康专业技术人员资格管理工作。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负责所属单位财务、国有资产管理和内部审计工作，指导所属单位医疗器械采购工作，提出医疗服务和药品价格政策的建议，指导监督社会抚养费管理工作。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负责卫生系统安全生产监督管理工作，开展安全生产宣传、教育和培训，依法组织或参与组织有关事故调查处理，指导督促所属单位做好安全生产、消防等工作。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负责机关和所属单位的党建、宣传、思想政治、精神文明建设及群团等工作；承担机关和所属单位党风廉政建设具体工作。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二）医政药政科。组织实施西医医疗机构、医疗技术应用、医疗质量和安全、医疗服务、采供血机构管理以及行风建设政策规范、标准。实施卫生专业技术人员执业规则和服务规范，承担推进护理、康复事业发展工作，指导医院临床试验室管理等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拟订中医药事业中长期发展规划，负责中医、中西医结合医疗机构的业务指导和服务管理，督促检查各项规章制度和技术规范的落实，组织实施中医医疗机构卫生技术人员技术管理和技术考核工作；负责中医药科研、中医药人才培养和继续教育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参与药品、医疗器械临床试验及不良反应事件的管理工作。拟订公立医院运行监管、绩效评价和考核制度，并组织实施。组织实施国家基本药物制度，贯彻落实基本药物使用有关政策 、规范以及基本药物使用的管理措施。开展药品使用检测、临床综合评价和短缺药品预警。会同区有关部门提出药品价格政策和国家基本药物目录内药品生产鼓励扶持政策的建议。</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组织拟订卫生健康事业发展中长期规划，承担统筹规划与协调优化全区卫生健康服务资源配置，编制区域卫生健康规划并组织实施，负责卫生健康公共服务体系建设。负责大型医用装备配置管理工作。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承担卫生健康信息化建设，承担卫生健康统计工作。组织开展住院医师、专科医师规范化培训等毕业后医学教育和继续教育工作，指导全科医生队伍建设。</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承担深化医药卫生体制改革具体工作，研究提出深化医药卫生体制改革措施和建议，组织推进公立医院综合改革工作。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（三）基层卫生健康科。负责基层卫生健康政策、标准和规划的组织实施工作，负责城市医疗支援农村医疗工作，负责基层卫生健康服务体系建设和乡村医生管理工作。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四）法制监督科。承担机关规范性文件的合法性审查，承办行政复议、行政应诉等工作；承担公共卫生、医疗卫生等监督工作，查处医疗服务市场违法行为。组织开展学校卫生、公共场所卫生、饮用水卫生、传染病防治监督检查。整顿和规范医疗服务市场，组织查处违法行为，督办重大医疗卫生、计划生育违法案件，开展法制宣传教育。完善综合监督体系，指导规范执法行为。配合省、市卫生健康委做好食品安全风险监测和食品安全地方标准跟踪评价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(五）爱卫科。组织实施爱国卫生运动有关政策、标准、规范；承担《烟草控制框架公约》牵头履约工作；承担区爱国卫生运动委员会办公室具体工作。牵头负责国家卫生城市创建工作。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六）疾控应急职业卫生科。拟订重大疾病防治规划、国家免疫规划、严重危害人民健康的公共卫生问题的干预措施并组织实施，完善疾病预防控制体系，防止和控制疾病发生和疫情蔓延；承担区防治艾滋病工作委员会办公室的具体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拟订卫生应急和紧急医学救援制度、规划、预案和措施，负责卫生应急体系和能力建设，负责突发公共卫生事件和其他突发事件的预防准备、预防控制、监测预警、紧急医学救援、总结评估等工作；组织实施对突发急性传染病的防控和应急措施，对重大灾害、恐怖、中毒事件及核事故、辐射事故等组织实施紧急医学救援。</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组织实施职业卫生、放射卫生相关政策、标准，开展重点职业病监测、专项调查、职业健康风险评估和职业人群健康管理工作；协调开展职业病防治工作。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组织开展卫生健康宣传、健康教育、健康促进活动，承担卫生健康政策宣传、科学普及、新闻和信息发布工作。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七）家庭发展与妇幼健康科。承担人口监测预警工作并提出人口与家庭发展相关政策建议，组织实施生育政策，建立和完善计划生育特殊家庭扶助制度。承担区计划生育领导小组办公室日常工作。组织实施医养结合的政策、标准和规范，建立和完善老年健康服务体系。协调落实对老龄化的政策措施；承担区老龄工作委员会的具体工作。</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宋体" w:hAnsi="宋体" w:cs="宋体"/>
          <w:color w:val="000000"/>
          <w:sz w:val="32"/>
          <w:szCs w:val="32"/>
          <w:lang w:val="en-US" w:eastAsia="zh-CN"/>
        </w:rPr>
        <w:t>组</w:t>
      </w:r>
      <w:r>
        <w:rPr>
          <w:rFonts w:hint="eastAsia" w:ascii="仿宋" w:hAnsi="仿宋" w:eastAsia="仿宋"/>
          <w:sz w:val="32"/>
          <w:szCs w:val="32"/>
          <w:lang w:val="en-US" w:eastAsia="zh-CN"/>
        </w:rPr>
        <w:t>织落实妇幼卫生健康政策、标准和规范，推进妇幼卫生健康技术服务体系建设，指导妇幼卫生、出生缺陷防治、婴幼儿早期发展、人类辅助生殖技术管理和计划生育技术服务工作；依法规范计划生育药具管理工作。</w:t>
      </w:r>
    </w:p>
    <w:p>
      <w:pPr>
        <w:keepNext w:val="0"/>
        <w:keepLines w:val="0"/>
        <w:pageBreakBefore w:val="0"/>
        <w:widowControl w:val="0"/>
        <w:kinsoku/>
        <w:wordWrap/>
        <w:overflowPunct/>
        <w:topLinePunct w:val="0"/>
        <w:autoSpaceDE/>
        <w:autoSpaceDN/>
        <w:bidi w:val="0"/>
        <w:spacing w:line="590" w:lineRule="exact"/>
        <w:ind w:left="0" w:right="0" w:rightChars="0" w:firstLine="640" w:firstLineChars="200"/>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机构及人员情况：</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卫生健康局为正科级，财政拨款，编制数为10人（含计划生育协会2人）。</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局属事业单位有8个：</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石家庄市井陉矿区疾病预防控制中心，财政性资金基本保证，编制人数20人。</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石家庄市井陉矿区妇幼保健计划生育服务中心，财政性资金基本保证，编制人数16人。</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石家庄市井陉矿区卫生计生监督执法所，财政性资金基本保证，编制人数7人。</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石家庄市井陉矿区贾庄中心卫生院，财政性资金定额或定项补助，编制人数25人。</w:t>
      </w:r>
    </w:p>
    <w:p>
      <w:pPr>
        <w:keepNext w:val="0"/>
        <w:keepLines w:val="0"/>
        <w:pageBreakBefore w:val="0"/>
        <w:widowControl w:val="0"/>
        <w:kinsoku/>
        <w:wordWrap/>
        <w:overflowPunct/>
        <w:topLinePunct w:val="0"/>
        <w:autoSpaceDE/>
        <w:autoSpaceDN/>
        <w:bidi w:val="0"/>
        <w:adjustRightInd/>
        <w:snapToGrid/>
        <w:spacing w:line="590" w:lineRule="exact"/>
        <w:ind w:left="0" w:right="0" w:rightChars="0"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石家庄市井陉矿区凤山镇卫生院，财政性资金定额或定项补助，编制人数16人。</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石家庄市井陉矿区横涧乡卫生院，财政性资金定额或定项补助，编制人数16人。</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石家庄市井陉矿区矿市街道社区卫生服务中心，财政性资金定额或定项补助，编制人数35人。</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石家庄市井陉矿区人民医院，财政性资金定额或定项补助，编制人数40人。</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0" w:firstLineChars="200"/>
        <w:jc w:val="both"/>
        <w:textAlignment w:val="auto"/>
        <w:rPr>
          <w:rFonts w:hint="eastAsia" w:ascii="仿宋" w:hAnsi="仿宋" w:eastAsia="仿宋"/>
          <w:color w:val="000000" w:themeColor="text1"/>
          <w:sz w:val="32"/>
          <w:szCs w:val="32"/>
          <w:lang w:val="en-US" w:eastAsia="zh-CN"/>
        </w:rPr>
      </w:pPr>
      <w:r>
        <w:rPr>
          <w:rFonts w:hint="eastAsia" w:ascii="仿宋" w:hAnsi="仿宋" w:eastAsia="仿宋"/>
          <w:color w:val="000000" w:themeColor="text1"/>
          <w:sz w:val="32"/>
          <w:szCs w:val="32"/>
          <w:lang w:val="en-US" w:eastAsia="zh-CN"/>
        </w:rPr>
        <w:t>卫生健康部门编制人数为185人，实际在编在职人员98人。</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right="0" w:rightChars="0" w:firstLine="640" w:firstLineChars="200"/>
        <w:jc w:val="both"/>
        <w:textAlignment w:val="auto"/>
        <w:rPr>
          <w:rFonts w:hint="eastAsia" w:ascii="仿宋" w:hAnsi="仿宋" w:eastAsia="仿宋"/>
          <w:b/>
          <w:bCs/>
          <w:color w:val="000000" w:themeColor="text1"/>
          <w:sz w:val="32"/>
          <w:szCs w:val="32"/>
          <w:lang w:val="en-US" w:eastAsia="zh-CN"/>
        </w:rPr>
      </w:pPr>
      <w:r>
        <w:rPr>
          <w:rFonts w:hint="eastAsia" w:ascii="仿宋" w:hAnsi="仿宋" w:eastAsia="仿宋"/>
          <w:b/>
          <w:bCs/>
          <w:color w:val="000000" w:themeColor="text1"/>
          <w:sz w:val="32"/>
          <w:szCs w:val="32"/>
          <w:lang w:val="en-US" w:eastAsia="zh-CN"/>
        </w:rPr>
        <w:t>资产情况：</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部门固定资产为19581.753119万元，其中房屋面积31052.29平米原值7970.116234万元：办公用房21556平米原价值7682.184575万元，业务用房</w:t>
      </w:r>
      <w:r>
        <w:rPr>
          <w:rFonts w:ascii="仿宋" w:hAnsi="仿宋" w:eastAsia="仿宋"/>
          <w:sz w:val="32"/>
          <w:szCs w:val="32"/>
          <w:highlight w:val="none"/>
          <w:lang w:val="en-US" w:eastAsia="zh-CN"/>
        </w:rPr>
        <w:t>3912.25</w:t>
      </w:r>
      <w:r>
        <w:rPr>
          <w:rFonts w:hint="eastAsia" w:ascii="仿宋" w:hAnsi="仿宋" w:eastAsia="仿宋"/>
          <w:sz w:val="32"/>
          <w:szCs w:val="32"/>
          <w:highlight w:val="none"/>
          <w:lang w:val="en-US" w:eastAsia="zh-CN"/>
        </w:rPr>
        <w:t>平米原值</w:t>
      </w:r>
      <w:r>
        <w:rPr>
          <w:rFonts w:ascii="仿宋" w:hAnsi="仿宋" w:eastAsia="仿宋"/>
          <w:sz w:val="32"/>
          <w:szCs w:val="32"/>
          <w:highlight w:val="none"/>
          <w:lang w:val="en-US" w:eastAsia="zh-CN"/>
        </w:rPr>
        <w:t>157.34</w:t>
      </w:r>
      <w:r>
        <w:rPr>
          <w:rFonts w:hint="eastAsia" w:ascii="仿宋" w:hAnsi="仿宋" w:eastAsia="仿宋"/>
          <w:sz w:val="32"/>
          <w:szCs w:val="32"/>
          <w:highlight w:val="none"/>
          <w:lang w:val="en-US" w:eastAsia="zh-CN"/>
        </w:rPr>
        <w:t>万元</w:t>
      </w:r>
      <w:r>
        <w:rPr>
          <w:rFonts w:ascii="仿宋" w:hAnsi="仿宋" w:eastAsia="仿宋"/>
          <w:sz w:val="32"/>
          <w:szCs w:val="32"/>
          <w:highlight w:val="none"/>
          <w:lang w:val="en-US" w:eastAsia="zh-CN"/>
        </w:rPr>
        <w:t>，其他用房388.04平米，原价值30.26万元</w:t>
      </w:r>
      <w:r>
        <w:rPr>
          <w:rFonts w:hint="eastAsia" w:ascii="仿宋" w:hAnsi="仿宋" w:eastAsia="仿宋"/>
          <w:sz w:val="32"/>
          <w:szCs w:val="32"/>
          <w:highlight w:val="none"/>
          <w:lang w:val="en-US" w:eastAsia="zh-CN"/>
        </w:rPr>
        <w:t>；车辆15辆原值252.786658万元。</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rPr>
        <w:t>（二）部门收支预决算情况</w:t>
      </w:r>
    </w:p>
    <w:p>
      <w:pPr>
        <w:keepNext w:val="0"/>
        <w:keepLines w:val="0"/>
        <w:pageBreakBefore w:val="0"/>
        <w:widowControl w:val="0"/>
        <w:kinsoku/>
        <w:wordWrap/>
        <w:overflowPunct/>
        <w:topLinePunct w:val="0"/>
        <w:autoSpaceDE/>
        <w:autoSpaceDN/>
        <w:bidi w:val="0"/>
        <w:spacing w:line="560" w:lineRule="exact"/>
        <w:ind w:left="0" w:right="0" w:rightChars="0" w:firstLine="640"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年初财政批复预算为4466.13 万元，基本支出1602.23万元，其中人员经费1537.37万元，日常公用经费64.86万元，项目支出2863.90万元。调整后预算数为2797.07万元，2024年收入2797.07万元，支出决算数为2797.07万元。</w:t>
      </w:r>
    </w:p>
    <w:p>
      <w:pPr>
        <w:keepNext w:val="0"/>
        <w:keepLines w:val="0"/>
        <w:pageBreakBefore w:val="0"/>
        <w:widowControl w:val="0"/>
        <w:kinsoku/>
        <w:wordWrap/>
        <w:overflowPunct/>
        <w:topLinePunct w:val="0"/>
        <w:autoSpaceDE/>
        <w:autoSpaceDN/>
        <w:bidi w:val="0"/>
        <w:spacing w:line="560" w:lineRule="exact"/>
        <w:ind w:left="0" w:right="0" w:rightChars="0" w:firstLine="640"/>
        <w:jc w:val="both"/>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决算总支出数为2797.07万元，其中基本支出为1345.72万元，其中人员经费</w:t>
      </w:r>
      <w:r>
        <w:rPr>
          <w:rFonts w:hint="eastAsia" w:ascii="仿宋" w:hAnsi="仿宋" w:eastAsia="仿宋"/>
          <w:color w:val="000000"/>
          <w:sz w:val="32"/>
          <w:szCs w:val="32"/>
          <w:highlight w:val="none"/>
          <w:lang w:val="en-US" w:eastAsia="zh-CN"/>
        </w:rPr>
        <w:t>1321.12</w:t>
      </w:r>
      <w:r>
        <w:rPr>
          <w:rFonts w:hint="eastAsia" w:ascii="仿宋" w:hAnsi="仿宋" w:eastAsia="仿宋"/>
          <w:sz w:val="32"/>
          <w:szCs w:val="32"/>
          <w:highlight w:val="none"/>
          <w:lang w:val="en-US" w:eastAsia="zh-CN"/>
        </w:rPr>
        <w:t>万元，日常公用经费</w:t>
      </w:r>
      <w:r>
        <w:rPr>
          <w:rFonts w:hint="eastAsia" w:ascii="仿宋" w:hAnsi="仿宋" w:eastAsia="仿宋"/>
          <w:color w:val="000000"/>
          <w:sz w:val="32"/>
          <w:szCs w:val="32"/>
          <w:highlight w:val="none"/>
          <w:lang w:val="en-US" w:eastAsia="zh-CN"/>
        </w:rPr>
        <w:t>24.61</w:t>
      </w:r>
      <w:r>
        <w:rPr>
          <w:rFonts w:hint="eastAsia" w:ascii="仿宋" w:hAnsi="仿宋" w:eastAsia="仿宋"/>
          <w:sz w:val="32"/>
          <w:szCs w:val="32"/>
          <w:highlight w:val="none"/>
          <w:lang w:val="en-US" w:eastAsia="zh-CN"/>
        </w:rPr>
        <w:t>万元，主要用于在职和离休退休人员的工资福利，保障正常运转的公用支出和业务支出；项目支出为1451.35万元</w:t>
      </w:r>
      <w:r>
        <w:rPr>
          <w:rFonts w:ascii="Arial" w:hAnsi="Arial" w:eastAsia="宋体" w:cs="Arial"/>
          <w:i w:val="0"/>
          <w:caps w:val="0"/>
          <w:smallCaps w:val="0"/>
          <w:color w:val="333333"/>
          <w:spacing w:val="0"/>
          <w:sz w:val="18"/>
          <w:szCs w:val="18"/>
          <w:highlight w:val="none"/>
        </w:rPr>
        <w:t> </w:t>
      </w:r>
      <w:r>
        <w:rPr>
          <w:rFonts w:hint="eastAsia" w:ascii="Arial" w:hAnsi="Arial" w:cs="Arial"/>
          <w:i w:val="0"/>
          <w:caps w:val="0"/>
          <w:smallCaps w:val="0"/>
          <w:color w:val="333333"/>
          <w:spacing w:val="0"/>
          <w:sz w:val="18"/>
          <w:szCs w:val="18"/>
          <w:highlight w:val="none"/>
          <w:lang w:eastAsia="zh-CN"/>
        </w:rPr>
        <w:t>，</w:t>
      </w:r>
      <w:r>
        <w:rPr>
          <w:rFonts w:ascii="仿宋" w:hAnsi="仿宋" w:eastAsia="仿宋"/>
          <w:sz w:val="32"/>
          <w:szCs w:val="32"/>
          <w:highlight w:val="none"/>
          <w:lang w:val="en-US" w:eastAsia="zh-CN"/>
        </w:rPr>
        <w:t>项目资金用于相关工作的开展，保障了工作任务的完成，保障了社会和谐稳定和公平公正</w:t>
      </w:r>
      <w:r>
        <w:rPr>
          <w:rFonts w:hint="eastAsia" w:ascii="仿宋" w:hAnsi="仿宋" w:eastAsia="仿宋"/>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rPr>
        <w:t>（三）部门整体支出绩效目标、指标</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1"/>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（一）持续提升公共卫生服务能力</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1"/>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绩效目标：做实基本公共卫生服务，全力抓好社会心理服务体系建设、免疫规划，重大传染病防控、慢性病综合防控区建设、国家卫生城市创建。</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1"/>
        <w:jc w:val="both"/>
        <w:textAlignment w:val="auto"/>
        <w:rPr>
          <w:rFonts w:hint="eastAsia" w:ascii="仿宋" w:hAnsi="仿宋" w:eastAsia="仿宋"/>
          <w:color w:val="000000" w:themeColor="text1"/>
          <w:sz w:val="32"/>
          <w:szCs w:val="32"/>
          <w:lang w:val="en-US" w:eastAsia="zh-CN"/>
          <w14:textFill>
            <w14:solidFill>
              <w14:schemeClr w14:val="tx1"/>
            </w14:solidFill>
          </w14:textFill>
        </w:rPr>
      </w:pPr>
      <w:r>
        <w:rPr>
          <w:rFonts w:hint="eastAsia" w:ascii="仿宋" w:hAnsi="仿宋" w:eastAsia="仿宋"/>
          <w:sz w:val="32"/>
          <w:szCs w:val="32"/>
          <w:lang w:val="en-US" w:eastAsia="zh-CN"/>
        </w:rPr>
        <w:t>绩效指标：年内组织实施基本公卫项目培</w:t>
      </w:r>
      <w:r>
        <w:rPr>
          <w:rFonts w:hint="eastAsia" w:ascii="仿宋" w:hAnsi="仿宋" w:eastAsia="仿宋"/>
          <w:sz w:val="32"/>
          <w:szCs w:val="32"/>
          <w:highlight w:val="none"/>
          <w:lang w:val="en-US" w:eastAsia="zh-CN"/>
        </w:rPr>
        <w:t>训2</w:t>
      </w:r>
      <w:r>
        <w:rPr>
          <w:rFonts w:hint="eastAsia" w:ascii="仿宋" w:hAnsi="仿宋" w:eastAsia="仿宋"/>
          <w:sz w:val="32"/>
          <w:szCs w:val="32"/>
          <w:lang w:val="en-US" w:eastAsia="zh-CN"/>
        </w:rPr>
        <w:t>次，实现县域、项目全覆盖；全区开展家庭医生签约服务信息化建设。各乡镇卫生院要利用村（社区）健康教育活动室向群众开展进行心理健康知识讲座4次；</w:t>
      </w:r>
      <w:r>
        <w:rPr>
          <w:rFonts w:hint="eastAsia" w:ascii="仿宋" w:hAnsi="仿宋" w:eastAsia="仿宋"/>
          <w:color w:val="000000" w:themeColor="text1"/>
          <w:sz w:val="32"/>
          <w:szCs w:val="32"/>
          <w:lang w:val="en-US" w:eastAsia="zh-CN"/>
          <w14:textFill>
            <w14:solidFill>
              <w14:schemeClr w14:val="tx1"/>
            </w14:solidFill>
          </w14:textFill>
        </w:rPr>
        <w:t>推动疫苗预防接种数字化管理全覆盖，适龄儿童免疫规划疫苗接种率达到90%以上。建立覆盖城乡的传染病疫情信息报告、监测网络，创新实施结核病“六精准”管理模式，深入实施艾滋病干预工程，确保不发生重大传染病暴发流行。巩固国家卫生城市技术评估和综合评审，保持国家卫生城市。</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1"/>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（二）着力深化医药卫生体制改革  张瑜</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1"/>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以建立机制为重点，围绕重点领域和关键环节，持续深化“四医联动”改革，推进区级公立医院建设，加快推进现代医院管理制度改革和医联体建设，提升卫生健康信息化水平，着力构建分级诊疗制度，抓好综合监管制度建设，努力在基本医疗卫生制度建设上取得突破。</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1"/>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加快推进乡村卫生健康服务一体化管理改革，实现乡村一体化改革全覆盖。推动分级诊疗信息系统连接延伸至各社区、乡镇医疗卫生机构及医联体各成员单位，实现分级诊疗服务全覆盖。继续推进监督执法基层体系建设，实现县级监督机构标准化达标，争取全市领先水平。强化职业健康执法监督，重点行业监督检查覆盖率达到95%以上，确保职业卫生监督工作走在全市前列。</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1"/>
        <w:jc w:val="both"/>
        <w:textAlignment w:val="auto"/>
        <w:rPr>
          <w:rFonts w:hint="eastAsia" w:ascii="仿宋" w:hAnsi="仿宋" w:eastAsia="仿宋"/>
          <w:sz w:val="32"/>
          <w:szCs w:val="32"/>
          <w:lang w:val="en-US" w:eastAsia="zh-CN"/>
        </w:rPr>
      </w:pPr>
      <w:bookmarkStart w:id="1" w:name="OLE_LINK3"/>
      <w:r>
        <w:rPr>
          <w:rFonts w:hint="eastAsia" w:ascii="仿宋" w:hAnsi="仿宋" w:eastAsia="仿宋"/>
          <w:sz w:val="32"/>
          <w:szCs w:val="32"/>
          <w:lang w:val="en-US" w:eastAsia="zh-CN"/>
        </w:rPr>
        <w:t xml:space="preserve">（三）着力抓好人口监测与家庭发展服务 </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1"/>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持续提升妇女生殖健康服务水平，降低出生缺陷的发生，有效预防出生人口性别比偏高，不断提高人口质量。有效保障计划生育家庭生活水平，积极应对人口老龄化，加快推进安宁疗护试点建设，推进医养结合工作，不断满足老年人养老服务需求。</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1"/>
        <w:jc w:val="both"/>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优化妇幼健康全程服务，强化《出生医学证明》监管，全区孕前优生检查目标人群覆盖率及产前筛查率均达到80%以上。探索在二级医疗机构设置安宁疗护科（病区）或依托肿瘤科、老年医学科等相关科室设置安宁疗护病房。按照国家、市规定标准及时足额将三项制度资金发放到位。</w:t>
      </w:r>
    </w:p>
    <w:bookmarkEnd w:id="1"/>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widowControl w:val="0"/>
        <w:kinsoku/>
        <w:wordWrap/>
        <w:overflowPunct/>
        <w:topLinePunct w:val="0"/>
        <w:autoSpaceDE/>
        <w:autoSpaceDN/>
        <w:bidi w:val="0"/>
        <w:spacing w:line="560" w:lineRule="exact"/>
        <w:ind w:right="0" w:rightChars="0" w:firstLine="642"/>
        <w:jc w:val="both"/>
        <w:textAlignment w:val="auto"/>
        <w:rPr>
          <w:rFonts w:hint="eastAsia" w:ascii="楷体" w:hAnsi="楷体" w:eastAsia="楷体" w:cs="楷体_GB2312"/>
          <w:bCs/>
          <w:sz w:val="32"/>
          <w:szCs w:val="32"/>
        </w:rPr>
      </w:pP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left="0"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eastAsia="zh-CN"/>
        </w:rPr>
        <w:t>为了有效监督项目实施的效率性、时效性、可持续性等，使有限的资金发挥出应有的作用，成立了绩效评价组。绩效评价工作由局长任组长，副局长</w:t>
      </w:r>
      <w:r>
        <w:rPr>
          <w:rFonts w:ascii="仿宋" w:hAnsi="仿宋" w:eastAsia="仿宋"/>
          <w:sz w:val="32"/>
          <w:szCs w:val="32"/>
          <w:lang w:eastAsia="zh-CN"/>
        </w:rPr>
        <w:t>、计划生育协会副会长</w:t>
      </w:r>
      <w:r>
        <w:rPr>
          <w:rFonts w:hint="eastAsia" w:ascii="仿宋" w:hAnsi="仿宋" w:eastAsia="仿宋"/>
          <w:sz w:val="32"/>
          <w:szCs w:val="32"/>
          <w:lang w:eastAsia="zh-CN"/>
        </w:rPr>
        <w:t>任副组长，</w:t>
      </w:r>
      <w:r>
        <w:rPr>
          <w:rFonts w:ascii="仿宋" w:hAnsi="仿宋" w:eastAsia="仿宋"/>
          <w:sz w:val="32"/>
          <w:szCs w:val="32"/>
          <w:lang w:eastAsia="zh-CN"/>
        </w:rPr>
        <w:t>办公室主任及</w:t>
      </w:r>
      <w:r>
        <w:rPr>
          <w:rFonts w:hint="eastAsia" w:ascii="仿宋" w:hAnsi="仿宋" w:eastAsia="仿宋"/>
          <w:sz w:val="32"/>
          <w:szCs w:val="32"/>
          <w:lang w:eastAsia="zh-CN"/>
        </w:rPr>
        <w:t>各</w:t>
      </w:r>
      <w:r>
        <w:rPr>
          <w:rFonts w:ascii="仿宋" w:hAnsi="仿宋" w:eastAsia="仿宋"/>
          <w:sz w:val="32"/>
          <w:szCs w:val="32"/>
          <w:lang w:eastAsia="zh-CN"/>
        </w:rPr>
        <w:t>单位负责人</w:t>
      </w:r>
      <w:r>
        <w:rPr>
          <w:rFonts w:hint="eastAsia" w:ascii="仿宋" w:hAnsi="仿宋" w:eastAsia="仿宋"/>
          <w:sz w:val="32"/>
          <w:szCs w:val="32"/>
          <w:lang w:eastAsia="zh-CN"/>
        </w:rPr>
        <w:t>为成员，由财务收集相关资料，检查财务会计记录。</w:t>
      </w:r>
    </w:p>
    <w:p>
      <w:pPr>
        <w:keepNext w:val="0"/>
        <w:keepLines w:val="0"/>
        <w:pageBreakBefore w:val="0"/>
        <w:widowControl w:val="0"/>
        <w:numPr>
          <w:ilvl w:val="0"/>
          <w:numId w:val="2"/>
        </w:numPr>
        <w:kinsoku/>
        <w:wordWrap/>
        <w:overflowPunct/>
        <w:topLinePunct w:val="0"/>
        <w:autoSpaceDE/>
        <w:autoSpaceDN/>
        <w:bidi w:val="0"/>
        <w:spacing w:line="560" w:lineRule="exact"/>
        <w:ind w:right="0" w:rightChars="0"/>
        <w:jc w:val="both"/>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kinsoku/>
        <w:wordWrap/>
        <w:overflowPunct/>
        <w:topLinePunct w:val="0"/>
        <w:autoSpaceDE/>
        <w:autoSpaceDN/>
        <w:bidi w:val="0"/>
        <w:spacing w:line="560" w:lineRule="exact"/>
        <w:ind w:left="0" w:right="0" w:rightChars="0" w:firstLine="640" w:firstLineChars="200"/>
        <w:jc w:val="both"/>
        <w:textAlignment w:val="auto"/>
        <w:outlineLvl w:val="9"/>
        <w:rPr>
          <w:rFonts w:hint="eastAsia" w:ascii="仿宋" w:hAnsi="仿宋" w:eastAsia="仿宋" w:cs="楷体_GB2312"/>
          <w:b/>
          <w:bCs/>
          <w:sz w:val="32"/>
          <w:szCs w:val="32"/>
        </w:rPr>
      </w:pPr>
      <w:r>
        <w:rPr>
          <w:rFonts w:hint="eastAsia" w:ascii="仿宋" w:hAnsi="仿宋" w:eastAsia="仿宋"/>
          <w:sz w:val="32"/>
          <w:szCs w:val="32"/>
          <w:lang w:eastAsia="zh-CN"/>
        </w:rPr>
        <w:t>绩效评价小组根据项目制定的工作计划及年初预算制定的指标，从项目立项、预算编制、组织实施、绩效评价等关键环节，对照绩效指标及评分标准开展自评。</w:t>
      </w:r>
    </w:p>
    <w:p>
      <w:pPr>
        <w:keepNext w:val="0"/>
        <w:keepLines w:val="0"/>
        <w:pageBreakBefore w:val="0"/>
        <w:widowControl w:val="0"/>
        <w:kinsoku/>
        <w:wordWrap/>
        <w:overflowPunct/>
        <w:topLinePunct w:val="0"/>
        <w:autoSpaceDE/>
        <w:autoSpaceDN/>
        <w:bidi w:val="0"/>
        <w:spacing w:line="560" w:lineRule="exact"/>
        <w:ind w:right="0" w:rightChars="0"/>
        <w:jc w:val="both"/>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keepNext w:val="0"/>
        <w:keepLines w:val="0"/>
        <w:pageBreakBefore w:val="0"/>
        <w:widowControl w:val="0"/>
        <w:numPr>
          <w:ilvl w:val="0"/>
          <w:numId w:val="3"/>
        </w:numPr>
        <w:kinsoku/>
        <w:wordWrap/>
        <w:overflowPunct/>
        <w:topLinePunct w:val="0"/>
        <w:autoSpaceDE/>
        <w:autoSpaceDN/>
        <w:bidi w:val="0"/>
        <w:spacing w:line="560" w:lineRule="exact"/>
        <w:ind w:left="0" w:right="0" w:rightChars="0" w:firstLine="640" w:firstLineChars="200"/>
        <w:jc w:val="both"/>
        <w:textAlignment w:val="auto"/>
        <w:rPr>
          <w:rFonts w:ascii="楷体" w:hAnsi="楷体" w:eastAsia="楷体" w:cs="楷体_GB2312"/>
          <w:bCs/>
          <w:sz w:val="32"/>
          <w:szCs w:val="32"/>
          <w:highlight w:val="none"/>
        </w:rPr>
      </w:pPr>
      <w:r>
        <w:rPr>
          <w:rFonts w:hint="eastAsia" w:ascii="楷体" w:hAnsi="楷体" w:eastAsia="楷体" w:cs="楷体_GB2312"/>
          <w:bCs/>
          <w:sz w:val="32"/>
          <w:szCs w:val="32"/>
          <w:highlight w:val="none"/>
        </w:rPr>
        <w:t>总体绩效目标实现情况</w:t>
      </w:r>
    </w:p>
    <w:p>
      <w:pPr>
        <w:keepNext w:val="0"/>
        <w:keepLines w:val="0"/>
        <w:pageBreakBefore w:val="0"/>
        <w:widowControl w:val="0"/>
        <w:kinsoku/>
        <w:wordWrap/>
        <w:overflowPunct/>
        <w:topLinePunct w:val="0"/>
        <w:autoSpaceDE/>
        <w:autoSpaceDN/>
        <w:bidi w:val="0"/>
        <w:spacing w:line="560" w:lineRule="exact"/>
        <w:ind w:right="0" w:rightChars="0" w:firstLine="640" w:firstLineChars="200"/>
        <w:jc w:val="both"/>
        <w:textAlignment w:val="auto"/>
        <w:rPr>
          <w:rFonts w:ascii="仿宋" w:hAnsi="仿宋" w:eastAsia="仿宋" w:cs="楷体_GB2312"/>
          <w:b/>
          <w:bCs/>
          <w:sz w:val="32"/>
          <w:szCs w:val="32"/>
        </w:rPr>
      </w:pPr>
      <w:r>
        <w:rPr>
          <w:rFonts w:hint="eastAsia" w:ascii="仿宋" w:hAnsi="仿宋" w:eastAsia="仿宋"/>
          <w:sz w:val="32"/>
          <w:szCs w:val="32"/>
          <w:highlight w:val="none"/>
          <w:lang w:val="en-US" w:eastAsia="zh-CN"/>
        </w:rPr>
        <w:t>2024</w:t>
      </w:r>
      <w:r>
        <w:rPr>
          <w:rFonts w:hint="eastAsia" w:ascii="仿宋" w:hAnsi="仿宋" w:eastAsia="仿宋"/>
          <w:sz w:val="32"/>
          <w:szCs w:val="32"/>
          <w:highlight w:val="none"/>
          <w:lang w:eastAsia="zh-CN"/>
        </w:rPr>
        <w:t>年， 根据部门年初工作规划和重点性工作，围绕区委、 区政府的要求较好的完成了年度工作目标。通过加强预算收支管理，不断建立健全内部管理制度，梳理内部管理流</w:t>
      </w:r>
      <w:r>
        <w:rPr>
          <w:rFonts w:hint="eastAsia" w:ascii="仿宋" w:hAnsi="仿宋" w:eastAsia="仿宋"/>
          <w:sz w:val="32"/>
          <w:szCs w:val="32"/>
          <w:lang w:eastAsia="zh-CN"/>
        </w:rPr>
        <w:t>程，部门整体支出管理情况得到提升。支出总额控制在预算总额以内，除专项预算的追加和政策性工资绩效预算的追加外，本年部门预算未进行预算相关事项的调整；“三公”经费总体控制较好，</w:t>
      </w:r>
      <w:r>
        <w:rPr>
          <w:rFonts w:ascii="仿宋" w:hAnsi="仿宋" w:eastAsia="仿宋"/>
          <w:sz w:val="32"/>
          <w:szCs w:val="32"/>
          <w:lang w:val="en-US" w:eastAsia="zh-CN"/>
        </w:rPr>
        <w:t>本着另行节约的原则</w:t>
      </w:r>
      <w:r>
        <w:rPr>
          <w:rFonts w:hint="eastAsia" w:ascii="仿宋" w:hAnsi="仿宋" w:eastAsia="仿宋"/>
          <w:sz w:val="32"/>
          <w:szCs w:val="32"/>
          <w:lang w:eastAsia="zh-CN"/>
        </w:rPr>
        <w:t>未超本年预算，决算数比上年减少</w:t>
      </w:r>
      <w:r>
        <w:rPr>
          <w:rFonts w:hint="eastAsia" w:ascii="仿宋" w:hAnsi="仿宋" w:eastAsia="仿宋"/>
          <w:sz w:val="32"/>
          <w:szCs w:val="32"/>
          <w:lang w:val="en-US" w:eastAsia="zh-CN"/>
        </w:rPr>
        <w:t>14.42%，</w:t>
      </w:r>
      <w:r>
        <w:rPr>
          <w:rFonts w:hint="eastAsia" w:ascii="仿宋" w:hAnsi="仿宋" w:eastAsia="仿宋"/>
          <w:sz w:val="32"/>
          <w:szCs w:val="32"/>
          <w:lang w:eastAsia="zh-CN"/>
        </w:rPr>
        <w:t>预算管理方面，制度执行总体较为有效，仍需进一步强化；资金使用管理需进一步加强。资产管理方面，建立了资产管理制度，定期进行了盘点和资产清理，总体执行较好。</w:t>
      </w: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w:t>
      </w:r>
    </w:p>
    <w:p>
      <w:pPr>
        <w:keepNext w:val="0"/>
        <w:keepLines w:val="0"/>
        <w:pageBreakBefore w:val="0"/>
        <w:widowControl w:val="0"/>
        <w:kinsoku/>
        <w:wordWrap/>
        <w:overflowPunct/>
        <w:topLinePunct w:val="0"/>
        <w:autoSpaceDE/>
        <w:autoSpaceDN/>
        <w:bidi w:val="0"/>
        <w:spacing w:line="560" w:lineRule="exact"/>
        <w:ind w:right="0" w:rightChars="0" w:firstLine="642"/>
        <w:jc w:val="both"/>
        <w:textAlignment w:val="auto"/>
        <w:rPr>
          <w:rFonts w:hint="eastAsia"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rPr>
          <w:rFonts w:ascii="仿宋" w:hAnsi="仿宋" w:eastAsia="仿宋"/>
          <w:sz w:val="32"/>
          <w:szCs w:val="32"/>
        </w:rPr>
      </w:pPr>
      <w:r>
        <w:rPr>
          <w:rFonts w:hint="eastAsia" w:ascii="仿宋" w:hAnsi="仿宋" w:eastAsia="仿宋"/>
          <w:sz w:val="32"/>
          <w:szCs w:val="32"/>
        </w:rPr>
        <w:t>我部门负责全区的医疗卫生和计划生育服务项目等，各单位认真对各个项目逐一进行了自评价，专项资金和具体预算支出项目整体上完成了预期绩效目标，实现情况如下：</w:t>
      </w:r>
    </w:p>
    <w:p>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right="0" w:rightChars="0" w:firstLine="640" w:firstLineChars="200"/>
        <w:jc w:val="both"/>
        <w:textAlignment w:val="auto"/>
        <w:rPr>
          <w:rFonts w:ascii="仿宋" w:hAnsi="仿宋" w:eastAsia="仿宋"/>
          <w:sz w:val="32"/>
          <w:szCs w:val="32"/>
        </w:rPr>
      </w:pPr>
      <w:r>
        <w:rPr>
          <w:rFonts w:hint="eastAsia" w:ascii="仿宋" w:hAnsi="仿宋" w:eastAsia="仿宋"/>
          <w:sz w:val="32"/>
          <w:szCs w:val="32"/>
        </w:rPr>
        <w:t>基本公共卫生服务类：主要是基本公共卫生服务项目</w:t>
      </w:r>
      <w:r>
        <w:rPr>
          <w:rFonts w:ascii="仿宋" w:hAnsi="仿宋" w:eastAsia="仿宋"/>
          <w:sz w:val="32"/>
          <w:szCs w:val="32"/>
        </w:rPr>
        <w:t>，调整</w:t>
      </w:r>
      <w:r>
        <w:rPr>
          <w:rFonts w:hint="eastAsia" w:ascii="仿宋" w:hAnsi="仿宋" w:eastAsia="仿宋"/>
          <w:sz w:val="32"/>
          <w:szCs w:val="32"/>
        </w:rPr>
        <w:t>预算数为</w:t>
      </w:r>
      <w:r>
        <w:rPr>
          <w:rFonts w:hint="eastAsia" w:ascii="仿宋" w:hAnsi="仿宋" w:eastAsia="仿宋"/>
          <w:sz w:val="32"/>
          <w:szCs w:val="32"/>
          <w:lang w:val="en-US" w:eastAsia="zh-CN"/>
        </w:rPr>
        <w:t>751.04158</w:t>
      </w:r>
      <w:r>
        <w:rPr>
          <w:rFonts w:hint="eastAsia" w:ascii="仿宋" w:hAnsi="仿宋" w:eastAsia="仿宋"/>
          <w:sz w:val="32"/>
          <w:szCs w:val="32"/>
        </w:rPr>
        <w:t>万元，执行数为</w:t>
      </w:r>
      <w:r>
        <w:rPr>
          <w:rFonts w:hint="eastAsia" w:ascii="仿宋" w:hAnsi="仿宋" w:eastAsia="仿宋"/>
          <w:sz w:val="32"/>
          <w:szCs w:val="32"/>
          <w:lang w:val="en-US" w:eastAsia="zh-CN"/>
        </w:rPr>
        <w:t>738.795754</w:t>
      </w:r>
      <w:r>
        <w:rPr>
          <w:rFonts w:hint="eastAsia" w:ascii="仿宋" w:hAnsi="仿宋" w:eastAsia="仿宋"/>
          <w:sz w:val="32"/>
          <w:szCs w:val="32"/>
        </w:rPr>
        <w:t>万元，预算执行率为</w:t>
      </w:r>
      <w:r>
        <w:rPr>
          <w:rFonts w:hint="eastAsia" w:ascii="仿宋" w:hAnsi="仿宋" w:eastAsia="仿宋"/>
          <w:sz w:val="32"/>
          <w:szCs w:val="32"/>
          <w:lang w:val="en-US" w:eastAsia="zh-CN"/>
        </w:rPr>
        <w:t>98.3</w:t>
      </w:r>
      <w:r>
        <w:rPr>
          <w:rFonts w:hint="eastAsia" w:ascii="仿宋" w:hAnsi="仿宋" w:eastAsia="仿宋"/>
          <w:sz w:val="32"/>
          <w:szCs w:val="32"/>
        </w:rPr>
        <w:t>%，</w:t>
      </w:r>
      <w:r>
        <w:rPr>
          <w:rFonts w:hint="eastAsia" w:ascii="仿宋" w:hAnsi="仿宋" w:eastAsia="仿宋"/>
          <w:sz w:val="32"/>
          <w:szCs w:val="32"/>
          <w:lang w:val="en-US" w:eastAsia="zh-CN"/>
        </w:rPr>
        <w:t>2024</w:t>
      </w:r>
      <w:r>
        <w:rPr>
          <w:rFonts w:hint="eastAsia" w:ascii="仿宋" w:hAnsi="仿宋" w:eastAsia="仿宋"/>
          <w:sz w:val="32"/>
          <w:szCs w:val="32"/>
        </w:rPr>
        <w:t>年各个项目指标任务已完成，达到年度预期目标，总体完成率</w:t>
      </w:r>
      <w:r>
        <w:rPr>
          <w:rFonts w:ascii="仿宋" w:hAnsi="仿宋" w:eastAsia="仿宋"/>
          <w:sz w:val="32"/>
          <w:szCs w:val="32"/>
        </w:rPr>
        <w:t>平均达到9</w:t>
      </w:r>
      <w:r>
        <w:rPr>
          <w:rFonts w:hint="eastAsia" w:ascii="仿宋" w:hAnsi="仿宋" w:eastAsia="仿宋"/>
          <w:sz w:val="32"/>
          <w:szCs w:val="32"/>
        </w:rPr>
        <w:t>0%，绩效目标执行未出现偏差。</w:t>
      </w:r>
    </w:p>
    <w:p>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right="0" w:rightChars="0" w:firstLine="640" w:firstLineChars="200"/>
        <w:jc w:val="both"/>
        <w:textAlignment w:val="auto"/>
        <w:rPr>
          <w:rFonts w:ascii="仿宋" w:hAnsi="仿宋" w:eastAsia="仿宋"/>
          <w:sz w:val="32"/>
          <w:szCs w:val="32"/>
        </w:rPr>
      </w:pPr>
      <w:r>
        <w:rPr>
          <w:rFonts w:hint="eastAsia" w:ascii="仿宋" w:hAnsi="仿宋" w:eastAsia="仿宋"/>
          <w:sz w:val="32"/>
          <w:szCs w:val="32"/>
        </w:rPr>
        <w:t>其他公共卫生类：</w:t>
      </w:r>
      <w:r>
        <w:rPr>
          <w:rFonts w:hint="eastAsia" w:ascii="仿宋" w:hAnsi="仿宋" w:eastAsia="仿宋"/>
          <w:sz w:val="32"/>
          <w:szCs w:val="32"/>
          <w:lang w:eastAsia="zh-CN"/>
        </w:rPr>
        <w:t>主要是</w:t>
      </w:r>
      <w:r>
        <w:rPr>
          <w:rFonts w:hint="eastAsia" w:ascii="仿宋" w:hAnsi="仿宋" w:eastAsia="仿宋"/>
          <w:sz w:val="32"/>
          <w:szCs w:val="32"/>
        </w:rPr>
        <w:t>新生儿出生缺陷干预工程</w:t>
      </w:r>
      <w:r>
        <w:rPr>
          <w:rFonts w:hint="eastAsia" w:ascii="仿宋" w:hAnsi="仿宋" w:eastAsia="仿宋"/>
          <w:sz w:val="32"/>
          <w:szCs w:val="32"/>
          <w:lang w:eastAsia="zh-CN"/>
        </w:rPr>
        <w:t>项目</w:t>
      </w:r>
      <w:r>
        <w:rPr>
          <w:rFonts w:hint="eastAsia" w:ascii="仿宋" w:hAnsi="仿宋" w:eastAsia="仿宋"/>
          <w:sz w:val="32"/>
          <w:szCs w:val="32"/>
        </w:rPr>
        <w:t>，</w:t>
      </w:r>
      <w:r>
        <w:rPr>
          <w:rFonts w:ascii="仿宋" w:hAnsi="仿宋" w:eastAsia="仿宋"/>
          <w:sz w:val="32"/>
          <w:szCs w:val="32"/>
        </w:rPr>
        <w:t>调整</w:t>
      </w:r>
      <w:r>
        <w:rPr>
          <w:rFonts w:hint="eastAsia" w:ascii="仿宋" w:hAnsi="仿宋" w:eastAsia="仿宋"/>
          <w:sz w:val="32"/>
          <w:szCs w:val="32"/>
        </w:rPr>
        <w:t>预算数为</w:t>
      </w:r>
      <w:r>
        <w:rPr>
          <w:rFonts w:hint="eastAsia" w:ascii="仿宋" w:hAnsi="仿宋" w:eastAsia="仿宋"/>
          <w:sz w:val="32"/>
          <w:szCs w:val="32"/>
          <w:lang w:val="en-US" w:eastAsia="zh-CN"/>
        </w:rPr>
        <w:t>12.4757</w:t>
      </w:r>
      <w:r>
        <w:rPr>
          <w:rFonts w:hint="eastAsia" w:ascii="仿宋" w:hAnsi="仿宋" w:eastAsia="仿宋"/>
          <w:sz w:val="32"/>
          <w:szCs w:val="32"/>
        </w:rPr>
        <w:t>万元，支出数为</w:t>
      </w:r>
      <w:r>
        <w:rPr>
          <w:rFonts w:hint="eastAsia" w:ascii="仿宋" w:hAnsi="仿宋" w:eastAsia="仿宋"/>
          <w:sz w:val="32"/>
          <w:szCs w:val="32"/>
          <w:lang w:val="en-US" w:eastAsia="zh-CN"/>
        </w:rPr>
        <w:t>7.54</w:t>
      </w:r>
      <w:r>
        <w:rPr>
          <w:rFonts w:hint="eastAsia" w:ascii="仿宋" w:hAnsi="仿宋" w:eastAsia="仿宋"/>
          <w:sz w:val="32"/>
          <w:szCs w:val="32"/>
        </w:rPr>
        <w:t>万元，预算执行率为</w:t>
      </w:r>
      <w:r>
        <w:rPr>
          <w:rFonts w:hint="eastAsia" w:ascii="仿宋" w:hAnsi="仿宋" w:eastAsia="仿宋"/>
          <w:sz w:val="32"/>
          <w:szCs w:val="32"/>
          <w:lang w:val="en-US" w:eastAsia="zh-CN"/>
        </w:rPr>
        <w:t>60.4</w:t>
      </w:r>
      <w:r>
        <w:rPr>
          <w:rFonts w:hint="eastAsia" w:ascii="仿宋" w:hAnsi="仿宋" w:eastAsia="仿宋"/>
          <w:sz w:val="32"/>
          <w:szCs w:val="32"/>
        </w:rPr>
        <w:t>%</w:t>
      </w:r>
      <w:r>
        <w:rPr>
          <w:rFonts w:hint="eastAsia" w:ascii="仿宋" w:hAnsi="仿宋" w:eastAsia="仿宋"/>
          <w:sz w:val="32"/>
          <w:szCs w:val="32"/>
          <w:lang w:val="en-US" w:eastAsia="zh-CN"/>
        </w:rPr>
        <w:t>。</w:t>
      </w:r>
      <w:r>
        <w:rPr>
          <w:rFonts w:hint="eastAsia" w:ascii="仿宋" w:hAnsi="仿宋" w:eastAsia="仿宋"/>
          <w:sz w:val="32"/>
          <w:szCs w:val="32"/>
        </w:rPr>
        <w:t>各个项目工作在年底已</w:t>
      </w:r>
      <w:r>
        <w:rPr>
          <w:rFonts w:ascii="仿宋" w:hAnsi="仿宋" w:eastAsia="仿宋"/>
          <w:sz w:val="32"/>
          <w:szCs w:val="32"/>
        </w:rPr>
        <w:t>基本</w:t>
      </w:r>
      <w:r>
        <w:rPr>
          <w:rFonts w:hint="eastAsia" w:ascii="仿宋" w:hAnsi="仿宋" w:eastAsia="仿宋"/>
          <w:sz w:val="32"/>
          <w:szCs w:val="32"/>
        </w:rPr>
        <w:t>完成，达到年度预期目标，总体完成率</w:t>
      </w:r>
      <w:r>
        <w:rPr>
          <w:rFonts w:ascii="仿宋" w:hAnsi="仿宋" w:eastAsia="仿宋"/>
          <w:sz w:val="32"/>
          <w:szCs w:val="32"/>
        </w:rPr>
        <w:t>90</w:t>
      </w:r>
      <w:r>
        <w:rPr>
          <w:rFonts w:hint="eastAsia" w:ascii="仿宋" w:hAnsi="仿宋" w:eastAsia="仿宋"/>
          <w:sz w:val="32"/>
          <w:szCs w:val="32"/>
        </w:rPr>
        <w:t>%，绩效目标执行未出现偏差。</w:t>
      </w:r>
    </w:p>
    <w:p>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right="0" w:rightChars="0" w:firstLine="640" w:firstLineChars="200"/>
        <w:jc w:val="both"/>
        <w:textAlignment w:val="auto"/>
        <w:rPr>
          <w:rFonts w:ascii="仿宋" w:hAnsi="仿宋" w:eastAsia="仿宋"/>
          <w:sz w:val="32"/>
          <w:szCs w:val="32"/>
        </w:rPr>
      </w:pPr>
      <w:r>
        <w:rPr>
          <w:rFonts w:hint="eastAsia" w:ascii="仿宋" w:hAnsi="仿宋" w:eastAsia="仿宋"/>
          <w:sz w:val="32"/>
          <w:szCs w:val="32"/>
        </w:rPr>
        <w:t>计划生育类：主要是计划生育三项制度补助资金项目</w:t>
      </w:r>
      <w:r>
        <w:rPr>
          <w:rFonts w:hint="eastAsia" w:ascii="仿宋" w:hAnsi="仿宋" w:eastAsia="仿宋"/>
          <w:sz w:val="32"/>
          <w:szCs w:val="32"/>
          <w:lang w:eastAsia="zh-CN"/>
        </w:rPr>
        <w:t>及计划生育业务工作经费</w:t>
      </w:r>
      <w:r>
        <w:rPr>
          <w:rFonts w:hint="eastAsia" w:ascii="仿宋" w:hAnsi="仿宋" w:eastAsia="仿宋"/>
          <w:sz w:val="32"/>
          <w:szCs w:val="32"/>
        </w:rPr>
        <w:t>，</w:t>
      </w:r>
      <w:r>
        <w:rPr>
          <w:rFonts w:ascii="仿宋" w:hAnsi="仿宋" w:eastAsia="仿宋"/>
          <w:sz w:val="32"/>
          <w:szCs w:val="32"/>
        </w:rPr>
        <w:t>调整</w:t>
      </w:r>
      <w:r>
        <w:rPr>
          <w:rFonts w:hint="eastAsia" w:ascii="仿宋" w:hAnsi="仿宋" w:eastAsia="仿宋"/>
          <w:sz w:val="32"/>
          <w:szCs w:val="32"/>
        </w:rPr>
        <w:t>预算数为</w:t>
      </w:r>
      <w:r>
        <w:rPr>
          <w:rFonts w:hint="eastAsia" w:ascii="仿宋" w:hAnsi="仿宋" w:eastAsia="仿宋"/>
          <w:sz w:val="32"/>
          <w:szCs w:val="32"/>
          <w:lang w:val="en-US" w:eastAsia="zh-CN"/>
        </w:rPr>
        <w:t>242.251659</w:t>
      </w:r>
      <w:r>
        <w:rPr>
          <w:rFonts w:hint="eastAsia" w:ascii="仿宋" w:hAnsi="仿宋" w:eastAsia="仿宋"/>
          <w:sz w:val="32"/>
          <w:szCs w:val="32"/>
        </w:rPr>
        <w:t>元，支出</w:t>
      </w:r>
      <w:r>
        <w:rPr>
          <w:rFonts w:hint="eastAsia" w:ascii="仿宋" w:hAnsi="仿宋" w:eastAsia="仿宋"/>
          <w:sz w:val="32"/>
          <w:szCs w:val="32"/>
          <w:lang w:val="en-US" w:eastAsia="zh-CN"/>
        </w:rPr>
        <w:t>236.284923</w:t>
      </w:r>
      <w:r>
        <w:rPr>
          <w:rFonts w:hint="eastAsia" w:ascii="仿宋" w:hAnsi="仿宋" w:eastAsia="仿宋"/>
          <w:sz w:val="32"/>
          <w:szCs w:val="32"/>
        </w:rPr>
        <w:t>万元，预算执行率为</w:t>
      </w:r>
      <w:r>
        <w:rPr>
          <w:rFonts w:ascii="仿宋" w:hAnsi="仿宋" w:eastAsia="仿宋"/>
          <w:sz w:val="32"/>
          <w:szCs w:val="32"/>
          <w:lang w:val="en-US" w:eastAsia="zh-CN"/>
        </w:rPr>
        <w:t>97.</w:t>
      </w:r>
      <w:r>
        <w:rPr>
          <w:rFonts w:hint="eastAsia" w:ascii="仿宋" w:hAnsi="仿宋" w:eastAsia="仿宋"/>
          <w:sz w:val="32"/>
          <w:szCs w:val="32"/>
          <w:lang w:val="en-US" w:eastAsia="zh-CN"/>
        </w:rPr>
        <w:t>5</w:t>
      </w:r>
      <w:r>
        <w:rPr>
          <w:rFonts w:hint="eastAsia" w:ascii="仿宋" w:hAnsi="仿宋" w:eastAsia="仿宋"/>
          <w:sz w:val="32"/>
          <w:szCs w:val="32"/>
        </w:rPr>
        <w:t>%，各个项目工作在年底已完成，达到年度预期目标，总体完成率100%，绩效目标执行未出现偏差。</w:t>
      </w:r>
    </w:p>
    <w:p>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right="0" w:rightChars="0" w:firstLine="640" w:firstLineChars="200"/>
        <w:jc w:val="both"/>
        <w:textAlignment w:val="auto"/>
        <w:rPr>
          <w:rFonts w:ascii="仿宋" w:hAnsi="仿宋" w:eastAsia="仿宋"/>
          <w:sz w:val="32"/>
          <w:szCs w:val="32"/>
          <w:highlight w:val="none"/>
        </w:rPr>
      </w:pPr>
      <w:r>
        <w:rPr>
          <w:rFonts w:hint="eastAsia" w:ascii="仿宋" w:hAnsi="仿宋" w:eastAsia="仿宋"/>
          <w:sz w:val="32"/>
          <w:szCs w:val="32"/>
          <w:highlight w:val="none"/>
        </w:rPr>
        <w:t>疾病预防控制类：主要是</w:t>
      </w:r>
      <w:r>
        <w:rPr>
          <w:rFonts w:ascii="仿宋" w:hAnsi="仿宋" w:eastAsia="仿宋"/>
          <w:sz w:val="32"/>
          <w:szCs w:val="32"/>
          <w:highlight w:val="none"/>
        </w:rPr>
        <w:t>冷链设备运行费</w:t>
      </w:r>
      <w:r>
        <w:rPr>
          <w:rFonts w:hint="eastAsia" w:ascii="仿宋" w:hAnsi="仿宋" w:eastAsia="仿宋"/>
          <w:sz w:val="32"/>
          <w:szCs w:val="32"/>
          <w:highlight w:val="none"/>
        </w:rPr>
        <w:t>、</w:t>
      </w:r>
      <w:r>
        <w:rPr>
          <w:rFonts w:hint="eastAsia" w:ascii="仿宋" w:hAnsi="仿宋" w:eastAsia="仿宋"/>
          <w:sz w:val="32"/>
          <w:szCs w:val="32"/>
          <w:highlight w:val="none"/>
          <w:lang w:eastAsia="zh-CN"/>
        </w:rPr>
        <w:t>劳务派遣经费</w:t>
      </w:r>
      <w:r>
        <w:rPr>
          <w:rFonts w:hint="eastAsia" w:ascii="仿宋" w:hAnsi="仿宋" w:eastAsia="仿宋"/>
          <w:sz w:val="32"/>
          <w:szCs w:val="32"/>
          <w:highlight w:val="none"/>
        </w:rPr>
        <w:t>，</w:t>
      </w:r>
      <w:r>
        <w:rPr>
          <w:rFonts w:ascii="仿宋" w:hAnsi="仿宋" w:eastAsia="仿宋"/>
          <w:sz w:val="32"/>
          <w:szCs w:val="32"/>
          <w:highlight w:val="none"/>
        </w:rPr>
        <w:t>调整</w:t>
      </w:r>
      <w:r>
        <w:rPr>
          <w:rFonts w:hint="eastAsia" w:ascii="仿宋" w:hAnsi="仿宋" w:eastAsia="仿宋"/>
          <w:sz w:val="32"/>
          <w:szCs w:val="32"/>
          <w:highlight w:val="none"/>
        </w:rPr>
        <w:t>预算数为</w:t>
      </w:r>
      <w:r>
        <w:rPr>
          <w:rFonts w:hint="eastAsia" w:ascii="仿宋" w:hAnsi="仿宋" w:eastAsia="仿宋"/>
          <w:sz w:val="32"/>
          <w:szCs w:val="32"/>
          <w:highlight w:val="none"/>
          <w:lang w:val="en-US" w:eastAsia="zh-CN"/>
        </w:rPr>
        <w:t>68.472759</w:t>
      </w:r>
      <w:r>
        <w:rPr>
          <w:rFonts w:hint="eastAsia" w:ascii="仿宋" w:hAnsi="仿宋" w:eastAsia="仿宋"/>
          <w:sz w:val="32"/>
          <w:szCs w:val="32"/>
          <w:highlight w:val="none"/>
        </w:rPr>
        <w:t>万元，支出数为</w:t>
      </w:r>
      <w:r>
        <w:rPr>
          <w:rFonts w:hint="eastAsia" w:ascii="仿宋" w:hAnsi="仿宋" w:eastAsia="仿宋"/>
          <w:sz w:val="32"/>
          <w:szCs w:val="32"/>
          <w:highlight w:val="none"/>
          <w:lang w:val="en-US" w:eastAsia="zh-CN"/>
        </w:rPr>
        <w:t>34.864759</w:t>
      </w:r>
      <w:r>
        <w:rPr>
          <w:rFonts w:hint="eastAsia" w:ascii="仿宋" w:hAnsi="仿宋" w:eastAsia="仿宋"/>
          <w:sz w:val="32"/>
          <w:szCs w:val="32"/>
          <w:highlight w:val="none"/>
        </w:rPr>
        <w:t>万元，预算执行率</w:t>
      </w:r>
      <w:r>
        <w:rPr>
          <w:rFonts w:ascii="仿宋" w:hAnsi="仿宋" w:eastAsia="仿宋"/>
          <w:sz w:val="32"/>
          <w:szCs w:val="32"/>
          <w:highlight w:val="none"/>
        </w:rPr>
        <w:t>低</w:t>
      </w:r>
      <w:r>
        <w:rPr>
          <w:rFonts w:hint="eastAsia" w:ascii="仿宋" w:hAnsi="仿宋" w:eastAsia="仿宋"/>
          <w:sz w:val="32"/>
          <w:szCs w:val="32"/>
          <w:highlight w:val="none"/>
        </w:rPr>
        <w:t>，</w:t>
      </w:r>
      <w:r>
        <w:rPr>
          <w:rFonts w:hint="eastAsia" w:ascii="仿宋" w:hAnsi="仿宋" w:eastAsia="仿宋"/>
          <w:sz w:val="32"/>
          <w:szCs w:val="32"/>
          <w:highlight w:val="none"/>
          <w:lang w:eastAsia="zh-CN"/>
        </w:rPr>
        <w:t>部分项目资金未支出。</w:t>
      </w:r>
    </w:p>
    <w:p>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right="0" w:rightChars="0" w:firstLine="640" w:firstLineChars="200"/>
        <w:jc w:val="both"/>
        <w:textAlignment w:val="auto"/>
        <w:rPr>
          <w:rFonts w:ascii="仿宋" w:hAnsi="仿宋" w:eastAsia="仿宋"/>
          <w:sz w:val="32"/>
          <w:szCs w:val="32"/>
          <w:highlight w:val="none"/>
        </w:rPr>
      </w:pPr>
      <w:r>
        <w:rPr>
          <w:rFonts w:hint="eastAsia" w:ascii="仿宋" w:hAnsi="仿宋" w:eastAsia="仿宋"/>
          <w:sz w:val="32"/>
          <w:szCs w:val="32"/>
        </w:rPr>
        <w:t>重大公共卫生服务</w:t>
      </w:r>
      <w:r>
        <w:rPr>
          <w:rFonts w:hint="eastAsia" w:ascii="仿宋" w:hAnsi="仿宋" w:eastAsia="仿宋"/>
          <w:sz w:val="32"/>
          <w:szCs w:val="32"/>
          <w:lang w:eastAsia="zh-CN"/>
        </w:rPr>
        <w:t>类：主要是艾滋病</w:t>
      </w:r>
      <w:r>
        <w:rPr>
          <w:rFonts w:ascii="仿宋" w:hAnsi="仿宋" w:eastAsia="仿宋"/>
          <w:sz w:val="32"/>
          <w:szCs w:val="32"/>
          <w:lang w:eastAsia="zh-CN"/>
        </w:rPr>
        <w:t>防治</w:t>
      </w:r>
      <w:r>
        <w:rPr>
          <w:rFonts w:hint="eastAsia" w:ascii="仿宋" w:hAnsi="仿宋" w:eastAsia="仿宋"/>
          <w:sz w:val="32"/>
          <w:szCs w:val="32"/>
          <w:lang w:eastAsia="zh-CN"/>
        </w:rPr>
        <w:t>、结核病</w:t>
      </w:r>
      <w:r>
        <w:rPr>
          <w:rFonts w:ascii="仿宋" w:hAnsi="仿宋" w:eastAsia="仿宋"/>
          <w:sz w:val="32"/>
          <w:szCs w:val="32"/>
          <w:lang w:eastAsia="zh-CN"/>
        </w:rPr>
        <w:t>防治</w:t>
      </w:r>
      <w:r>
        <w:rPr>
          <w:rFonts w:hint="eastAsia" w:ascii="仿宋" w:hAnsi="仿宋" w:eastAsia="仿宋"/>
          <w:sz w:val="32"/>
          <w:szCs w:val="32"/>
          <w:lang w:eastAsia="zh-CN"/>
        </w:rPr>
        <w:t>、精神卫生经费项目</w:t>
      </w:r>
      <w:r>
        <w:rPr>
          <w:rFonts w:ascii="仿宋" w:hAnsi="仿宋" w:eastAsia="仿宋"/>
          <w:sz w:val="32"/>
          <w:szCs w:val="32"/>
          <w:lang w:eastAsia="zh-CN"/>
        </w:rPr>
        <w:t>、饮用水水质卫生检测、扩大国家免疫规划、</w:t>
      </w:r>
      <w:r>
        <w:rPr>
          <w:rFonts w:ascii="仿宋" w:hAnsi="仿宋" w:eastAsia="仿宋"/>
          <w:sz w:val="32"/>
          <w:szCs w:val="32"/>
          <w:highlight w:val="none"/>
          <w:lang w:eastAsia="zh-CN"/>
        </w:rPr>
        <w:t>食品安全风险检测，调整</w:t>
      </w:r>
      <w:r>
        <w:rPr>
          <w:rFonts w:hint="eastAsia" w:ascii="仿宋" w:hAnsi="仿宋" w:eastAsia="仿宋"/>
          <w:sz w:val="32"/>
          <w:szCs w:val="32"/>
          <w:highlight w:val="none"/>
        </w:rPr>
        <w:t>预算数为</w:t>
      </w:r>
      <w:r>
        <w:rPr>
          <w:rFonts w:hint="eastAsia" w:ascii="仿宋" w:hAnsi="仿宋" w:eastAsia="仿宋"/>
          <w:sz w:val="32"/>
          <w:szCs w:val="32"/>
          <w:highlight w:val="none"/>
          <w:lang w:val="en-US" w:eastAsia="zh-CN"/>
        </w:rPr>
        <w:t>120.885181</w:t>
      </w:r>
      <w:r>
        <w:rPr>
          <w:rFonts w:hint="eastAsia" w:ascii="仿宋" w:hAnsi="仿宋" w:eastAsia="仿宋"/>
          <w:sz w:val="32"/>
          <w:szCs w:val="32"/>
          <w:highlight w:val="none"/>
        </w:rPr>
        <w:t>万元，支出数为</w:t>
      </w:r>
      <w:r>
        <w:rPr>
          <w:rFonts w:hint="eastAsia" w:ascii="仿宋" w:hAnsi="仿宋" w:eastAsia="仿宋"/>
          <w:sz w:val="32"/>
          <w:szCs w:val="32"/>
          <w:highlight w:val="none"/>
          <w:lang w:val="en-US" w:eastAsia="zh-CN"/>
        </w:rPr>
        <w:t>25.525211</w:t>
      </w:r>
      <w:r>
        <w:rPr>
          <w:rFonts w:hint="eastAsia" w:ascii="仿宋" w:hAnsi="仿宋" w:eastAsia="仿宋"/>
          <w:sz w:val="32"/>
          <w:szCs w:val="32"/>
          <w:highlight w:val="none"/>
        </w:rPr>
        <w:t>万元，预算执行率</w:t>
      </w:r>
      <w:r>
        <w:rPr>
          <w:rFonts w:hint="eastAsia" w:ascii="仿宋" w:hAnsi="仿宋" w:eastAsia="仿宋"/>
          <w:sz w:val="32"/>
          <w:szCs w:val="32"/>
          <w:highlight w:val="none"/>
          <w:lang w:eastAsia="zh-CN"/>
        </w:rPr>
        <w:t>低</w:t>
      </w:r>
      <w:r>
        <w:rPr>
          <w:rFonts w:ascii="仿宋" w:hAnsi="仿宋" w:eastAsia="仿宋"/>
          <w:sz w:val="32"/>
          <w:szCs w:val="32"/>
          <w:highlight w:val="none"/>
        </w:rPr>
        <w:t>，部分</w:t>
      </w:r>
      <w:r>
        <w:rPr>
          <w:rFonts w:hint="eastAsia" w:ascii="仿宋" w:hAnsi="仿宋" w:eastAsia="仿宋"/>
          <w:sz w:val="32"/>
          <w:szCs w:val="32"/>
          <w:highlight w:val="none"/>
        </w:rPr>
        <w:t>项目</w:t>
      </w:r>
      <w:r>
        <w:rPr>
          <w:rFonts w:hint="eastAsia" w:ascii="仿宋" w:hAnsi="仿宋" w:eastAsia="仿宋"/>
          <w:sz w:val="32"/>
          <w:szCs w:val="32"/>
          <w:highlight w:val="none"/>
          <w:lang w:eastAsia="zh-CN"/>
        </w:rPr>
        <w:t>资金未支出。</w:t>
      </w:r>
    </w:p>
    <w:p>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right="0" w:rightChars="0" w:firstLine="640" w:firstLineChars="200"/>
        <w:jc w:val="both"/>
        <w:textAlignment w:val="auto"/>
        <w:rPr>
          <w:rFonts w:ascii="仿宋" w:hAnsi="仿宋" w:eastAsia="仿宋"/>
          <w:sz w:val="32"/>
          <w:szCs w:val="32"/>
        </w:rPr>
      </w:pPr>
      <w:r>
        <w:rPr>
          <w:rFonts w:hint="eastAsia" w:ascii="仿宋" w:hAnsi="仿宋" w:eastAsia="仿宋"/>
          <w:sz w:val="32"/>
          <w:szCs w:val="32"/>
        </w:rPr>
        <w:t>突发公共卫生事件应急处理</w:t>
      </w:r>
      <w:r>
        <w:rPr>
          <w:rFonts w:hint="eastAsia" w:ascii="仿宋" w:hAnsi="仿宋" w:eastAsia="仿宋"/>
          <w:sz w:val="32"/>
          <w:szCs w:val="32"/>
          <w:lang w:eastAsia="zh-CN"/>
        </w:rPr>
        <w:t>类：主要是疫情防控</w:t>
      </w:r>
      <w:r>
        <w:rPr>
          <w:rFonts w:ascii="仿宋" w:hAnsi="仿宋" w:eastAsia="仿宋"/>
          <w:sz w:val="32"/>
          <w:szCs w:val="32"/>
          <w:lang w:eastAsia="zh-CN"/>
        </w:rPr>
        <w:t>财力补助（核酸检测等支出、疫情防控经费、核酸检测支出）</w:t>
      </w:r>
      <w:r>
        <w:rPr>
          <w:rFonts w:hint="eastAsia" w:ascii="仿宋" w:hAnsi="仿宋" w:eastAsia="仿宋"/>
          <w:sz w:val="32"/>
          <w:szCs w:val="32"/>
          <w:lang w:eastAsia="zh-CN"/>
        </w:rPr>
        <w:t>、突发公</w:t>
      </w:r>
      <w:r>
        <w:rPr>
          <w:rFonts w:ascii="仿宋" w:hAnsi="仿宋" w:eastAsia="仿宋"/>
          <w:sz w:val="32"/>
          <w:szCs w:val="32"/>
          <w:lang w:eastAsia="zh-CN"/>
        </w:rPr>
        <w:t>共</w:t>
      </w:r>
      <w:r>
        <w:rPr>
          <w:rFonts w:hint="eastAsia" w:ascii="仿宋" w:hAnsi="仿宋" w:eastAsia="仿宋"/>
          <w:sz w:val="32"/>
          <w:szCs w:val="32"/>
          <w:lang w:eastAsia="zh-CN"/>
        </w:rPr>
        <w:t>卫</w:t>
      </w:r>
      <w:r>
        <w:rPr>
          <w:rFonts w:ascii="仿宋" w:hAnsi="仿宋" w:eastAsia="仿宋"/>
          <w:sz w:val="32"/>
          <w:szCs w:val="32"/>
          <w:lang w:eastAsia="zh-CN"/>
        </w:rPr>
        <w:t>生事件处置经费、关于预拨中央和省级医务人员临时性工作补助资金（石财社｛2023｝15号）</w:t>
      </w:r>
      <w:r>
        <w:rPr>
          <w:rFonts w:hint="eastAsia" w:ascii="仿宋" w:hAnsi="仿宋" w:eastAsia="仿宋"/>
          <w:sz w:val="32"/>
          <w:szCs w:val="32"/>
          <w:lang w:eastAsia="zh-CN"/>
        </w:rPr>
        <w:t>，</w:t>
      </w:r>
      <w:r>
        <w:rPr>
          <w:rFonts w:ascii="仿宋" w:hAnsi="仿宋" w:eastAsia="仿宋"/>
          <w:sz w:val="32"/>
          <w:szCs w:val="32"/>
          <w:lang w:eastAsia="zh-CN"/>
        </w:rPr>
        <w:t>调整</w:t>
      </w:r>
      <w:r>
        <w:rPr>
          <w:rFonts w:hint="eastAsia" w:ascii="仿宋" w:hAnsi="仿宋" w:eastAsia="仿宋"/>
          <w:sz w:val="32"/>
          <w:szCs w:val="32"/>
        </w:rPr>
        <w:t>预算数为</w:t>
      </w:r>
      <w:r>
        <w:rPr>
          <w:rFonts w:hint="eastAsia" w:ascii="仿宋" w:hAnsi="仿宋" w:eastAsia="仿宋"/>
          <w:sz w:val="32"/>
          <w:szCs w:val="32"/>
          <w:lang w:val="en-US" w:eastAsia="zh-CN"/>
        </w:rPr>
        <w:t>73.981589</w:t>
      </w:r>
      <w:r>
        <w:rPr>
          <w:rFonts w:hint="eastAsia" w:ascii="仿宋" w:hAnsi="仿宋" w:eastAsia="仿宋"/>
          <w:sz w:val="32"/>
          <w:szCs w:val="32"/>
        </w:rPr>
        <w:t>万元，支出数为</w:t>
      </w:r>
      <w:r>
        <w:rPr>
          <w:rFonts w:hint="eastAsia" w:ascii="仿宋" w:hAnsi="仿宋" w:eastAsia="仿宋"/>
          <w:sz w:val="32"/>
          <w:szCs w:val="32"/>
          <w:lang w:val="en-US" w:eastAsia="zh-CN"/>
        </w:rPr>
        <w:t>50.68</w:t>
      </w:r>
      <w:r>
        <w:rPr>
          <w:rFonts w:hint="eastAsia" w:ascii="仿宋" w:hAnsi="仿宋" w:eastAsia="仿宋"/>
          <w:sz w:val="32"/>
          <w:szCs w:val="32"/>
        </w:rPr>
        <w:t>万元，预算执行率为</w:t>
      </w:r>
      <w:r>
        <w:rPr>
          <w:rFonts w:hint="eastAsia" w:ascii="仿宋" w:hAnsi="仿宋" w:eastAsia="仿宋"/>
          <w:sz w:val="32"/>
          <w:szCs w:val="32"/>
          <w:lang w:val="en-US" w:eastAsia="zh-CN"/>
        </w:rPr>
        <w:t>68.5%，</w:t>
      </w:r>
      <w:r>
        <w:rPr>
          <w:rFonts w:hint="eastAsia" w:ascii="仿宋" w:hAnsi="仿宋" w:eastAsia="仿宋"/>
          <w:sz w:val="32"/>
          <w:szCs w:val="32"/>
        </w:rPr>
        <w:t>各个项目工作在年底已完成，达到年度预期目标，总体完成率100%，绩效目标执行未出现偏差。</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0" w:firstLineChars="200"/>
        <w:jc w:val="both"/>
        <w:textAlignment w:val="auto"/>
        <w:rPr>
          <w:rFonts w:ascii="仿宋" w:hAnsi="仿宋" w:eastAsia="仿宋"/>
          <w:sz w:val="32"/>
          <w:szCs w:val="32"/>
        </w:rPr>
      </w:pPr>
      <w:r>
        <w:rPr>
          <w:rFonts w:hint="eastAsia" w:ascii="仿宋" w:hAnsi="仿宋" w:eastAsia="仿宋"/>
          <w:sz w:val="32"/>
          <w:szCs w:val="32"/>
          <w:lang w:val="en-US" w:eastAsia="zh-CN"/>
        </w:rPr>
        <w:t>7、其他企业改革发展补助</w:t>
      </w:r>
      <w:r>
        <w:rPr>
          <w:rFonts w:ascii="仿宋" w:hAnsi="仿宋" w:eastAsia="仿宋"/>
          <w:sz w:val="32"/>
          <w:szCs w:val="32"/>
          <w:lang w:val="en-US" w:eastAsia="zh-CN"/>
        </w:rPr>
        <w:t>支出</w:t>
      </w:r>
      <w:r>
        <w:rPr>
          <w:rFonts w:hint="eastAsia" w:ascii="仿宋" w:hAnsi="仿宋" w:eastAsia="仿宋"/>
          <w:sz w:val="32"/>
          <w:szCs w:val="32"/>
          <w:lang w:val="en-US" w:eastAsia="zh-CN"/>
        </w:rPr>
        <w:t>：</w:t>
      </w:r>
      <w:r>
        <w:rPr>
          <w:rFonts w:hint="eastAsia" w:ascii="仿宋" w:hAnsi="仿宋" w:eastAsia="仿宋"/>
          <w:sz w:val="32"/>
          <w:szCs w:val="32"/>
        </w:rPr>
        <w:t>矿区医院改制前死亡职工遗属补助经费</w:t>
      </w:r>
      <w:r>
        <w:rPr>
          <w:rFonts w:hint="eastAsia" w:ascii="仿宋" w:hAnsi="仿宋" w:eastAsia="仿宋"/>
          <w:sz w:val="32"/>
          <w:szCs w:val="32"/>
          <w:lang w:eastAsia="zh-CN"/>
        </w:rPr>
        <w:t>、原矿区医院人员遗留问题，</w:t>
      </w:r>
      <w:r>
        <w:rPr>
          <w:rFonts w:ascii="仿宋" w:hAnsi="仿宋" w:eastAsia="仿宋"/>
          <w:sz w:val="32"/>
          <w:szCs w:val="32"/>
        </w:rPr>
        <w:t>调整</w:t>
      </w:r>
      <w:r>
        <w:rPr>
          <w:rFonts w:hint="eastAsia" w:ascii="仿宋" w:hAnsi="仿宋" w:eastAsia="仿宋"/>
          <w:sz w:val="32"/>
          <w:szCs w:val="32"/>
        </w:rPr>
        <w:t>预算数</w:t>
      </w:r>
      <w:r>
        <w:rPr>
          <w:rFonts w:ascii="仿宋" w:hAnsi="仿宋" w:eastAsia="仿宋"/>
          <w:sz w:val="32"/>
          <w:szCs w:val="32"/>
        </w:rPr>
        <w:t>为</w:t>
      </w:r>
      <w:r>
        <w:rPr>
          <w:rFonts w:hint="eastAsia" w:ascii="仿宋" w:hAnsi="仿宋" w:eastAsia="仿宋"/>
          <w:sz w:val="32"/>
          <w:szCs w:val="32"/>
          <w:lang w:val="en-US" w:eastAsia="zh-CN"/>
        </w:rPr>
        <w:t>241.7799</w:t>
      </w:r>
      <w:r>
        <w:rPr>
          <w:rFonts w:hint="eastAsia" w:ascii="仿宋" w:hAnsi="仿宋" w:eastAsia="仿宋"/>
          <w:sz w:val="32"/>
          <w:szCs w:val="32"/>
        </w:rPr>
        <w:t>万元，支出数为</w:t>
      </w:r>
      <w:r>
        <w:rPr>
          <w:rFonts w:hint="eastAsia" w:ascii="仿宋" w:hAnsi="仿宋" w:eastAsia="仿宋"/>
          <w:sz w:val="32"/>
          <w:szCs w:val="32"/>
          <w:lang w:val="en-US" w:eastAsia="zh-CN"/>
        </w:rPr>
        <w:t>241.7799</w:t>
      </w:r>
      <w:r>
        <w:rPr>
          <w:rFonts w:hint="eastAsia" w:ascii="仿宋" w:hAnsi="仿宋" w:eastAsia="仿宋"/>
          <w:sz w:val="32"/>
          <w:szCs w:val="32"/>
        </w:rPr>
        <w:t>万元，预算执行率为</w:t>
      </w:r>
      <w:r>
        <w:rPr>
          <w:rFonts w:hint="eastAsia" w:ascii="仿宋" w:hAnsi="仿宋" w:eastAsia="仿宋"/>
          <w:sz w:val="32"/>
          <w:szCs w:val="32"/>
          <w:lang w:val="en-US" w:eastAsia="zh-CN"/>
        </w:rPr>
        <w:t>100</w:t>
      </w:r>
      <w:r>
        <w:rPr>
          <w:rFonts w:hint="eastAsia" w:ascii="仿宋" w:hAnsi="仿宋" w:eastAsia="仿宋"/>
          <w:sz w:val="32"/>
          <w:szCs w:val="32"/>
        </w:rPr>
        <w:t>%，各个项目工作在年底已完成，达到年度预期目标，总体完成率100%，绩效目标执行未出现偏差。</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0" w:firstLineChars="200"/>
        <w:jc w:val="both"/>
        <w:textAlignment w:val="auto"/>
        <w:rPr>
          <w:rFonts w:ascii="仿宋" w:hAnsi="仿宋" w:eastAsia="仿宋"/>
          <w:sz w:val="32"/>
          <w:szCs w:val="32"/>
        </w:rPr>
      </w:pPr>
      <w:r>
        <w:rPr>
          <w:rFonts w:hint="eastAsia" w:ascii="仿宋" w:hAnsi="仿宋" w:eastAsia="仿宋"/>
          <w:sz w:val="32"/>
          <w:szCs w:val="32"/>
          <w:lang w:val="en-US" w:eastAsia="zh-CN"/>
        </w:rPr>
        <w:t>8</w:t>
      </w:r>
      <w:r>
        <w:rPr>
          <w:rFonts w:ascii="仿宋" w:hAnsi="仿宋" w:eastAsia="仿宋"/>
          <w:sz w:val="32"/>
          <w:szCs w:val="32"/>
        </w:rPr>
        <w:t>、其他卫生健康管理事务支出：主要是卫生综合业务费、劳务派遣人员工资及保险、</w:t>
      </w:r>
      <w:r>
        <w:rPr>
          <w:rFonts w:hint="eastAsia" w:ascii="仿宋" w:hAnsi="仿宋" w:eastAsia="仿宋"/>
          <w:sz w:val="32"/>
          <w:szCs w:val="32"/>
        </w:rPr>
        <w:t>“赤脚医生”</w:t>
      </w:r>
      <w:r>
        <w:rPr>
          <w:rFonts w:ascii="仿宋" w:hAnsi="仿宋" w:eastAsia="仿宋"/>
          <w:sz w:val="32"/>
          <w:szCs w:val="32"/>
        </w:rPr>
        <w:t>养老补助资金等</w:t>
      </w:r>
      <w:r>
        <w:rPr>
          <w:rFonts w:hint="eastAsia" w:ascii="仿宋" w:hAnsi="仿宋" w:eastAsia="仿宋"/>
          <w:sz w:val="32"/>
          <w:szCs w:val="32"/>
          <w:lang w:eastAsia="zh-CN"/>
        </w:rPr>
        <w:t>，</w:t>
      </w:r>
      <w:r>
        <w:rPr>
          <w:rFonts w:ascii="仿宋" w:hAnsi="仿宋" w:eastAsia="仿宋"/>
          <w:sz w:val="32"/>
          <w:szCs w:val="32"/>
        </w:rPr>
        <w:t>调整</w:t>
      </w:r>
      <w:r>
        <w:rPr>
          <w:rFonts w:hint="eastAsia" w:ascii="仿宋" w:hAnsi="仿宋" w:eastAsia="仿宋"/>
          <w:sz w:val="32"/>
          <w:szCs w:val="32"/>
        </w:rPr>
        <w:t>预算数</w:t>
      </w:r>
      <w:r>
        <w:rPr>
          <w:rFonts w:ascii="仿宋" w:hAnsi="仿宋" w:eastAsia="仿宋"/>
          <w:sz w:val="32"/>
          <w:szCs w:val="32"/>
        </w:rPr>
        <w:t>为</w:t>
      </w:r>
      <w:r>
        <w:rPr>
          <w:rFonts w:hint="eastAsia" w:ascii="仿宋" w:hAnsi="仿宋" w:eastAsia="仿宋"/>
          <w:sz w:val="32"/>
          <w:szCs w:val="32"/>
          <w:lang w:val="en-US" w:eastAsia="zh-CN"/>
        </w:rPr>
        <w:t>67.57255</w:t>
      </w:r>
      <w:r>
        <w:rPr>
          <w:rFonts w:ascii="仿宋" w:hAnsi="仿宋" w:eastAsia="仿宋"/>
          <w:sz w:val="32"/>
          <w:szCs w:val="32"/>
          <w:lang w:val="en-US" w:eastAsia="zh-CN"/>
        </w:rPr>
        <w:t>万元</w:t>
      </w:r>
      <w:r>
        <w:rPr>
          <w:rFonts w:ascii="仿宋" w:hAnsi="仿宋" w:eastAsia="仿宋"/>
          <w:sz w:val="32"/>
          <w:szCs w:val="32"/>
        </w:rPr>
        <w:t>，支出数为</w:t>
      </w:r>
      <w:r>
        <w:rPr>
          <w:rFonts w:hint="eastAsia" w:ascii="仿宋" w:hAnsi="仿宋" w:eastAsia="仿宋"/>
          <w:sz w:val="32"/>
          <w:szCs w:val="32"/>
          <w:lang w:val="en-US" w:eastAsia="zh-CN"/>
        </w:rPr>
        <w:t>59.21755</w:t>
      </w:r>
      <w:r>
        <w:rPr>
          <w:rFonts w:ascii="仿宋" w:hAnsi="仿宋" w:eastAsia="仿宋"/>
          <w:sz w:val="32"/>
          <w:szCs w:val="32"/>
        </w:rPr>
        <w:t>万元，</w:t>
      </w:r>
      <w:r>
        <w:rPr>
          <w:rFonts w:hint="eastAsia" w:ascii="仿宋" w:hAnsi="仿宋" w:eastAsia="仿宋"/>
          <w:sz w:val="32"/>
          <w:szCs w:val="32"/>
        </w:rPr>
        <w:t>预算执行率为</w:t>
      </w:r>
      <w:r>
        <w:rPr>
          <w:rFonts w:ascii="仿宋" w:hAnsi="仿宋" w:eastAsia="仿宋"/>
          <w:sz w:val="32"/>
          <w:szCs w:val="32"/>
          <w:lang w:val="en-US" w:eastAsia="zh-CN"/>
        </w:rPr>
        <w:t>8</w:t>
      </w:r>
      <w:r>
        <w:rPr>
          <w:rFonts w:hint="eastAsia" w:ascii="仿宋" w:hAnsi="仿宋" w:eastAsia="仿宋"/>
          <w:sz w:val="32"/>
          <w:szCs w:val="32"/>
          <w:lang w:val="en-US" w:eastAsia="zh-CN"/>
        </w:rPr>
        <w:t>7.6</w:t>
      </w:r>
      <w:r>
        <w:rPr>
          <w:rFonts w:hint="eastAsia" w:ascii="仿宋" w:hAnsi="仿宋" w:eastAsia="仿宋"/>
          <w:sz w:val="32"/>
          <w:szCs w:val="32"/>
        </w:rPr>
        <w:t>%，项目工作在年底</w:t>
      </w:r>
      <w:r>
        <w:rPr>
          <w:rFonts w:ascii="仿宋" w:hAnsi="仿宋" w:eastAsia="仿宋"/>
          <w:sz w:val="32"/>
          <w:szCs w:val="32"/>
        </w:rPr>
        <w:t>基本</w:t>
      </w:r>
      <w:r>
        <w:rPr>
          <w:rFonts w:hint="eastAsia" w:ascii="仿宋" w:hAnsi="仿宋" w:eastAsia="仿宋"/>
          <w:sz w:val="32"/>
          <w:szCs w:val="32"/>
        </w:rPr>
        <w:t>完成，达到年度预期目标，总体完成率</w:t>
      </w:r>
      <w:r>
        <w:rPr>
          <w:rFonts w:ascii="仿宋" w:hAnsi="仿宋" w:eastAsia="仿宋"/>
          <w:sz w:val="32"/>
          <w:szCs w:val="32"/>
        </w:rPr>
        <w:t>达到90</w:t>
      </w:r>
      <w:r>
        <w:rPr>
          <w:rFonts w:hint="eastAsia" w:ascii="仿宋" w:hAnsi="仿宋" w:eastAsia="仿宋"/>
          <w:sz w:val="32"/>
          <w:szCs w:val="32"/>
        </w:rPr>
        <w:t>%，绩效目标执行未出现偏差。</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0" w:firstLineChars="200"/>
        <w:jc w:val="both"/>
        <w:textAlignment w:val="auto"/>
        <w:rPr>
          <w:rFonts w:hint="eastAsia" w:ascii="仿宋" w:hAnsi="仿宋" w:eastAsia="仿宋"/>
          <w:sz w:val="32"/>
          <w:szCs w:val="32"/>
        </w:rPr>
      </w:pPr>
      <w:r>
        <w:rPr>
          <w:rFonts w:hint="eastAsia" w:ascii="仿宋" w:hAnsi="仿宋" w:eastAsia="仿宋"/>
          <w:sz w:val="32"/>
          <w:szCs w:val="32"/>
          <w:lang w:val="en-US" w:eastAsia="zh-CN"/>
        </w:rPr>
        <w:t>9</w:t>
      </w:r>
      <w:r>
        <w:rPr>
          <w:rFonts w:ascii="仿宋" w:hAnsi="仿宋" w:eastAsia="仿宋"/>
          <w:sz w:val="32"/>
          <w:szCs w:val="32"/>
        </w:rPr>
        <w:t>、中医（民族医）药专项支出：主要是关于下达2023年中医药事业发展市级补助资金（石财社｛2023｝32号）调整</w:t>
      </w:r>
      <w:r>
        <w:rPr>
          <w:rFonts w:hint="eastAsia" w:ascii="仿宋" w:hAnsi="仿宋" w:eastAsia="仿宋"/>
          <w:sz w:val="32"/>
          <w:szCs w:val="32"/>
        </w:rPr>
        <w:t>预算数</w:t>
      </w:r>
      <w:r>
        <w:rPr>
          <w:rFonts w:ascii="仿宋" w:hAnsi="仿宋" w:eastAsia="仿宋"/>
          <w:sz w:val="32"/>
          <w:szCs w:val="32"/>
        </w:rPr>
        <w:t>为</w:t>
      </w:r>
      <w:r>
        <w:rPr>
          <w:rFonts w:hint="eastAsia" w:ascii="仿宋" w:hAnsi="仿宋" w:eastAsia="仿宋"/>
          <w:sz w:val="32"/>
          <w:szCs w:val="32"/>
          <w:lang w:val="en-US" w:eastAsia="zh-CN"/>
        </w:rPr>
        <w:t>2.1246</w:t>
      </w:r>
      <w:r>
        <w:rPr>
          <w:rFonts w:ascii="仿宋" w:hAnsi="仿宋" w:eastAsia="仿宋"/>
          <w:sz w:val="32"/>
          <w:szCs w:val="32"/>
        </w:rPr>
        <w:t>万元，支出金额0万元，预算执行率为0。未</w:t>
      </w:r>
      <w:r>
        <w:rPr>
          <w:rFonts w:hint="eastAsia" w:ascii="仿宋" w:hAnsi="仿宋" w:eastAsia="仿宋"/>
          <w:sz w:val="32"/>
          <w:szCs w:val="32"/>
        </w:rPr>
        <w:t>达到年度预期目标，总体完成率</w:t>
      </w:r>
      <w:r>
        <w:rPr>
          <w:rFonts w:ascii="仿宋" w:hAnsi="仿宋" w:eastAsia="仿宋"/>
          <w:sz w:val="32"/>
          <w:szCs w:val="32"/>
        </w:rPr>
        <w:t>达到</w:t>
      </w:r>
      <w:r>
        <w:rPr>
          <w:rFonts w:hint="eastAsia" w:ascii="仿宋" w:hAnsi="仿宋" w:eastAsia="仿宋"/>
          <w:sz w:val="32"/>
          <w:szCs w:val="32"/>
          <w:lang w:val="en-US" w:eastAsia="zh-CN"/>
        </w:rPr>
        <w:t>6</w:t>
      </w:r>
      <w:r>
        <w:rPr>
          <w:rFonts w:ascii="仿宋" w:hAnsi="仿宋" w:eastAsia="仿宋"/>
          <w:sz w:val="32"/>
          <w:szCs w:val="32"/>
        </w:rPr>
        <w:t>0</w:t>
      </w:r>
      <w:r>
        <w:rPr>
          <w:rFonts w:hint="eastAsia" w:ascii="仿宋" w:hAnsi="仿宋" w:eastAsia="仿宋"/>
          <w:sz w:val="32"/>
          <w:szCs w:val="32"/>
        </w:rPr>
        <w:t>%，绩效目标执行未出现偏差。</w:t>
      </w:r>
    </w:p>
    <w:p>
      <w:pPr>
        <w:keepNext w:val="0"/>
        <w:keepLines w:val="0"/>
        <w:pageBreakBefore w:val="0"/>
        <w:widowControl w:val="0"/>
        <w:kinsoku/>
        <w:wordWrap/>
        <w:overflowPunct/>
        <w:topLinePunct w:val="0"/>
        <w:autoSpaceDE/>
        <w:autoSpaceDN/>
        <w:bidi w:val="0"/>
        <w:adjustRightInd/>
        <w:snapToGrid/>
        <w:spacing w:line="560" w:lineRule="exact"/>
        <w:ind w:left="0" w:right="0" w:rightChars="0" w:firstLine="640" w:firstLineChars="200"/>
        <w:jc w:val="both"/>
        <w:textAlignment w:val="auto"/>
        <w:rPr>
          <w:rFonts w:ascii="仿宋" w:hAnsi="仿宋" w:eastAsia="仿宋"/>
          <w:sz w:val="32"/>
          <w:szCs w:val="32"/>
        </w:rPr>
      </w:pPr>
      <w:r>
        <w:rPr>
          <w:rFonts w:hint="eastAsia" w:ascii="仿宋" w:hAnsi="仿宋" w:eastAsia="仿宋"/>
          <w:sz w:val="32"/>
          <w:szCs w:val="32"/>
          <w:lang w:val="en-US" w:eastAsia="zh-CN"/>
        </w:rPr>
        <w:t>10</w:t>
      </w:r>
      <w:r>
        <w:rPr>
          <w:rFonts w:ascii="仿宋" w:hAnsi="仿宋" w:eastAsia="仿宋"/>
          <w:sz w:val="32"/>
          <w:szCs w:val="32"/>
        </w:rPr>
        <w:t>、基层医疗卫生机构支出：主要是基本药物制度补助、乡村一体化运行经费（村卫生室）、医疗服务经费调整</w:t>
      </w:r>
      <w:r>
        <w:rPr>
          <w:rFonts w:hint="eastAsia" w:ascii="仿宋" w:hAnsi="仿宋" w:eastAsia="仿宋"/>
          <w:sz w:val="32"/>
          <w:szCs w:val="32"/>
        </w:rPr>
        <w:t>预算数为</w:t>
      </w:r>
      <w:r>
        <w:rPr>
          <w:rFonts w:hint="eastAsia" w:ascii="仿宋" w:hAnsi="仿宋" w:eastAsia="仿宋"/>
          <w:sz w:val="32"/>
          <w:szCs w:val="32"/>
          <w:lang w:val="en-US" w:eastAsia="zh-CN"/>
        </w:rPr>
        <w:t>126.749933</w:t>
      </w:r>
      <w:r>
        <w:rPr>
          <w:rFonts w:ascii="仿宋" w:hAnsi="仿宋" w:eastAsia="仿宋"/>
          <w:sz w:val="32"/>
          <w:szCs w:val="32"/>
        </w:rPr>
        <w:t>万元，支出资金</w:t>
      </w:r>
      <w:r>
        <w:rPr>
          <w:rFonts w:hint="eastAsia" w:ascii="仿宋" w:hAnsi="仿宋" w:eastAsia="仿宋"/>
          <w:sz w:val="32"/>
          <w:szCs w:val="32"/>
          <w:lang w:val="en-US" w:eastAsia="zh-CN"/>
        </w:rPr>
        <w:t>49.172233</w:t>
      </w:r>
      <w:r>
        <w:rPr>
          <w:rFonts w:ascii="仿宋" w:hAnsi="仿宋" w:eastAsia="仿宋"/>
          <w:sz w:val="32"/>
          <w:szCs w:val="32"/>
        </w:rPr>
        <w:t>万元。</w:t>
      </w:r>
      <w:r>
        <w:rPr>
          <w:rFonts w:hint="eastAsia" w:ascii="仿宋" w:hAnsi="仿宋" w:eastAsia="仿宋"/>
          <w:sz w:val="32"/>
          <w:szCs w:val="32"/>
        </w:rPr>
        <w:t>预算执行率为</w:t>
      </w:r>
      <w:r>
        <w:rPr>
          <w:rFonts w:ascii="仿宋" w:hAnsi="仿宋" w:eastAsia="仿宋"/>
          <w:sz w:val="32"/>
          <w:szCs w:val="32"/>
          <w:lang w:val="en-US" w:eastAsia="zh-CN"/>
        </w:rPr>
        <w:t>9</w:t>
      </w:r>
      <w:r>
        <w:rPr>
          <w:rFonts w:hint="eastAsia" w:ascii="仿宋" w:hAnsi="仿宋" w:eastAsia="仿宋"/>
          <w:sz w:val="32"/>
          <w:szCs w:val="32"/>
          <w:lang w:val="en-US" w:eastAsia="zh-CN"/>
        </w:rPr>
        <w:t>6.8</w:t>
      </w:r>
      <w:r>
        <w:rPr>
          <w:rFonts w:hint="eastAsia" w:ascii="仿宋" w:hAnsi="仿宋" w:eastAsia="仿宋"/>
          <w:sz w:val="32"/>
          <w:szCs w:val="32"/>
        </w:rPr>
        <w:t>%，项目工作在年底已完成，达到年度预期目标，总体完成率</w:t>
      </w:r>
      <w:r>
        <w:rPr>
          <w:rFonts w:ascii="仿宋" w:hAnsi="仿宋" w:eastAsia="仿宋"/>
          <w:sz w:val="32"/>
          <w:szCs w:val="32"/>
        </w:rPr>
        <w:t>平均达到90</w:t>
      </w:r>
      <w:r>
        <w:rPr>
          <w:rFonts w:hint="eastAsia" w:ascii="仿宋" w:hAnsi="仿宋" w:eastAsia="仿宋"/>
          <w:sz w:val="32"/>
          <w:szCs w:val="32"/>
        </w:rPr>
        <w:t>%，绩效目标执行未出现偏差。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 w:hAnsi="仿宋" w:eastAsia="仿宋"/>
          <w:sz w:val="32"/>
          <w:szCs w:val="32"/>
        </w:rPr>
      </w:pPr>
      <w:r>
        <w:rPr>
          <w:rFonts w:hint="eastAsia" w:ascii="仿宋" w:hAnsi="仿宋" w:eastAsia="仿宋"/>
          <w:sz w:val="32"/>
          <w:szCs w:val="32"/>
          <w:lang w:val="en-US" w:eastAsia="zh-CN"/>
        </w:rPr>
        <w:t>11</w:t>
      </w:r>
      <w:r>
        <w:rPr>
          <w:rFonts w:ascii="仿宋" w:hAnsi="仿宋" w:eastAsia="仿宋"/>
          <w:sz w:val="32"/>
          <w:szCs w:val="32"/>
        </w:rPr>
        <w:t>、卫生监督机构</w:t>
      </w:r>
      <w:r>
        <w:rPr>
          <w:rFonts w:hint="eastAsia" w:ascii="仿宋" w:hAnsi="仿宋" w:eastAsia="仿宋"/>
          <w:sz w:val="32"/>
          <w:szCs w:val="32"/>
          <w:lang w:eastAsia="zh-CN"/>
        </w:rPr>
        <w:t>支出</w:t>
      </w:r>
      <w:r>
        <w:rPr>
          <w:rFonts w:ascii="仿宋" w:hAnsi="仿宋" w:eastAsia="仿宋"/>
          <w:sz w:val="32"/>
          <w:szCs w:val="32"/>
        </w:rPr>
        <w:t>：主要是</w:t>
      </w:r>
      <w:r>
        <w:rPr>
          <w:rFonts w:hint="eastAsia" w:ascii="仿宋" w:hAnsi="仿宋" w:eastAsia="仿宋"/>
          <w:sz w:val="32"/>
          <w:szCs w:val="32"/>
          <w:lang w:eastAsia="zh-CN"/>
        </w:rPr>
        <w:t>劳务派遣经费，</w:t>
      </w:r>
      <w:r>
        <w:rPr>
          <w:rFonts w:ascii="仿宋" w:hAnsi="仿宋" w:eastAsia="仿宋"/>
          <w:sz w:val="32"/>
          <w:szCs w:val="32"/>
        </w:rPr>
        <w:t>调整</w:t>
      </w:r>
      <w:r>
        <w:rPr>
          <w:rFonts w:hint="eastAsia" w:ascii="仿宋" w:hAnsi="仿宋" w:eastAsia="仿宋"/>
          <w:sz w:val="32"/>
          <w:szCs w:val="32"/>
        </w:rPr>
        <w:t>预算数为</w:t>
      </w:r>
      <w:r>
        <w:rPr>
          <w:rFonts w:hint="eastAsia" w:ascii="仿宋" w:hAnsi="仿宋" w:eastAsia="仿宋"/>
          <w:sz w:val="32"/>
          <w:szCs w:val="32"/>
          <w:lang w:val="en-US" w:eastAsia="zh-CN"/>
        </w:rPr>
        <w:t>7.488359</w:t>
      </w:r>
      <w:r>
        <w:rPr>
          <w:rFonts w:ascii="仿宋" w:hAnsi="仿宋" w:eastAsia="仿宋"/>
          <w:sz w:val="32"/>
          <w:szCs w:val="32"/>
        </w:rPr>
        <w:t>万元，支出金额</w:t>
      </w:r>
      <w:r>
        <w:rPr>
          <w:rFonts w:hint="eastAsia" w:ascii="仿宋" w:hAnsi="仿宋" w:eastAsia="仿宋"/>
          <w:sz w:val="32"/>
          <w:szCs w:val="32"/>
          <w:lang w:val="en-US" w:eastAsia="zh-CN"/>
        </w:rPr>
        <w:t>7.488359</w:t>
      </w:r>
      <w:r>
        <w:rPr>
          <w:rFonts w:ascii="仿宋" w:hAnsi="仿宋" w:eastAsia="仿宋"/>
          <w:sz w:val="32"/>
          <w:szCs w:val="32"/>
        </w:rPr>
        <w:t>万元。</w:t>
      </w:r>
      <w:r>
        <w:rPr>
          <w:rFonts w:hint="eastAsia" w:ascii="仿宋" w:hAnsi="仿宋" w:eastAsia="仿宋"/>
          <w:sz w:val="32"/>
          <w:szCs w:val="32"/>
        </w:rPr>
        <w:t>预算执行率为</w:t>
      </w:r>
      <w:r>
        <w:rPr>
          <w:rFonts w:hint="eastAsia" w:ascii="仿宋" w:hAnsi="仿宋" w:eastAsia="仿宋"/>
          <w:sz w:val="32"/>
          <w:szCs w:val="32"/>
          <w:lang w:val="en-US" w:eastAsia="zh-CN"/>
        </w:rPr>
        <w:t>100</w:t>
      </w:r>
      <w:r>
        <w:rPr>
          <w:rFonts w:hint="eastAsia" w:ascii="仿宋" w:hAnsi="仿宋" w:eastAsia="仿宋"/>
          <w:sz w:val="32"/>
          <w:szCs w:val="32"/>
        </w:rPr>
        <w:t>%，各个项目工作在年底已完成，达到年度预期目标，总体完成率</w:t>
      </w:r>
      <w:r>
        <w:rPr>
          <w:rFonts w:ascii="仿宋" w:hAnsi="仿宋" w:eastAsia="仿宋"/>
          <w:sz w:val="32"/>
          <w:szCs w:val="32"/>
        </w:rPr>
        <w:t>平均达到90</w:t>
      </w:r>
      <w:r>
        <w:rPr>
          <w:rFonts w:hint="eastAsia" w:ascii="仿宋" w:hAnsi="仿宋" w:eastAsia="仿宋"/>
          <w:sz w:val="32"/>
          <w:szCs w:val="32"/>
        </w:rPr>
        <w:t>%，绩效目标执行未出现偏差。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ascii="仿宋" w:hAnsi="仿宋" w:eastAsia="仿宋"/>
          <w:sz w:val="32"/>
          <w:szCs w:val="32"/>
        </w:rPr>
      </w:pPr>
      <w:r>
        <w:rPr>
          <w:rFonts w:hint="eastAsia" w:ascii="仿宋" w:hAnsi="仿宋" w:eastAsia="仿宋"/>
          <w:sz w:val="32"/>
          <w:szCs w:val="32"/>
          <w:lang w:val="en-US" w:eastAsia="zh-CN"/>
        </w:rPr>
        <w:t>12、</w:t>
      </w:r>
      <w:r>
        <w:rPr>
          <w:rFonts w:hint="eastAsia" w:ascii="仿宋" w:hAnsi="仿宋" w:eastAsia="仿宋"/>
          <w:sz w:val="32"/>
          <w:szCs w:val="32"/>
          <w:lang w:eastAsia="zh-CN"/>
        </w:rPr>
        <w:t>公立医院类：主要是医疗卫生机构能力建设、卫生健康人才培训等</w:t>
      </w:r>
      <w:r>
        <w:rPr>
          <w:rFonts w:ascii="仿宋" w:hAnsi="仿宋" w:eastAsia="仿宋"/>
          <w:sz w:val="32"/>
          <w:szCs w:val="32"/>
          <w:lang w:eastAsia="zh-CN"/>
        </w:rPr>
        <w:t>，调整</w:t>
      </w:r>
      <w:r>
        <w:rPr>
          <w:rFonts w:hint="eastAsia" w:ascii="仿宋" w:hAnsi="仿宋" w:eastAsia="仿宋"/>
          <w:sz w:val="32"/>
          <w:szCs w:val="32"/>
        </w:rPr>
        <w:t>预算数为</w:t>
      </w:r>
      <w:r>
        <w:rPr>
          <w:rFonts w:hint="eastAsia" w:ascii="仿宋" w:hAnsi="仿宋" w:eastAsia="仿宋"/>
          <w:sz w:val="32"/>
          <w:szCs w:val="32"/>
          <w:lang w:val="en-US" w:eastAsia="zh-CN"/>
        </w:rPr>
        <w:t>2.6723</w:t>
      </w:r>
      <w:r>
        <w:rPr>
          <w:rFonts w:hint="eastAsia" w:ascii="仿宋" w:hAnsi="仿宋" w:eastAsia="仿宋"/>
          <w:sz w:val="32"/>
          <w:szCs w:val="32"/>
        </w:rPr>
        <w:t>万元，支出数为</w:t>
      </w:r>
      <w:r>
        <w:rPr>
          <w:rFonts w:hint="eastAsia" w:ascii="仿宋" w:hAnsi="仿宋" w:eastAsia="仿宋"/>
          <w:sz w:val="32"/>
          <w:szCs w:val="32"/>
          <w:lang w:val="en-US" w:eastAsia="zh-CN"/>
        </w:rPr>
        <w:t>2.6723</w:t>
      </w:r>
      <w:r>
        <w:rPr>
          <w:rFonts w:hint="eastAsia" w:ascii="仿宋" w:hAnsi="仿宋" w:eastAsia="仿宋"/>
          <w:sz w:val="32"/>
          <w:szCs w:val="32"/>
        </w:rPr>
        <w:t>万元，预算执行率</w:t>
      </w:r>
      <w:r>
        <w:rPr>
          <w:rFonts w:ascii="仿宋" w:hAnsi="仿宋" w:eastAsia="仿宋"/>
          <w:sz w:val="32"/>
          <w:szCs w:val="32"/>
        </w:rPr>
        <w:t>低</w:t>
      </w:r>
      <w:r>
        <w:rPr>
          <w:rFonts w:hint="eastAsia" w:ascii="仿宋" w:hAnsi="仿宋" w:eastAsia="仿宋"/>
          <w:sz w:val="32"/>
          <w:szCs w:val="32"/>
        </w:rPr>
        <w:t>，</w:t>
      </w:r>
      <w:r>
        <w:rPr>
          <w:rFonts w:ascii="仿宋" w:hAnsi="仿宋" w:eastAsia="仿宋"/>
          <w:sz w:val="32"/>
          <w:szCs w:val="32"/>
        </w:rPr>
        <w:t>部分</w:t>
      </w:r>
      <w:r>
        <w:rPr>
          <w:rFonts w:hint="eastAsia" w:ascii="仿宋" w:hAnsi="仿宋" w:eastAsia="仿宋"/>
          <w:sz w:val="32"/>
          <w:szCs w:val="32"/>
        </w:rPr>
        <w:t>项目工作在年底</w:t>
      </w:r>
      <w:r>
        <w:rPr>
          <w:rFonts w:ascii="仿宋" w:hAnsi="仿宋" w:eastAsia="仿宋"/>
          <w:sz w:val="32"/>
          <w:szCs w:val="32"/>
        </w:rPr>
        <w:t>基本</w:t>
      </w:r>
      <w:r>
        <w:rPr>
          <w:rFonts w:hint="eastAsia" w:ascii="仿宋" w:hAnsi="仿宋" w:eastAsia="仿宋"/>
          <w:sz w:val="32"/>
          <w:szCs w:val="32"/>
        </w:rPr>
        <w:t>完成，达到年度预期目标，总体完成率</w:t>
      </w:r>
      <w:r>
        <w:rPr>
          <w:rFonts w:ascii="仿宋" w:hAnsi="仿宋" w:eastAsia="仿宋"/>
          <w:sz w:val="32"/>
          <w:szCs w:val="32"/>
        </w:rPr>
        <w:t>达到90</w:t>
      </w:r>
      <w:r>
        <w:rPr>
          <w:rFonts w:hint="eastAsia" w:ascii="仿宋" w:hAnsi="仿宋" w:eastAsia="仿宋"/>
          <w:sz w:val="32"/>
          <w:szCs w:val="32"/>
        </w:rPr>
        <w:t>%，绩效目标执行未出现偏差。</w:t>
      </w:r>
    </w:p>
    <w:p>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黑体" w:hAnsi="黑体" w:eastAsia="黑体"/>
          <w:sz w:val="32"/>
          <w:szCs w:val="32"/>
        </w:rPr>
      </w:pPr>
      <w:r>
        <w:rPr>
          <w:rFonts w:hint="eastAsia" w:ascii="黑体" w:hAnsi="黑体" w:eastAsia="黑体"/>
          <w:sz w:val="32"/>
          <w:szCs w:val="32"/>
        </w:rPr>
        <w:t>评价结论和评价等级</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根据《部门绩效自评结果公开汇总表》的各个项目的评分，</w:t>
      </w:r>
      <w:r>
        <w:rPr>
          <w:rFonts w:ascii="仿宋" w:hAnsi="仿宋" w:eastAsia="仿宋"/>
          <w:sz w:val="32"/>
          <w:szCs w:val="32"/>
          <w:lang w:eastAsia="zh-CN"/>
        </w:rPr>
        <w:t>平均</w:t>
      </w:r>
      <w:r>
        <w:rPr>
          <w:rFonts w:hint="eastAsia" w:ascii="仿宋" w:hAnsi="仿宋" w:eastAsia="仿宋"/>
          <w:sz w:val="32"/>
          <w:szCs w:val="32"/>
          <w:lang w:eastAsia="zh-CN"/>
        </w:rPr>
        <w:t>得分</w:t>
      </w:r>
      <w:r>
        <w:rPr>
          <w:rFonts w:hint="eastAsia" w:ascii="仿宋" w:hAnsi="仿宋" w:eastAsia="仿宋"/>
          <w:sz w:val="32"/>
          <w:szCs w:val="32"/>
          <w:lang w:val="en-US" w:eastAsia="zh-CN"/>
        </w:rPr>
        <w:t>91</w:t>
      </w:r>
      <w:r>
        <w:rPr>
          <w:rFonts w:hint="eastAsia" w:ascii="仿宋" w:hAnsi="仿宋" w:eastAsia="仿宋"/>
          <w:sz w:val="32"/>
          <w:szCs w:val="32"/>
          <w:lang w:eastAsia="zh-CN"/>
        </w:rPr>
        <w:t>分，绩效评价等级为“优”。</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b/>
          <w:bCs/>
          <w:sz w:val="32"/>
          <w:szCs w:val="32"/>
        </w:rPr>
      </w:pPr>
      <w:r>
        <w:rPr>
          <w:rFonts w:hint="eastAsia" w:ascii="仿宋" w:hAnsi="仿宋" w:eastAsia="仿宋"/>
          <w:sz w:val="32"/>
          <w:szCs w:val="32"/>
        </w:rPr>
        <w:t>预算编制前根据年度内单位可预见的工作任务，确定了单位年度预算目标，细化了预算指标，但是在实际支付过程中，个别时候未严格按照预算指标执行。</w:t>
      </w:r>
    </w:p>
    <w:p>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ascii="仿宋" w:hAnsi="仿宋" w:eastAsia="仿宋"/>
          <w:sz w:val="32"/>
          <w:szCs w:val="32"/>
          <w:lang w:val="en-US" w:eastAsia="zh-CN"/>
        </w:rPr>
        <w:t xml:space="preserve">1 </w:t>
      </w:r>
      <w:r>
        <w:rPr>
          <w:rFonts w:hint="eastAsia" w:ascii="仿宋" w:hAnsi="仿宋" w:eastAsia="仿宋"/>
          <w:sz w:val="32"/>
          <w:szCs w:val="32"/>
          <w:lang w:val="en-US" w:eastAsia="zh-CN"/>
        </w:rPr>
        <w:t>、</w:t>
      </w:r>
      <w:r>
        <w:rPr>
          <w:rFonts w:ascii="仿宋" w:hAnsi="仿宋" w:eastAsia="仿宋"/>
          <w:sz w:val="32"/>
          <w:szCs w:val="32"/>
          <w:lang w:val="en-US" w:eastAsia="zh-CN"/>
        </w:rPr>
        <w:t>加强学习， 提高思想认识。 组织</w:t>
      </w:r>
      <w:r>
        <w:rPr>
          <w:rFonts w:hint="eastAsia" w:ascii="仿宋" w:hAnsi="仿宋" w:eastAsia="仿宋"/>
          <w:sz w:val="32"/>
          <w:szCs w:val="32"/>
          <w:lang w:val="en-US" w:eastAsia="zh-CN"/>
        </w:rPr>
        <w:t>部门</w:t>
      </w:r>
      <w:r>
        <w:rPr>
          <w:rFonts w:ascii="仿宋" w:hAnsi="仿宋" w:eastAsia="仿宋"/>
          <w:sz w:val="32"/>
          <w:szCs w:val="32"/>
          <w:lang w:val="en-US" w:eastAsia="zh-CN"/>
        </w:rPr>
        <w:t>财务人员认真学习《预算法》 等相关法规、制度，提高单位领导对全面预算管理的重视程度，增强财务人员的预算意识。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仿宋" w:hAnsi="仿宋" w:eastAsia="仿宋"/>
          <w:sz w:val="32"/>
          <w:szCs w:val="32"/>
          <w:lang w:val="en-US" w:eastAsia="zh-CN"/>
        </w:rPr>
      </w:pPr>
      <w:r>
        <w:rPr>
          <w:rFonts w:ascii="仿宋" w:hAnsi="仿宋" w:eastAsia="仿宋"/>
          <w:sz w:val="32"/>
          <w:szCs w:val="32"/>
          <w:lang w:val="en-US" w:eastAsia="zh-CN"/>
        </w:rPr>
        <w:t>2</w:t>
      </w:r>
      <w:r>
        <w:rPr>
          <w:rFonts w:hint="eastAsia" w:ascii="仿宋" w:hAnsi="仿宋" w:eastAsia="仿宋"/>
          <w:sz w:val="32"/>
          <w:szCs w:val="32"/>
          <w:lang w:val="en-US" w:eastAsia="zh-CN"/>
        </w:rPr>
        <w:t>、</w:t>
      </w:r>
      <w:r>
        <w:rPr>
          <w:rFonts w:ascii="仿宋" w:hAnsi="仿宋" w:eastAsia="仿宋"/>
          <w:sz w:val="32"/>
          <w:szCs w:val="32"/>
          <w:lang w:val="en-US" w:eastAsia="zh-CN"/>
        </w:rPr>
        <w:t>严格管理，控制“三公”经费和公用经费支出。认真贯彻落实中央八项规定和</w:t>
      </w:r>
      <w:r>
        <w:rPr>
          <w:rFonts w:hint="eastAsia" w:ascii="仿宋" w:hAnsi="仿宋" w:eastAsia="仿宋"/>
          <w:sz w:val="32"/>
          <w:szCs w:val="32"/>
          <w:lang w:val="en-US" w:eastAsia="zh-CN"/>
        </w:rPr>
        <w:t>区</w:t>
      </w:r>
      <w:r>
        <w:rPr>
          <w:rFonts w:ascii="仿宋" w:hAnsi="仿宋" w:eastAsia="仿宋"/>
          <w:sz w:val="32"/>
          <w:szCs w:val="32"/>
          <w:lang w:val="en-US" w:eastAsia="zh-CN"/>
        </w:rPr>
        <w:t>委、</w:t>
      </w:r>
      <w:r>
        <w:rPr>
          <w:rFonts w:hint="eastAsia" w:ascii="仿宋" w:hAnsi="仿宋" w:eastAsia="仿宋"/>
          <w:sz w:val="32"/>
          <w:szCs w:val="32"/>
          <w:lang w:val="en-US" w:eastAsia="zh-CN"/>
        </w:rPr>
        <w:t>区政府</w:t>
      </w:r>
      <w:r>
        <w:rPr>
          <w:rFonts w:ascii="仿宋" w:hAnsi="仿宋" w:eastAsia="仿宋"/>
          <w:sz w:val="32"/>
          <w:szCs w:val="32"/>
          <w:lang w:val="en-US" w:eastAsia="zh-CN"/>
        </w:rPr>
        <w:t>九项规定，切实加强“三公”经费和会议费、培训费管理，严格按照规定开支有关经费，确保单位“三公”经费只减不增。</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b/>
          <w:bCs/>
          <w:sz w:val="32"/>
          <w:szCs w:val="32"/>
        </w:rPr>
      </w:pPr>
      <w:r>
        <w:rPr>
          <w:rFonts w:ascii="仿宋" w:hAnsi="仿宋" w:eastAsia="仿宋"/>
          <w:sz w:val="32"/>
          <w:szCs w:val="32"/>
          <w:lang w:val="en-US" w:eastAsia="zh-CN"/>
        </w:rPr>
        <w:t>3、规范财务运行，加强预算支出管理。严格遵循“先有预算、后有支出”的原则，在资金支付管理方面，严格按照规定程序向财政部门申请用款，在财政部门批复的支出预算资金范围内申请使用一般预算支出经费。建立健全并认真执行各项资金使用管理制度，建立内部控制机制，资金使用严格履行审批程序，确保资金支出合法、真实。严格落实会计核算、报销审批制度，加强对资金使用环节的监督。</w:t>
      </w:r>
    </w:p>
    <w:p>
      <w:pPr>
        <w:keepNext w:val="0"/>
        <w:keepLines w:val="0"/>
        <w:pageBreakBefore w:val="0"/>
        <w:widowControl w:val="0"/>
        <w:kinsoku/>
        <w:wordWrap/>
        <w:overflowPunct/>
        <w:topLinePunct w:val="0"/>
        <w:autoSpaceDE/>
        <w:autoSpaceDN/>
        <w:bidi w:val="0"/>
        <w:adjustRightInd w:val="0"/>
        <w:snapToGrid w:val="0"/>
        <w:spacing w:line="590" w:lineRule="exact"/>
        <w:ind w:right="0" w:rightChars="0"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kinsoku/>
        <w:wordWrap/>
        <w:overflowPunct/>
        <w:topLinePunct w:val="0"/>
        <w:autoSpaceDE/>
        <w:autoSpaceDN/>
        <w:bidi w:val="0"/>
        <w:adjustRightInd/>
        <w:snapToGrid/>
        <w:spacing w:before="156" w:beforeLines="50" w:line="590" w:lineRule="exact"/>
        <w:ind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评价组人员：</w:t>
      </w:r>
    </w:p>
    <w:p>
      <w:pPr>
        <w:keepNext w:val="0"/>
        <w:keepLines w:val="0"/>
        <w:pageBreakBefore w:val="0"/>
        <w:widowControl w:val="0"/>
        <w:tabs>
          <w:tab w:val="left" w:pos="2230"/>
          <w:tab w:val="center" w:pos="4422"/>
        </w:tabs>
        <w:kinsoku/>
        <w:wordWrap/>
        <w:overflowPunct/>
        <w:topLinePunct w:val="0"/>
        <w:autoSpaceDE/>
        <w:autoSpaceDN/>
        <w:bidi w:val="0"/>
        <w:spacing w:line="590" w:lineRule="exact"/>
        <w:ind w:left="0" w:right="0" w:rightChars="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姓名  </w:t>
      </w:r>
      <w:r>
        <w:rPr>
          <w:rFonts w:hint="eastAsia" w:ascii="仿宋" w:hAnsi="仿宋" w:eastAsia="仿宋"/>
          <w:sz w:val="32"/>
          <w:szCs w:val="32"/>
          <w:lang w:val="en-US" w:eastAsia="zh-CN"/>
        </w:rPr>
        <w:tab/>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工作单位</w:t>
      </w:r>
      <w:r>
        <w:rPr>
          <w:rFonts w:hint="eastAsia" w:ascii="仿宋" w:hAnsi="仿宋" w:eastAsia="仿宋"/>
          <w:sz w:val="32"/>
          <w:szCs w:val="32"/>
          <w:lang w:val="en-US" w:eastAsia="zh-CN"/>
        </w:rPr>
        <w:tab/>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职 务</w:t>
      </w:r>
    </w:p>
    <w:p>
      <w:pPr>
        <w:keepNext w:val="0"/>
        <w:keepLines w:val="0"/>
        <w:pageBreakBefore w:val="0"/>
        <w:widowControl w:val="0"/>
        <w:tabs>
          <w:tab w:val="left" w:pos="2457"/>
          <w:tab w:val="center" w:pos="4422"/>
        </w:tabs>
        <w:kinsoku/>
        <w:wordWrap/>
        <w:overflowPunct/>
        <w:topLinePunct w:val="0"/>
        <w:autoSpaceDE/>
        <w:autoSpaceDN/>
        <w:bidi w:val="0"/>
        <w:spacing w:line="590" w:lineRule="exact"/>
        <w:ind w:left="0" w:right="0" w:rightChars="0" w:firstLine="640"/>
        <w:textAlignment w:val="auto"/>
        <w:outlineLvl w:val="9"/>
        <w:rPr>
          <w:rFonts w:hint="eastAsia" w:ascii="仿宋" w:hAnsi="仿宋" w:eastAsia="仿宋"/>
          <w:sz w:val="32"/>
          <w:szCs w:val="32"/>
          <w:lang w:val="en-US" w:eastAsia="zh-CN"/>
        </w:rPr>
      </w:pPr>
      <w:r>
        <w:rPr>
          <w:rFonts w:ascii="仿宋" w:hAnsi="仿宋" w:eastAsia="仿宋"/>
          <w:sz w:val="32"/>
          <w:szCs w:val="32"/>
          <w:lang w:val="en-US" w:eastAsia="zh-CN"/>
        </w:rPr>
        <w:t>苏丽霞</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区卫健局</w:t>
      </w:r>
      <w:r>
        <w:rPr>
          <w:rFonts w:hint="eastAsia" w:ascii="仿宋" w:hAnsi="仿宋" w:eastAsia="仿宋"/>
          <w:sz w:val="32"/>
          <w:szCs w:val="32"/>
          <w:lang w:val="en-US" w:eastAsia="zh-CN"/>
        </w:rPr>
        <w:tab/>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局长</w:t>
      </w:r>
    </w:p>
    <w:p>
      <w:pPr>
        <w:keepNext w:val="0"/>
        <w:keepLines w:val="0"/>
        <w:pageBreakBefore w:val="0"/>
        <w:widowControl w:val="0"/>
        <w:tabs>
          <w:tab w:val="left" w:pos="2412"/>
        </w:tabs>
        <w:kinsoku/>
        <w:wordWrap/>
        <w:overflowPunct/>
        <w:topLinePunct w:val="0"/>
        <w:autoSpaceDE/>
        <w:autoSpaceDN/>
        <w:bidi w:val="0"/>
        <w:spacing w:line="590" w:lineRule="exact"/>
        <w:ind w:left="0" w:right="0" w:rightChars="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左志雄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区卫健局</w:t>
      </w:r>
      <w:r>
        <w:rPr>
          <w:rFonts w:hint="eastAsia" w:ascii="仿宋" w:hAnsi="仿宋" w:eastAsia="仿宋"/>
          <w:sz w:val="32"/>
          <w:szCs w:val="32"/>
          <w:lang w:val="en-US" w:eastAsia="zh-CN"/>
        </w:rPr>
        <w:tab/>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副局长</w:t>
      </w:r>
    </w:p>
    <w:p>
      <w:pPr>
        <w:keepNext w:val="0"/>
        <w:keepLines w:val="0"/>
        <w:pageBreakBefore w:val="0"/>
        <w:widowControl w:val="0"/>
        <w:tabs>
          <w:tab w:val="left" w:pos="2412"/>
        </w:tabs>
        <w:kinsoku/>
        <w:wordWrap/>
        <w:overflowPunct/>
        <w:topLinePunct w:val="0"/>
        <w:autoSpaceDE/>
        <w:autoSpaceDN/>
        <w:bidi w:val="0"/>
        <w:spacing w:line="590" w:lineRule="exact"/>
        <w:ind w:left="0" w:right="0" w:rightChars="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王  芳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区计生协</w:t>
      </w:r>
      <w:r>
        <w:rPr>
          <w:rFonts w:hint="eastAsia" w:ascii="仿宋" w:hAnsi="仿宋" w:eastAsia="仿宋"/>
          <w:sz w:val="32"/>
          <w:szCs w:val="32"/>
          <w:lang w:val="en-US" w:eastAsia="zh-CN"/>
        </w:rPr>
        <w:tab/>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副会长</w:t>
      </w:r>
    </w:p>
    <w:p>
      <w:pPr>
        <w:keepNext w:val="0"/>
        <w:keepLines w:val="0"/>
        <w:pageBreakBefore w:val="0"/>
        <w:widowControl w:val="0"/>
        <w:tabs>
          <w:tab w:val="left" w:pos="2412"/>
        </w:tabs>
        <w:kinsoku/>
        <w:wordWrap/>
        <w:overflowPunct/>
        <w:topLinePunct w:val="0"/>
        <w:autoSpaceDE/>
        <w:autoSpaceDN/>
        <w:bidi w:val="0"/>
        <w:spacing w:line="590" w:lineRule="exact"/>
        <w:ind w:right="0" w:rightChars="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王晓青      区卫健局</w:t>
      </w:r>
      <w:r>
        <w:rPr>
          <w:rFonts w:hint="eastAsia" w:ascii="仿宋" w:hAnsi="仿宋" w:eastAsia="仿宋"/>
          <w:sz w:val="32"/>
          <w:szCs w:val="32"/>
          <w:lang w:val="en-US" w:eastAsia="zh-CN"/>
        </w:rPr>
        <w:tab/>
      </w:r>
      <w:r>
        <w:rPr>
          <w:rFonts w:hint="eastAsia" w:ascii="仿宋" w:hAnsi="仿宋" w:eastAsia="仿宋"/>
          <w:sz w:val="32"/>
          <w:szCs w:val="32"/>
          <w:lang w:val="en-US" w:eastAsia="zh-CN"/>
        </w:rPr>
        <w:t xml:space="preserve">        副局长</w:t>
      </w:r>
    </w:p>
    <w:p>
      <w:pPr>
        <w:keepNext w:val="0"/>
        <w:keepLines w:val="0"/>
        <w:pageBreakBefore w:val="0"/>
        <w:widowControl w:val="0"/>
        <w:tabs>
          <w:tab w:val="left" w:pos="2412"/>
        </w:tabs>
        <w:kinsoku/>
        <w:wordWrap/>
        <w:overflowPunct/>
        <w:topLinePunct w:val="0"/>
        <w:autoSpaceDE/>
        <w:autoSpaceDN/>
        <w:bidi w:val="0"/>
        <w:spacing w:line="590" w:lineRule="exact"/>
        <w:ind w:left="0" w:right="0" w:rightChars="0" w:firstLine="640"/>
        <w:textAlignment w:val="auto"/>
        <w:rPr>
          <w:rFonts w:ascii="仿宋" w:hAnsi="仿宋" w:eastAsia="仿宋"/>
          <w:sz w:val="32"/>
          <w:szCs w:val="32"/>
          <w:lang w:val="en-US" w:eastAsia="zh-CN"/>
        </w:rPr>
      </w:pPr>
      <w:r>
        <w:rPr>
          <w:rFonts w:hint="eastAsia" w:ascii="仿宋" w:hAnsi="仿宋" w:eastAsia="仿宋"/>
          <w:sz w:val="32"/>
          <w:szCs w:val="32"/>
          <w:lang w:val="en-US" w:eastAsia="zh-CN"/>
        </w:rPr>
        <w:t xml:space="preserve">刘海燕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区</w:t>
      </w:r>
      <w:r>
        <w:rPr>
          <w:rFonts w:ascii="仿宋" w:hAnsi="仿宋" w:eastAsia="仿宋"/>
          <w:sz w:val="32"/>
          <w:szCs w:val="32"/>
          <w:lang w:val="en-US" w:eastAsia="zh-CN"/>
        </w:rPr>
        <w:t>卫健局</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办公室主任</w:t>
      </w:r>
    </w:p>
    <w:p>
      <w:pPr>
        <w:keepNext w:val="0"/>
        <w:keepLines w:val="0"/>
        <w:pageBreakBefore w:val="0"/>
        <w:widowControl w:val="0"/>
        <w:tabs>
          <w:tab w:val="left" w:pos="2412"/>
        </w:tabs>
        <w:kinsoku/>
        <w:wordWrap/>
        <w:overflowPunct/>
        <w:topLinePunct w:val="0"/>
        <w:autoSpaceDE/>
        <w:autoSpaceDN/>
        <w:bidi w:val="0"/>
        <w:spacing w:line="590" w:lineRule="exact"/>
        <w:ind w:left="0" w:right="0" w:rightChars="0" w:firstLine="640"/>
        <w:textAlignment w:val="auto"/>
        <w:outlineLvl w:val="9"/>
        <w:rPr>
          <w:rFonts w:ascii="仿宋" w:hAnsi="仿宋" w:eastAsia="仿宋"/>
          <w:sz w:val="32"/>
          <w:szCs w:val="32"/>
          <w:lang w:val="en-US" w:eastAsia="zh-CN"/>
        </w:rPr>
      </w:pPr>
      <w:r>
        <w:rPr>
          <w:rFonts w:ascii="仿宋" w:hAnsi="仿宋" w:eastAsia="仿宋"/>
          <w:sz w:val="32"/>
          <w:szCs w:val="32"/>
          <w:lang w:val="en-US" w:eastAsia="zh-CN"/>
        </w:rPr>
        <w:t>冯春芝</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矿区人民医院</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副院长</w:t>
      </w:r>
    </w:p>
    <w:p>
      <w:pPr>
        <w:keepNext w:val="0"/>
        <w:keepLines w:val="0"/>
        <w:pageBreakBefore w:val="0"/>
        <w:widowControl w:val="0"/>
        <w:tabs>
          <w:tab w:val="left" w:pos="2412"/>
        </w:tabs>
        <w:kinsoku/>
        <w:wordWrap/>
        <w:overflowPunct/>
        <w:topLinePunct w:val="0"/>
        <w:autoSpaceDE/>
        <w:autoSpaceDN/>
        <w:bidi w:val="0"/>
        <w:spacing w:line="590" w:lineRule="exact"/>
        <w:ind w:left="0" w:right="0" w:rightChars="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程会堂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贾庄中心卫生院</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院 长</w:t>
      </w:r>
    </w:p>
    <w:p>
      <w:pPr>
        <w:keepNext w:val="0"/>
        <w:keepLines w:val="0"/>
        <w:pageBreakBefore w:val="0"/>
        <w:widowControl w:val="0"/>
        <w:tabs>
          <w:tab w:val="left" w:pos="2412"/>
        </w:tabs>
        <w:kinsoku/>
        <w:wordWrap/>
        <w:overflowPunct/>
        <w:topLinePunct w:val="0"/>
        <w:autoSpaceDE/>
        <w:autoSpaceDN/>
        <w:bidi w:val="0"/>
        <w:spacing w:line="590" w:lineRule="exact"/>
        <w:ind w:left="0" w:right="0" w:rightChars="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赵杏菊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凤山镇卫生院      院 长</w:t>
      </w:r>
    </w:p>
    <w:p>
      <w:pPr>
        <w:keepNext w:val="0"/>
        <w:keepLines w:val="0"/>
        <w:pageBreakBefore w:val="0"/>
        <w:widowControl w:val="0"/>
        <w:tabs>
          <w:tab w:val="left" w:pos="2412"/>
        </w:tabs>
        <w:kinsoku/>
        <w:wordWrap/>
        <w:overflowPunct/>
        <w:topLinePunct w:val="0"/>
        <w:autoSpaceDE/>
        <w:autoSpaceDN/>
        <w:bidi w:val="0"/>
        <w:spacing w:line="590" w:lineRule="exact"/>
        <w:ind w:left="0" w:right="0" w:rightChars="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张  瑜   </w:t>
      </w:r>
      <w:r>
        <w:rPr>
          <w:rFonts w:ascii="仿宋" w:hAnsi="仿宋" w:eastAsia="仿宋"/>
          <w:sz w:val="32"/>
          <w:szCs w:val="32"/>
          <w:lang w:val="en-US" w:eastAsia="zh-CN"/>
        </w:rPr>
        <w:t xml:space="preserve"> </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横涧乡卫生院</w:t>
      </w:r>
      <w:r>
        <w:rPr>
          <w:rFonts w:hint="eastAsia" w:ascii="仿宋" w:hAnsi="仿宋" w:eastAsia="仿宋"/>
          <w:sz w:val="32"/>
          <w:szCs w:val="32"/>
          <w:lang w:val="en-US" w:eastAsia="zh-CN"/>
        </w:rPr>
        <w:t xml:space="preserve">  </w:t>
      </w:r>
      <w:r>
        <w:rPr>
          <w:rFonts w:ascii="仿宋" w:hAnsi="仿宋" w:eastAsia="仿宋"/>
          <w:sz w:val="32"/>
          <w:szCs w:val="32"/>
          <w:lang w:val="en-US" w:eastAsia="zh-CN"/>
        </w:rPr>
        <w:t xml:space="preserve">    业务负责人</w:t>
      </w:r>
    </w:p>
    <w:p>
      <w:pPr>
        <w:keepNext w:val="0"/>
        <w:keepLines w:val="0"/>
        <w:pageBreakBefore w:val="0"/>
        <w:widowControl w:val="0"/>
        <w:tabs>
          <w:tab w:val="left" w:pos="2412"/>
        </w:tabs>
        <w:kinsoku/>
        <w:wordWrap/>
        <w:overflowPunct/>
        <w:topLinePunct w:val="0"/>
        <w:autoSpaceDE/>
        <w:autoSpaceDN/>
        <w:bidi w:val="0"/>
        <w:spacing w:line="590" w:lineRule="exact"/>
        <w:ind w:left="0" w:right="0" w:rightChars="0" w:firstLine="640"/>
        <w:textAlignment w:val="auto"/>
        <w:outlineLvl w:val="9"/>
        <w:rPr>
          <w:rFonts w:ascii="仿宋" w:hAnsi="仿宋" w:eastAsia="仿宋"/>
          <w:sz w:val="32"/>
          <w:szCs w:val="32"/>
          <w:lang w:val="en-US" w:eastAsia="zh-CN"/>
        </w:rPr>
      </w:pPr>
      <w:r>
        <w:rPr>
          <w:rFonts w:ascii="仿宋" w:hAnsi="仿宋" w:eastAsia="仿宋"/>
          <w:sz w:val="32"/>
          <w:szCs w:val="32"/>
          <w:lang w:val="en-US" w:eastAsia="zh-CN"/>
        </w:rPr>
        <w:t>刘瑞霞      妇幼计生中心      财务负责人</w:t>
      </w:r>
    </w:p>
    <w:p>
      <w:pPr>
        <w:keepNext w:val="0"/>
        <w:keepLines w:val="0"/>
        <w:pageBreakBefore w:val="0"/>
        <w:widowControl w:val="0"/>
        <w:tabs>
          <w:tab w:val="left" w:pos="2412"/>
        </w:tabs>
        <w:kinsoku/>
        <w:wordWrap/>
        <w:overflowPunct/>
        <w:topLinePunct w:val="0"/>
        <w:autoSpaceDE/>
        <w:autoSpaceDN/>
        <w:bidi w:val="0"/>
        <w:spacing w:line="590" w:lineRule="exact"/>
        <w:ind w:left="0" w:right="0" w:rightChars="0" w:firstLine="640"/>
        <w:textAlignment w:val="auto"/>
        <w:outlineLvl w:val="9"/>
        <w:rPr>
          <w:rFonts w:ascii="仿宋" w:hAnsi="仿宋" w:eastAsia="仿宋"/>
          <w:sz w:val="32"/>
          <w:szCs w:val="32"/>
          <w:lang w:val="en-US" w:eastAsia="zh-CN"/>
        </w:rPr>
      </w:pPr>
      <w:r>
        <w:rPr>
          <w:rFonts w:ascii="仿宋" w:hAnsi="仿宋" w:eastAsia="仿宋"/>
          <w:sz w:val="32"/>
          <w:szCs w:val="32"/>
          <w:lang w:val="en-US" w:eastAsia="zh-CN"/>
        </w:rPr>
        <w:t>任秀丽      疾控中心          办公室主任</w:t>
      </w:r>
    </w:p>
    <w:p>
      <w:pPr>
        <w:keepNext w:val="0"/>
        <w:keepLines w:val="0"/>
        <w:pageBreakBefore w:val="0"/>
        <w:widowControl w:val="0"/>
        <w:tabs>
          <w:tab w:val="left" w:pos="2412"/>
        </w:tabs>
        <w:kinsoku/>
        <w:wordWrap/>
        <w:overflowPunct/>
        <w:topLinePunct w:val="0"/>
        <w:autoSpaceDE/>
        <w:autoSpaceDN/>
        <w:bidi w:val="0"/>
        <w:spacing w:line="590" w:lineRule="exact"/>
        <w:ind w:right="0" w:rightChars="0" w:firstLine="640" w:firstLineChars="200"/>
        <w:textAlignment w:val="auto"/>
        <w:outlineLvl w:val="9"/>
        <w:rPr>
          <w:rFonts w:ascii="仿宋" w:hAnsi="仿宋" w:eastAsia="仿宋"/>
          <w:sz w:val="32"/>
          <w:szCs w:val="32"/>
          <w:lang w:val="en-US" w:eastAsia="zh-CN"/>
        </w:rPr>
      </w:pPr>
      <w:r>
        <w:rPr>
          <w:rFonts w:hint="eastAsia" w:ascii="仿宋" w:hAnsi="仿宋" w:eastAsia="仿宋"/>
          <w:sz w:val="32"/>
          <w:szCs w:val="32"/>
          <w:lang w:val="en-US" w:eastAsia="zh-CN"/>
        </w:rPr>
        <w:t>张雪辉</w:t>
      </w:r>
      <w:r>
        <w:rPr>
          <w:rFonts w:ascii="仿宋" w:hAnsi="仿宋" w:eastAsia="仿宋"/>
          <w:sz w:val="32"/>
          <w:szCs w:val="32"/>
          <w:lang w:val="en-US" w:eastAsia="zh-CN"/>
        </w:rPr>
        <w:t xml:space="preserve">      社区卫生服务中心  主 任</w:t>
      </w:r>
    </w:p>
    <w:p>
      <w:pPr>
        <w:keepNext w:val="0"/>
        <w:keepLines w:val="0"/>
        <w:pageBreakBefore w:val="0"/>
        <w:widowControl w:val="0"/>
        <w:tabs>
          <w:tab w:val="left" w:pos="2412"/>
        </w:tabs>
        <w:kinsoku/>
        <w:wordWrap/>
        <w:overflowPunct/>
        <w:topLinePunct w:val="0"/>
        <w:autoSpaceDE/>
        <w:autoSpaceDN/>
        <w:bidi w:val="0"/>
        <w:spacing w:line="590" w:lineRule="exact"/>
        <w:ind w:left="3570" w:leftChars="1700" w:right="0" w:rightChars="0" w:firstLine="640"/>
        <w:jc w:val="center"/>
        <w:textAlignment w:val="auto"/>
        <w:outlineLvl w:val="9"/>
        <w:rPr>
          <w:rFonts w:ascii="仿宋" w:hAnsi="仿宋" w:eastAsia="仿宋"/>
          <w:sz w:val="32"/>
          <w:szCs w:val="32"/>
          <w:lang w:val="en-US" w:eastAsia="zh-CN"/>
        </w:rPr>
      </w:pPr>
    </w:p>
    <w:p>
      <w:pPr>
        <w:widowControl w:val="0"/>
        <w:tabs>
          <w:tab w:val="left" w:pos="2412"/>
        </w:tabs>
        <w:wordWrap/>
        <w:spacing w:line="580" w:lineRule="exact"/>
        <w:ind w:left="3570" w:leftChars="1700" w:right="0" w:firstLine="640"/>
        <w:jc w:val="center"/>
        <w:textAlignment w:val="auto"/>
        <w:outlineLvl w:val="9"/>
        <w:rPr>
          <w:rFonts w:ascii="仿宋" w:hAnsi="仿宋" w:eastAsia="仿宋"/>
          <w:sz w:val="32"/>
          <w:szCs w:val="32"/>
          <w:lang w:val="en-US" w:eastAsia="zh-CN"/>
        </w:rPr>
      </w:pPr>
    </w:p>
    <w:p>
      <w:pPr>
        <w:widowControl w:val="0"/>
        <w:tabs>
          <w:tab w:val="left" w:pos="2412"/>
        </w:tabs>
        <w:wordWrap/>
        <w:spacing w:line="580" w:lineRule="exact"/>
        <w:ind w:left="3570" w:leftChars="1700" w:right="0" w:firstLine="640"/>
        <w:jc w:val="center"/>
        <w:textAlignment w:val="auto"/>
        <w:outlineLvl w:val="9"/>
        <w:rPr>
          <w:rFonts w:hint="eastAsia" w:ascii="仿宋" w:hAnsi="仿宋" w:eastAsia="仿宋"/>
          <w:sz w:val="32"/>
          <w:szCs w:val="32"/>
          <w:lang w:val="en-US" w:eastAsia="zh-CN"/>
        </w:rPr>
      </w:pPr>
    </w:p>
    <w:p>
      <w:pPr>
        <w:widowControl w:val="0"/>
        <w:tabs>
          <w:tab w:val="left" w:pos="2412"/>
        </w:tabs>
        <w:wordWrap/>
        <w:spacing w:line="580" w:lineRule="exact"/>
        <w:ind w:left="3780" w:leftChars="1800" w:right="0" w:firstLine="64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石家庄市井陉矿区卫生健康局</w:t>
      </w:r>
    </w:p>
    <w:p>
      <w:pPr>
        <w:widowControl w:val="0"/>
        <w:tabs>
          <w:tab w:val="left" w:pos="2412"/>
        </w:tabs>
        <w:wordWrap/>
        <w:spacing w:line="580" w:lineRule="exact"/>
        <w:ind w:left="3780" w:leftChars="1800" w:right="0" w:firstLine="640"/>
        <w:jc w:val="center"/>
        <w:textAlignment w:val="auto"/>
        <w:outlineLvl w:val="9"/>
        <w:rPr>
          <w:rFonts w:ascii="仿宋" w:hAnsi="仿宋" w:eastAsia="仿宋"/>
        </w:rPr>
      </w:pPr>
      <w:r>
        <w:rPr>
          <w:rFonts w:hint="eastAsia" w:ascii="仿宋" w:hAnsi="仿宋" w:eastAsia="仿宋"/>
          <w:sz w:val="32"/>
          <w:szCs w:val="32"/>
          <w:lang w:val="en-US" w:eastAsia="zh-CN"/>
        </w:rPr>
        <w:t>2025年7月</w:t>
      </w:r>
      <w:r>
        <w:rPr>
          <w:rFonts w:ascii="仿宋" w:hAnsi="仿宋" w:eastAsia="仿宋"/>
          <w:sz w:val="32"/>
          <w:szCs w:val="32"/>
          <w:lang w:val="en-US" w:eastAsia="zh-CN"/>
        </w:rPr>
        <w:t>4</w:t>
      </w:r>
      <w:r>
        <w:rPr>
          <w:rFonts w:hint="eastAsia" w:ascii="仿宋" w:hAnsi="仿宋" w:eastAsia="仿宋"/>
          <w:sz w:val="32"/>
          <w:szCs w:val="32"/>
          <w:lang w:val="en-US" w:eastAsia="zh-CN"/>
        </w:rPr>
        <w:t>日</w:t>
      </w:r>
      <w:bookmarkStart w:id="2" w:name="_GoBack"/>
      <w:bookmarkEnd w:id="2"/>
    </w:p>
    <w:sectPr>
      <w:footerReference r:id="rId3" w:type="default"/>
      <w:pgSz w:w="11906" w:h="16838"/>
      <w:pgMar w:top="1440" w:right="1474" w:bottom="1440" w:left="1587" w:header="851" w:footer="992" w:gutter="0"/>
      <w:pgNumType w:fmt="numberInDash"/>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 w:name="仿宋">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仿宋">
    <w:panose1 w:val="02010609060101010101"/>
    <w:charset w:val="86"/>
    <w:family w:val="roman"/>
    <w:pitch w:val="default"/>
    <w:sig w:usb0="800002BF" w:usb1="38CF7CFA" w:usb2="00000016" w:usb3="00000000" w:csb0="00040001" w:csb1="00000000"/>
  </w:font>
  <w:font w:name="楷体">
    <w:panose1 w:val="02010609060101010101"/>
    <w:charset w:val="86"/>
    <w:family w:val="roma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90805" distR="90805" simplePos="0" relativeHeight="102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102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DxMSTN4AEAAKoDAAAOAAAAZHJzL2Uyb0RvYy54bWytU8tu2zAQvBfo&#10;PxC815KVJo0Ny0FQI0WBok2R9APWFCUR4AtL2pL79V1SshM0t6IXcikuZ2d2R5u70Wh2lBiUszVf&#10;LkrOpBWuUbar+a/nhw+3nIUItgHtrKz5SQZ+t33/bjP4taxc73QjkRGIDevB17yP0a+LIoheGggL&#10;56Wly9ahgUhH7IoGYSB0o4uqLG+KwWHj0QkZAn3dTZd8m/HbVor4o22DjEzXnLjFvGJe92ktthtY&#10;dwi+V2KmAf/AwoCyVPQCtYMI7IDqDZRRAl1wbVwIZwrXtkrIrIHULMu/1Dz14GXWQs0J/tKm8P9g&#10;xffjIzLV0Ow4s2BoRD8P0LB7RDewq/LTVWrR4MOaMp/8I86nQGHSO7Zo0k5K2Jjberq0VY6RCfpY&#10;lauPq4ozQVfLm+q2ym0vXh57DPGLdIaloOZIU8vNhOO3EKkgpZ5TUi3rHpTWeXLasqHmq+vqmuCB&#10;/NNqiBQaT4qC7TLMq/wEs4PQsyOQIYLTqpksYFSUSRuV0pa2pHjSmKI47sdZ+N41J+oYWZ6Y9g5/&#10;czaQfWpuyd+c6a+WppOcdg7wHOzPAVhBD2tORKfwc5wcefCoup5wl5l38PeHSFpzCxKNqfbMjgyR&#10;6c7mTY57fc5ZL7/Y9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1qUiZ0QAAAAMBAAAPAAAAAAAA&#10;AAEAIAAAACIAAABkcnMvZG93bnJldi54bWxQSwECFAAUAAAACACHTuJA8TEkzeABAACqAwAADgAA&#10;AAAAAAABACAAAAAgAQAAZHJzL2Uyb0RvYy54bWxQSwUGAAAAAAYABgBZAQAAcgUAAAAA&#10;">
              <v:fill on="f" focussize="0,0"/>
              <v:stroke on="f" joinstyle="miter"/>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2006853571">
    <w:nsid w:val="779E27C3"/>
    <w:multiLevelType w:val="singleLevel"/>
    <w:tmpl w:val="779E27C3"/>
    <w:lvl w:ilvl="0" w:tentative="1">
      <w:start w:val="3"/>
      <w:numFmt w:val="decimal"/>
      <w:suff w:val="nothing"/>
      <w:lvlText w:val="%1、"/>
      <w:lvlJc w:val="left"/>
      <w:pPr>
        <w:ind w:left="0" w:firstLine="0"/>
      </w:pPr>
    </w:lvl>
  </w:abstractNum>
  <w:abstractNum w:abstractNumId="85371521">
    <w:nsid w:val="0516AA81"/>
    <w:multiLevelType w:val="singleLevel"/>
    <w:tmpl w:val="0516AA81"/>
    <w:lvl w:ilvl="0" w:tentative="1">
      <w:start w:val="2"/>
      <w:numFmt w:val="chineseCounting"/>
      <w:suff w:val="nothing"/>
      <w:lvlText w:val="（%1）"/>
      <w:lvlJc w:val="left"/>
      <w:pPr>
        <w:ind w:left="642" w:firstLine="0"/>
      </w:pPr>
      <w:rPr>
        <w:rFonts w:hint="eastAsia"/>
      </w:rPr>
    </w:lvl>
  </w:abstractNum>
  <w:abstractNum w:abstractNumId="1583892635">
    <w:nsid w:val="5E68489B"/>
    <w:multiLevelType w:val="singleLevel"/>
    <w:tmpl w:val="5E68489B"/>
    <w:lvl w:ilvl="0" w:tentative="1">
      <w:start w:val="1"/>
      <w:numFmt w:val="chineseCounting"/>
      <w:suff w:val="nothing"/>
      <w:lvlText w:val="（%1）"/>
      <w:lvlJc w:val="left"/>
      <w:pPr>
        <w:ind w:left="0" w:firstLine="0"/>
      </w:pPr>
      <w:rPr>
        <w:rFonts w:ascii="楷体" w:hAnsi="楷体" w:eastAsia="楷体"/>
      </w:rPr>
    </w:lvl>
  </w:abstractNum>
  <w:abstractNum w:abstractNumId="2864189379">
    <w:nsid w:val="AAB80FC3"/>
    <w:multiLevelType w:val="singleLevel"/>
    <w:tmpl w:val="AAB80FC3"/>
    <w:lvl w:ilvl="0" w:tentative="1">
      <w:start w:val="1"/>
      <w:numFmt w:val="decimal"/>
      <w:suff w:val="nothing"/>
      <w:lvlText w:val="%1、"/>
      <w:lvlJc w:val="left"/>
      <w:pPr>
        <w:ind w:left="0" w:firstLine="0"/>
      </w:pPr>
    </w:lvl>
  </w:abstractNum>
  <w:abstractNum w:abstractNumId="1753329327">
    <w:nsid w:val="6881AEAF"/>
    <w:multiLevelType w:val="singleLevel"/>
    <w:tmpl w:val="6881AEAF"/>
    <w:lvl w:ilvl="0" w:tentative="1">
      <w:start w:val="4"/>
      <w:numFmt w:val="chineseCounting"/>
      <w:suff w:val="nothing"/>
      <w:lvlText w:val="%1、"/>
      <w:lvlJc w:val="left"/>
    </w:lvl>
  </w:abstractNum>
  <w:abstractNum w:abstractNumId="1753329382">
    <w:nsid w:val="6881AEE6"/>
    <w:multiLevelType w:val="singleLevel"/>
    <w:tmpl w:val="6881AEE6"/>
    <w:lvl w:ilvl="0" w:tentative="1">
      <w:start w:val="2"/>
      <w:numFmt w:val="chineseCounting"/>
      <w:suff w:val="nothing"/>
      <w:lvlText w:val="（%1）"/>
      <w:lvlJc w:val="left"/>
    </w:lvl>
  </w:abstractNum>
  <w:num w:numId="1">
    <w:abstractNumId w:val="2006853571"/>
  </w:num>
  <w:num w:numId="2">
    <w:abstractNumId w:val="85371521"/>
  </w:num>
  <w:num w:numId="3">
    <w:abstractNumId w:val="1583892635"/>
  </w:num>
  <w:num w:numId="4">
    <w:abstractNumId w:val="2864189379"/>
  </w:num>
  <w:num w:numId="5">
    <w:abstractNumId w:val="1753329327"/>
  </w:num>
  <w:num w:numId="6">
    <w:abstractNumId w:val="175332938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ExpandShiftReturn/>
    <w:adjustLineHeightInTable/>
    <w:doNotWrapTextWithPunct/>
    <w:doNotUseEastAsianBreakRules/>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0EBA5443"/>
    <w:rsid w:val="12FD7CAE"/>
    <w:rsid w:val="14D07EA4"/>
    <w:rsid w:val="18BF138A"/>
    <w:rsid w:val="18E43A1A"/>
    <w:rsid w:val="18E4605D"/>
    <w:rsid w:val="1AF930CE"/>
    <w:rsid w:val="1D2C36AD"/>
    <w:rsid w:val="305F7513"/>
    <w:rsid w:val="314C161B"/>
    <w:rsid w:val="33CF4F1D"/>
    <w:rsid w:val="343121E0"/>
    <w:rsid w:val="39681A2C"/>
    <w:rsid w:val="3CDF42A5"/>
    <w:rsid w:val="3FBC3029"/>
    <w:rsid w:val="410224F7"/>
    <w:rsid w:val="439B308A"/>
    <w:rsid w:val="453F2DC6"/>
    <w:rsid w:val="47A87E64"/>
    <w:rsid w:val="4BF1230C"/>
    <w:rsid w:val="4CC05E0E"/>
    <w:rsid w:val="4E467ABB"/>
    <w:rsid w:val="53AD19E9"/>
    <w:rsid w:val="55B031B3"/>
    <w:rsid w:val="57546445"/>
    <w:rsid w:val="5A44515E"/>
    <w:rsid w:val="5D2C34E1"/>
    <w:rsid w:val="5F341CF7"/>
    <w:rsid w:val="6BF835F0"/>
    <w:rsid w:val="6DA01F7B"/>
    <w:rsid w:val="72663F2E"/>
    <w:rsid w:val="74AB5F82"/>
    <w:rsid w:val="7A52707B"/>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widowControl w:val="0"/>
      <w:spacing w:before="260" w:after="260" w:line="415" w:lineRule="auto"/>
      <w:outlineLvl w:val="2"/>
    </w:pPr>
    <w:rPr>
      <w:b/>
      <w:bCs/>
      <w:sz w:val="32"/>
      <w:szCs w:val="32"/>
    </w:rPr>
  </w:style>
  <w:style w:type="character" w:default="1" w:styleId="7">
    <w:name w:val="Default Paragraph Font"/>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2</Pages>
  <Words>0</Words>
  <Characters>502</Characters>
  <Lines>0</Lines>
  <Paragraphs>29</Paragraphs>
  <ScaleCrop>false</ScaleCrop>
  <LinksUpToDate>false</LinksUpToDate>
  <CharactersWithSpaces>670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2025-08-06T00:50:20Z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96934721B1514D3FBAA28020338CE855_12</vt:lpwstr>
  </property>
</Properties>
</file>