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3944A6">
      <w:pPr>
        <w:adjustRightInd w:val="0"/>
        <w:snapToGrid w:val="0"/>
        <w:spacing w:line="560" w:lineRule="exact"/>
        <w:rPr>
          <w:rFonts w:hint="eastAsia" w:ascii="黑体" w:hAnsi="黑体" w:eastAsia="黑体" w:cs="黑体"/>
          <w:sz w:val="32"/>
          <w:szCs w:val="32"/>
        </w:rPr>
      </w:pPr>
      <w:bookmarkStart w:id="0" w:name="_GoBack"/>
      <w:bookmarkEnd w:id="0"/>
      <w:r>
        <w:rPr>
          <w:rFonts w:hint="eastAsia" w:ascii="黑体" w:hAnsi="黑体" w:eastAsia="黑体" w:cs="黑体"/>
          <w:sz w:val="32"/>
          <w:szCs w:val="32"/>
        </w:rPr>
        <w:t>附件4</w:t>
      </w:r>
    </w:p>
    <w:p w14:paraId="40787EFD">
      <w:pPr>
        <w:spacing w:line="560" w:lineRule="exact"/>
        <w:jc w:val="center"/>
        <w:rPr>
          <w:rFonts w:ascii="宋体" w:hAnsi="宋体" w:cs="宋体"/>
          <w:b/>
          <w:bCs/>
          <w:sz w:val="44"/>
          <w:szCs w:val="44"/>
        </w:rPr>
      </w:pPr>
    </w:p>
    <w:p w14:paraId="2A2F0C71">
      <w:pPr>
        <w:spacing w:line="560" w:lineRule="exact"/>
        <w:jc w:val="center"/>
        <w:rPr>
          <w:rFonts w:hint="eastAsia" w:ascii="宋体" w:hAnsi="宋体" w:cs="宋体"/>
          <w:b/>
          <w:bCs/>
          <w:sz w:val="44"/>
          <w:szCs w:val="44"/>
        </w:rPr>
      </w:pPr>
      <w:r>
        <w:rPr>
          <w:rFonts w:ascii="宋体" w:hAnsi="宋体" w:cs="宋体"/>
          <w:b/>
          <w:bCs/>
          <w:sz w:val="44"/>
          <w:szCs w:val="44"/>
        </w:rPr>
        <w:t>中共井陉矿区委办公室</w:t>
      </w:r>
    </w:p>
    <w:p w14:paraId="1F305FF0">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6F1C338E">
      <w:pPr>
        <w:spacing w:line="560" w:lineRule="exact"/>
        <w:jc w:val="center"/>
        <w:rPr>
          <w:rFonts w:ascii="华文楷体" w:eastAsia="华文楷体"/>
          <w:sz w:val="32"/>
          <w:szCs w:val="32"/>
        </w:rPr>
      </w:pPr>
    </w:p>
    <w:p w14:paraId="020A143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ascii="仿宋" w:hAnsi="仿宋" w:eastAsia="仿宋"/>
          <w:sz w:val="32"/>
          <w:szCs w:val="32"/>
        </w:rPr>
        <w:t>区委办</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62C4ACA0">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A24785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68D003E">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14:paraId="6696E978">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（一）负责推动党中央和省、市、区委决策部署的落实，按照区委要求协调有关方面开展工作。</w:t>
      </w:r>
    </w:p>
    <w:p w14:paraId="606331AF">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（二）负责区委和区委办公室文件等工作。</w:t>
      </w:r>
    </w:p>
    <w:p w14:paraId="37D65BB3">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（三）围绕党中央和省、市、区委总体工作部署开展调查研究，收集和处理信息、反映动态，提出意见建议。</w:t>
      </w:r>
    </w:p>
    <w:p w14:paraId="74D76C35">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（四）负责重要会议的会务工作；负责重大活动和日常工作活动的组织安排。</w:t>
      </w:r>
    </w:p>
    <w:p w14:paraId="1962F1DC">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（五）负责区委日常文件处理；负责区委文件和区委办公室代区委行文的审核工作；负责区委制定规范性文件的工作。</w:t>
      </w:r>
    </w:p>
    <w:p w14:paraId="56A09ED7">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（六）承担区委全面深化改革委员会的日常工作，负责提交区委全面深化改革委员会会议研究的议题及相关会议的组织服务工作。。</w:t>
      </w:r>
    </w:p>
    <w:p w14:paraId="32630471">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（七）负责组织指导、督促检查全区地方志工作。</w:t>
      </w:r>
    </w:p>
    <w:p w14:paraId="7D8AB021">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（八）完成区委交办的其他任务。</w:t>
      </w:r>
    </w:p>
    <w:p w14:paraId="1D5EA321">
      <w:pPr>
        <w:adjustRightInd w:val="0"/>
        <w:snapToGrid w:val="0"/>
        <w:spacing w:line="560" w:lineRule="exact"/>
        <w:ind w:firstLine="640" w:firstLineChars="200"/>
        <w:rPr>
          <w:rFonts w:ascii="仿宋" w:hAnsi="仿宋" w:eastAsia="仿宋"/>
          <w:sz w:val="32"/>
          <w:szCs w:val="32"/>
        </w:rPr>
      </w:pPr>
    </w:p>
    <w:p w14:paraId="38A563E8">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2．机构情况。</w:t>
      </w:r>
    </w:p>
    <w:p w14:paraId="7CDFCAAB">
      <w:pPr>
        <w:jc w:val="center"/>
      </w:pPr>
      <w:r>
        <w:rPr>
          <w:rFonts w:ascii="方正小标宋_GBK" w:hAnsi="方正小标宋_GBK" w:eastAsia="方正小标宋_GBK" w:cs="方正小标宋_GBK"/>
          <w:color w:val="000000"/>
          <w:sz w:val="32"/>
        </w:rPr>
        <w:t>部门机构设置情况</w:t>
      </w:r>
    </w:p>
    <w:tbl>
      <w:tblPr>
        <w:tblStyle w:val="13"/>
        <w:tblW w:w="90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8"/>
        <w:gridCol w:w="2268"/>
        <w:gridCol w:w="2268"/>
        <w:gridCol w:w="2268"/>
      </w:tblGrid>
      <w:tr w14:paraId="5CE6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68" w:type="dxa"/>
            <w:vAlign w:val="center"/>
          </w:tcPr>
          <w:p w14:paraId="1A7C3874">
            <w:pPr>
              <w:pStyle w:val="15"/>
            </w:pPr>
            <w:r>
              <w:t>单位名称</w:t>
            </w:r>
          </w:p>
        </w:tc>
        <w:tc>
          <w:tcPr>
            <w:tcW w:w="2268" w:type="dxa"/>
            <w:vAlign w:val="center"/>
          </w:tcPr>
          <w:p w14:paraId="0AA196D6">
            <w:pPr>
              <w:pStyle w:val="15"/>
            </w:pPr>
            <w:r>
              <w:t>单位性质</w:t>
            </w:r>
          </w:p>
        </w:tc>
        <w:tc>
          <w:tcPr>
            <w:tcW w:w="2268" w:type="dxa"/>
            <w:vAlign w:val="center"/>
          </w:tcPr>
          <w:p w14:paraId="01DAF5FF">
            <w:pPr>
              <w:pStyle w:val="15"/>
            </w:pPr>
            <w:r>
              <w:t>单位规格</w:t>
            </w:r>
          </w:p>
        </w:tc>
        <w:tc>
          <w:tcPr>
            <w:tcW w:w="2268" w:type="dxa"/>
            <w:vAlign w:val="center"/>
          </w:tcPr>
          <w:p w14:paraId="64F29FE7">
            <w:pPr>
              <w:pStyle w:val="15"/>
            </w:pPr>
            <w:r>
              <w:t>经费保障形式</w:t>
            </w:r>
          </w:p>
        </w:tc>
      </w:tr>
      <w:tr w14:paraId="191B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68" w:type="dxa"/>
            <w:tcBorders>
              <w:top w:val="single" w:color="000000" w:sz="6" w:space="0"/>
              <w:left w:val="single" w:color="000000" w:sz="6" w:space="0"/>
              <w:right w:val="single" w:color="000000" w:sz="6" w:space="0"/>
            </w:tcBorders>
            <w:vAlign w:val="center"/>
          </w:tcPr>
          <w:p w14:paraId="76B40F0E">
            <w:pPr>
              <w:pStyle w:val="16"/>
            </w:pPr>
            <w:r>
              <w:t>矿区委办公室本级</w:t>
            </w:r>
          </w:p>
        </w:tc>
        <w:tc>
          <w:tcPr>
            <w:tcW w:w="2268" w:type="dxa"/>
            <w:tcBorders>
              <w:top w:val="single" w:color="000000" w:sz="6" w:space="0"/>
              <w:left w:val="single" w:color="000000" w:sz="6" w:space="0"/>
              <w:right w:val="single" w:color="000000" w:sz="6" w:space="0"/>
            </w:tcBorders>
            <w:vAlign w:val="center"/>
          </w:tcPr>
          <w:p w14:paraId="512EFDEE">
            <w:pPr>
              <w:pStyle w:val="17"/>
            </w:pPr>
            <w:r>
              <w:t>行政</w:t>
            </w:r>
          </w:p>
        </w:tc>
        <w:tc>
          <w:tcPr>
            <w:tcW w:w="2268" w:type="dxa"/>
            <w:tcBorders>
              <w:top w:val="single" w:color="000000" w:sz="6" w:space="0"/>
              <w:left w:val="single" w:color="000000" w:sz="6" w:space="0"/>
              <w:right w:val="single" w:color="000000" w:sz="6" w:space="0"/>
            </w:tcBorders>
            <w:vAlign w:val="center"/>
          </w:tcPr>
          <w:p w14:paraId="70C335D9">
            <w:pPr>
              <w:pStyle w:val="17"/>
              <w:rPr>
                <w:rFonts w:hint="eastAsia" w:eastAsia="方正书宋_GBK"/>
                <w:lang w:val="en-US" w:eastAsia="zh-CN"/>
              </w:rPr>
            </w:pPr>
            <w:r>
              <w:rPr>
                <w:rFonts w:hint="eastAsia"/>
                <w:lang w:val="en-US" w:eastAsia="zh-CN"/>
              </w:rPr>
              <w:t>正科级</w:t>
            </w:r>
          </w:p>
        </w:tc>
        <w:tc>
          <w:tcPr>
            <w:tcW w:w="2268" w:type="dxa"/>
            <w:tcBorders>
              <w:top w:val="single" w:color="000000" w:sz="6" w:space="0"/>
              <w:left w:val="single" w:color="000000" w:sz="6" w:space="0"/>
              <w:right w:val="single" w:color="000000" w:sz="6" w:space="0"/>
            </w:tcBorders>
            <w:vAlign w:val="center"/>
          </w:tcPr>
          <w:p w14:paraId="72DBC630">
            <w:pPr>
              <w:pStyle w:val="17"/>
            </w:pPr>
            <w:r>
              <w:t>财政拨款</w:t>
            </w:r>
          </w:p>
        </w:tc>
      </w:tr>
    </w:tbl>
    <w:p w14:paraId="364E7B90">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3．人员情况，包括当年变动情况及原因。</w:t>
      </w:r>
    </w:p>
    <w:p w14:paraId="49A997B1">
      <w:pPr>
        <w:snapToGrid w:val="0"/>
        <w:spacing w:line="520" w:lineRule="exact"/>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区委办截止202</w:t>
      </w:r>
      <w:r>
        <w:rPr>
          <w:rFonts w:ascii="仿宋" w:hAnsi="仿宋" w:eastAsia="仿宋" w:cs="楷体_GB2312"/>
          <w:b w:val="0"/>
          <w:bCs w:val="0"/>
          <w:sz w:val="32"/>
          <w:szCs w:val="32"/>
          <w:lang w:val="en-US" w:eastAsia="zh-CN"/>
        </w:rPr>
        <w:t>4</w:t>
      </w:r>
      <w:r>
        <w:rPr>
          <w:rFonts w:hint="eastAsia" w:ascii="仿宋" w:hAnsi="仿宋" w:eastAsia="仿宋" w:cs="楷体_GB2312"/>
          <w:b w:val="0"/>
          <w:bCs w:val="0"/>
          <w:sz w:val="32"/>
          <w:szCs w:val="32"/>
          <w:lang w:val="en-US" w:eastAsia="zh-CN"/>
        </w:rPr>
        <w:t>年12月31日，在职</w:t>
      </w:r>
      <w:r>
        <w:rPr>
          <w:rFonts w:ascii="仿宋" w:hAnsi="仿宋" w:eastAsia="仿宋" w:cs="楷体_GB2312"/>
          <w:b w:val="0"/>
          <w:bCs w:val="0"/>
          <w:sz w:val="32"/>
          <w:szCs w:val="32"/>
          <w:lang w:val="en-US" w:eastAsia="zh-CN"/>
        </w:rPr>
        <w:t>23</w:t>
      </w:r>
      <w:r>
        <w:rPr>
          <w:rFonts w:hint="eastAsia" w:ascii="仿宋" w:hAnsi="仿宋" w:eastAsia="仿宋" w:cs="楷体_GB2312"/>
          <w:b w:val="0"/>
          <w:bCs w:val="0"/>
          <w:sz w:val="32"/>
          <w:szCs w:val="32"/>
          <w:lang w:val="en-US" w:eastAsia="zh-CN"/>
        </w:rPr>
        <w:t>人。</w:t>
      </w:r>
    </w:p>
    <w:p w14:paraId="259C45DC">
      <w:pPr>
        <w:snapToGrid w:val="0"/>
        <w:spacing w:line="520" w:lineRule="exact"/>
        <w:ind w:firstLine="640" w:firstLineChars="200"/>
        <w:rPr>
          <w:rFonts w:ascii="仿宋_GB2312" w:hAnsi="仿宋" w:eastAsia="仿宋_GB2312"/>
          <w:sz w:val="32"/>
          <w:szCs w:val="32"/>
        </w:rPr>
      </w:pPr>
      <w:r>
        <w:rPr>
          <w:rFonts w:hint="eastAsia" w:ascii="仿宋" w:hAnsi="仿宋" w:eastAsia="仿宋" w:cs="楷体_GB2312"/>
          <w:b w:val="0"/>
          <w:bCs w:val="0"/>
          <w:sz w:val="32"/>
          <w:szCs w:val="32"/>
          <w:lang w:val="en-US" w:eastAsia="zh-CN"/>
        </w:rPr>
        <w:t>4、资产情况</w:t>
      </w:r>
      <w:r>
        <w:rPr>
          <w:rFonts w:hint="eastAsia" w:ascii="仿宋_GB2312" w:hAnsi="仿宋" w:eastAsia="仿宋_GB2312"/>
          <w:sz w:val="32"/>
          <w:szCs w:val="32"/>
        </w:rPr>
        <w:t>，包括当年变动情况及原因。</w:t>
      </w:r>
    </w:p>
    <w:p w14:paraId="7C2ECB9B">
      <w:pPr>
        <w:snapToGrid w:val="0"/>
        <w:spacing w:line="520" w:lineRule="exact"/>
        <w:ind w:firstLine="640" w:firstLineChars="200"/>
        <w:rPr>
          <w:rFonts w:ascii="仿宋_GB2312" w:hAnsi="仿宋" w:eastAsia="仿宋_GB2312"/>
          <w:sz w:val="32"/>
          <w:szCs w:val="32"/>
          <w:lang w:val="en-US" w:eastAsia="zh-CN"/>
        </w:rPr>
      </w:pPr>
      <w:r>
        <w:rPr>
          <w:rFonts w:hint="eastAsia" w:ascii="仿宋" w:hAnsi="仿宋" w:eastAsia="仿宋" w:cs="仿宋"/>
          <w:sz w:val="32"/>
          <w:szCs w:val="32"/>
        </w:rPr>
        <w:t>202</w:t>
      </w:r>
      <w:r>
        <w:rPr>
          <w:rFonts w:ascii="仿宋" w:hAnsi="仿宋" w:eastAsia="仿宋" w:cs="仿宋"/>
          <w:sz w:val="32"/>
          <w:szCs w:val="32"/>
          <w:lang w:val="en-US" w:eastAsia="zh-CN"/>
        </w:rPr>
        <w:t>4</w:t>
      </w:r>
      <w:r>
        <w:rPr>
          <w:rFonts w:hint="eastAsia" w:ascii="仿宋" w:hAnsi="仿宋" w:eastAsia="仿宋" w:cs="仿宋"/>
          <w:sz w:val="32"/>
          <w:szCs w:val="32"/>
        </w:rPr>
        <w:t>年年初资产</w:t>
      </w:r>
      <w:r>
        <w:rPr>
          <w:rFonts w:ascii="仿宋" w:hAnsi="仿宋" w:eastAsia="仿宋" w:cs="仿宋"/>
          <w:sz w:val="32"/>
          <w:szCs w:val="32"/>
          <w:lang w:val="en-US" w:eastAsia="zh-CN"/>
        </w:rPr>
        <w:t>411.24</w:t>
      </w:r>
      <w:r>
        <w:rPr>
          <w:rFonts w:hint="eastAsia" w:ascii="仿宋" w:hAnsi="仿宋" w:eastAsia="仿宋" w:cs="仿宋"/>
          <w:sz w:val="32"/>
          <w:szCs w:val="32"/>
        </w:rPr>
        <w:t>万元，年末</w:t>
      </w:r>
      <w:r>
        <w:rPr>
          <w:rFonts w:ascii="仿宋" w:hAnsi="仿宋" w:eastAsia="仿宋" w:cs="仿宋"/>
          <w:sz w:val="32"/>
          <w:szCs w:val="32"/>
          <w:lang w:val="en-US" w:eastAsia="zh-CN"/>
        </w:rPr>
        <w:t>391.84</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ascii="仿宋_GB2312" w:hAnsi="仿宋" w:eastAsia="仿宋_GB2312"/>
          <w:sz w:val="32"/>
          <w:szCs w:val="32"/>
        </w:rPr>
        <w:t>减少了19.4</w:t>
      </w:r>
      <w:r>
        <w:rPr>
          <w:rFonts w:hint="eastAsia" w:ascii="仿宋_GB2312" w:hAnsi="仿宋" w:eastAsia="仿宋_GB2312"/>
          <w:sz w:val="32"/>
          <w:szCs w:val="32"/>
        </w:rPr>
        <w:t>万元，主要原因是</w:t>
      </w:r>
      <w:r>
        <w:rPr>
          <w:rFonts w:ascii="仿宋_GB2312" w:hAnsi="仿宋" w:eastAsia="仿宋_GB2312"/>
          <w:sz w:val="32"/>
          <w:szCs w:val="32"/>
        </w:rPr>
        <w:t>调拨公车一辆至统战部</w:t>
      </w:r>
      <w:r>
        <w:rPr>
          <w:rFonts w:hint="eastAsia" w:ascii="仿宋_GB2312" w:hAnsi="仿宋" w:eastAsia="仿宋_GB2312"/>
          <w:sz w:val="32"/>
          <w:szCs w:val="32"/>
          <w:lang w:val="en-US" w:eastAsia="zh-CN"/>
        </w:rPr>
        <w:t>。</w:t>
      </w:r>
    </w:p>
    <w:p w14:paraId="2F7E19B5">
      <w:pPr>
        <w:widowControl w:val="0"/>
        <w:numPr>
          <w:ilvl w:val="0"/>
          <w:numId w:val="1"/>
        </w:numPr>
        <w:wordWrap/>
        <w:adjustRightInd w:val="0"/>
        <w:snapToGrid w:val="0"/>
        <w:spacing w:line="560" w:lineRule="exact"/>
        <w:ind w:left="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14:paraId="11AD1F09">
      <w:pPr>
        <w:widowControl w:val="0"/>
        <w:wordWrap/>
        <w:adjustRightInd w:val="0"/>
        <w:snapToGrid w:val="0"/>
        <w:spacing w:line="560" w:lineRule="exact"/>
        <w:ind w:right="0" w:firstLine="640" w:firstLineChars="200"/>
        <w:textAlignment w:val="auto"/>
        <w:outlineLvl w:val="9"/>
        <w:rPr>
          <w:rFonts w:ascii="仿宋" w:hAnsi="仿宋" w:eastAsia="仿宋" w:cs="楷体_GB2312"/>
          <w:b/>
          <w:bCs/>
          <w:sz w:val="32"/>
          <w:szCs w:val="32"/>
          <w:lang w:val="en-US" w:eastAsia="zh-CN"/>
        </w:rPr>
      </w:pPr>
      <w:r>
        <w:rPr>
          <w:rFonts w:hint="eastAsia" w:ascii="仿宋_GB2312" w:hAnsi="仿宋" w:eastAsia="仿宋_GB2312" w:cs="Times New Roman"/>
          <w:kern w:val="2"/>
          <w:sz w:val="32"/>
          <w:szCs w:val="32"/>
        </w:rPr>
        <w:t>本年年初预算收入、支出均为</w:t>
      </w:r>
      <w:r>
        <w:rPr>
          <w:rFonts w:ascii="仿宋_GB2312" w:hAnsi="仿宋" w:eastAsia="仿宋_GB2312" w:cs="Times New Roman"/>
          <w:kern w:val="2"/>
          <w:sz w:val="32"/>
          <w:szCs w:val="32"/>
          <w:lang w:val="en-US" w:eastAsia="zh-CN"/>
        </w:rPr>
        <w:t>793.02</w:t>
      </w:r>
      <w:r>
        <w:rPr>
          <w:rFonts w:hint="eastAsia" w:ascii="仿宋_GB2312" w:hAnsi="仿宋" w:eastAsia="仿宋_GB2312" w:cs="Times New Roman"/>
          <w:kern w:val="2"/>
          <w:sz w:val="32"/>
          <w:szCs w:val="32"/>
          <w:lang w:val="en-US" w:eastAsia="zh-CN"/>
        </w:rPr>
        <w:t>万</w:t>
      </w:r>
      <w:r>
        <w:rPr>
          <w:rFonts w:hint="eastAsia" w:ascii="仿宋_GB2312" w:hAnsi="仿宋" w:eastAsia="仿宋_GB2312" w:cs="Times New Roman"/>
          <w:kern w:val="2"/>
          <w:sz w:val="32"/>
          <w:szCs w:val="32"/>
        </w:rPr>
        <w:t>元，其中包括：人员经费</w:t>
      </w:r>
      <w:r>
        <w:rPr>
          <w:rFonts w:ascii="仿宋_GB2312" w:hAnsi="仿宋" w:eastAsia="仿宋_GB2312" w:cs="Times New Roman"/>
          <w:kern w:val="2"/>
          <w:sz w:val="32"/>
          <w:szCs w:val="32"/>
          <w:lang w:val="en-US" w:eastAsia="zh-CN"/>
        </w:rPr>
        <w:t>381.8</w:t>
      </w:r>
      <w:r>
        <w:rPr>
          <w:rFonts w:hint="eastAsia" w:ascii="仿宋_GB2312" w:hAnsi="仿宋" w:eastAsia="仿宋_GB2312" w:cs="Times New Roman"/>
          <w:kern w:val="2"/>
          <w:sz w:val="32"/>
          <w:szCs w:val="32"/>
        </w:rPr>
        <w:t>万元，日常公用经费</w:t>
      </w:r>
      <w:r>
        <w:rPr>
          <w:rFonts w:ascii="仿宋_GB2312" w:hAnsi="仿宋" w:eastAsia="仿宋_GB2312" w:cs="Times New Roman"/>
          <w:kern w:val="2"/>
          <w:sz w:val="32"/>
          <w:szCs w:val="32"/>
          <w:lang w:val="en-US" w:eastAsia="zh-CN"/>
        </w:rPr>
        <w:t>29.38</w:t>
      </w:r>
      <w:r>
        <w:rPr>
          <w:rFonts w:hint="eastAsia" w:ascii="仿宋_GB2312" w:hAnsi="仿宋" w:eastAsia="仿宋_GB2312" w:cs="Times New Roman"/>
          <w:kern w:val="2"/>
          <w:sz w:val="32"/>
          <w:szCs w:val="32"/>
        </w:rPr>
        <w:t>万元，项目支出</w:t>
      </w:r>
      <w:r>
        <w:rPr>
          <w:rFonts w:ascii="仿宋_GB2312" w:hAnsi="仿宋" w:eastAsia="仿宋_GB2312" w:cs="Times New Roman"/>
          <w:kern w:val="2"/>
          <w:sz w:val="32"/>
          <w:szCs w:val="32"/>
          <w:lang w:val="en-US" w:eastAsia="zh-CN"/>
        </w:rPr>
        <w:t>307</w:t>
      </w:r>
      <w:r>
        <w:rPr>
          <w:rFonts w:hint="eastAsia" w:ascii="仿宋_GB2312" w:hAnsi="仿宋" w:eastAsia="仿宋_GB2312" w:cs="Times New Roman"/>
          <w:kern w:val="2"/>
          <w:sz w:val="32"/>
          <w:szCs w:val="32"/>
        </w:rPr>
        <w:t>万元。与上年对比</w:t>
      </w:r>
      <w:r>
        <w:rPr>
          <w:rFonts w:hint="eastAsia" w:ascii="仿宋_GB2312" w:hAnsi="仿宋" w:eastAsia="仿宋_GB2312" w:cs="Times New Roman"/>
          <w:kern w:val="2"/>
          <w:sz w:val="32"/>
          <w:szCs w:val="32"/>
          <w:lang w:eastAsia="zh-CN"/>
        </w:rPr>
        <w:t>增加</w:t>
      </w:r>
      <w:r>
        <w:rPr>
          <w:rFonts w:ascii="仿宋_GB2312" w:hAnsi="仿宋" w:eastAsia="仿宋_GB2312" w:cs="Times New Roman"/>
          <w:kern w:val="2"/>
          <w:sz w:val="32"/>
          <w:szCs w:val="32"/>
          <w:lang w:val="en-US" w:eastAsia="zh-CN"/>
        </w:rPr>
        <w:t>36.93</w:t>
      </w:r>
      <w:r>
        <w:rPr>
          <w:rFonts w:hint="eastAsia" w:ascii="仿宋_GB2312" w:hAnsi="仿宋" w:eastAsia="仿宋_GB2312" w:cs="Times New Roman"/>
          <w:kern w:val="2"/>
          <w:sz w:val="32"/>
          <w:szCs w:val="32"/>
        </w:rPr>
        <w:t>万元，</w:t>
      </w:r>
      <w:r>
        <w:rPr>
          <w:rFonts w:ascii="仿宋_GB2312" w:hAnsi="仿宋" w:eastAsia="仿宋_GB2312" w:cs="Times New Roman"/>
          <w:kern w:val="2"/>
          <w:sz w:val="32"/>
          <w:szCs w:val="32"/>
          <w:lang w:eastAsia="zh-CN"/>
        </w:rPr>
        <w:t>人员增加</w:t>
      </w:r>
      <w:r>
        <w:rPr>
          <w:rFonts w:hint="eastAsia" w:ascii="仿宋_GB2312" w:hAnsi="仿宋" w:eastAsia="仿宋_GB2312" w:cs="Times New Roman"/>
          <w:kern w:val="2"/>
          <w:sz w:val="32"/>
          <w:szCs w:val="32"/>
          <w:lang w:eastAsia="zh-CN"/>
        </w:rPr>
        <w:t>。</w:t>
      </w:r>
    </w:p>
    <w:p w14:paraId="5B3CA691">
      <w:pPr>
        <w:widowControl w:val="0"/>
        <w:numPr>
          <w:ilvl w:val="0"/>
          <w:numId w:val="1"/>
        </w:numPr>
        <w:wordWrap/>
        <w:adjustRightInd w:val="0"/>
        <w:snapToGrid w:val="0"/>
        <w:spacing w:line="560" w:lineRule="exact"/>
        <w:ind w:left="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部门整体支出绩效目标、指标</w:t>
      </w:r>
    </w:p>
    <w:p w14:paraId="72CA4365">
      <w:pPr>
        <w:pStyle w:val="18"/>
        <w:rPr>
          <w:rFonts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w:t>
      </w:r>
      <w:r>
        <w:rPr>
          <w:rFonts w:ascii="仿宋" w:hAnsi="仿宋" w:eastAsia="仿宋" w:cs="黑体"/>
          <w:kern w:val="2"/>
          <w:sz w:val="32"/>
          <w:szCs w:val="32"/>
          <w:lang w:val="en-US" w:eastAsia="zh-CN" w:bidi="ar-SA"/>
        </w:rPr>
        <w:t>4</w:t>
      </w:r>
      <w:r>
        <w:rPr>
          <w:rFonts w:hint="eastAsia" w:ascii="仿宋" w:hAnsi="仿宋" w:eastAsia="仿宋" w:cs="黑体"/>
          <w:kern w:val="2"/>
          <w:sz w:val="32"/>
          <w:szCs w:val="32"/>
          <w:lang w:val="en-US" w:eastAsia="zh-CN" w:bidi="ar-SA"/>
        </w:rPr>
        <w:t>年，区委办在区委的正确领导下，深入贯彻落实党的二十大和习近平总书记系列重要讲话精神，紧紧围绕全区中心重点工作和区委全会确定的目标任务，求真务实、开拓创新，着力提高“三服务”水平，砥砺前行、接续奋斗，推动办公室工作高质量发展。</w:t>
      </w:r>
    </w:p>
    <w:p w14:paraId="590EFCFC">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w:t>
      </w:r>
      <w:r>
        <w:rPr>
          <w:rFonts w:ascii="仿宋" w:hAnsi="仿宋" w:eastAsia="仿宋" w:cs="黑体"/>
          <w:kern w:val="2"/>
          <w:sz w:val="32"/>
          <w:szCs w:val="32"/>
          <w:lang w:val="en-US" w:eastAsia="zh-CN" w:bidi="ar-SA"/>
        </w:rPr>
        <w:t>一</w:t>
      </w:r>
      <w:r>
        <w:rPr>
          <w:rFonts w:hint="eastAsia" w:ascii="仿宋" w:hAnsi="仿宋" w:eastAsia="仿宋" w:cs="黑体"/>
          <w:kern w:val="2"/>
          <w:sz w:val="32"/>
          <w:szCs w:val="32"/>
          <w:lang w:val="en-US" w:eastAsia="zh-CN" w:bidi="ar-SA"/>
        </w:rPr>
        <w:t>）专项业务费</w:t>
      </w:r>
    </w:p>
    <w:p w14:paraId="27BB2DE9">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绩效目标：负责15楼视频会议室维护、租赁费用；全区党委办公室数字电视费用；区委办公室全年党报党刊征订费用等其他办公室日常维修、运转的费用。</w:t>
      </w:r>
    </w:p>
    <w:p w14:paraId="018BA69A">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绩效指标：党委办公室数字电视正常运转；15楼视频会议室每周使用不少于4次；党报党刊征订</w:t>
      </w:r>
      <w:r>
        <w:rPr>
          <w:rFonts w:ascii="仿宋" w:hAnsi="仿宋" w:eastAsia="仿宋" w:cs="黑体"/>
          <w:kern w:val="2"/>
          <w:sz w:val="32"/>
          <w:szCs w:val="32"/>
          <w:lang w:val="en-US" w:eastAsia="zh-CN" w:bidi="ar-SA"/>
        </w:rPr>
        <w:t>每</w:t>
      </w:r>
      <w:r>
        <w:rPr>
          <w:rFonts w:hint="eastAsia" w:ascii="仿宋" w:hAnsi="仿宋" w:eastAsia="仿宋" w:cs="黑体"/>
          <w:kern w:val="2"/>
          <w:sz w:val="32"/>
          <w:szCs w:val="32"/>
          <w:lang w:val="en-US" w:eastAsia="zh-CN" w:bidi="ar-SA"/>
        </w:rPr>
        <w:t>科室不少于2份。</w:t>
      </w:r>
    </w:p>
    <w:p w14:paraId="67AAC326">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（二）劳务派遣经费</w:t>
      </w:r>
    </w:p>
    <w:p w14:paraId="6D5A1E9C">
      <w:pPr>
        <w:pStyle w:val="1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绩效目标：劳务派遣人员圆满完成相关工作。</w:t>
      </w:r>
    </w:p>
    <w:p w14:paraId="69E3C15D">
      <w:pPr>
        <w:pStyle w:val="19"/>
        <w:rPr>
          <w:rFonts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绩效指标：劳务派遣工作人员保证全年出勤率不低于90%,年度个人考核不低于称职。</w:t>
      </w:r>
    </w:p>
    <w:p w14:paraId="1FFEDF0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088F5B2">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14:paraId="0C67901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为进一步提高我</w:t>
      </w:r>
      <w:r>
        <w:rPr>
          <w:rFonts w:hint="eastAsia" w:ascii="仿宋" w:hAnsi="仿宋" w:eastAsia="仿宋" w:cs="仿宋"/>
          <w:sz w:val="32"/>
          <w:szCs w:val="32"/>
          <w:lang w:eastAsia="zh-CN"/>
        </w:rPr>
        <w:t>办</w:t>
      </w:r>
      <w:r>
        <w:rPr>
          <w:rFonts w:hint="eastAsia" w:ascii="仿宋" w:hAnsi="仿宋" w:eastAsia="仿宋" w:cs="仿宋"/>
          <w:sz w:val="32"/>
          <w:szCs w:val="32"/>
        </w:rPr>
        <w:t>绩效预算管理工作，根据《</w:t>
      </w:r>
      <w:r>
        <w:rPr>
          <w:rFonts w:hint="eastAsia" w:ascii="仿宋" w:hAnsi="仿宋" w:eastAsia="仿宋" w:cs="仿宋"/>
          <w:sz w:val="32"/>
          <w:szCs w:val="32"/>
          <w:lang w:eastAsia="zh-CN"/>
        </w:rPr>
        <w:t>中共井陉矿区委、井陉矿区人民政府关于全面落实预算绩效管理的实施意见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矿发</w:t>
      </w:r>
      <w:r>
        <w:rPr>
          <w:rFonts w:hint="eastAsia" w:ascii="仿宋" w:hAnsi="仿宋" w:eastAsia="仿宋" w:cs="仿宋"/>
          <w:sz w:val="32"/>
          <w:szCs w:val="32"/>
        </w:rPr>
        <w:t>〔</w:t>
      </w:r>
      <w:r>
        <w:rPr>
          <w:rFonts w:hint="eastAsia" w:ascii="仿宋" w:hAnsi="仿宋" w:eastAsia="仿宋" w:cs="仿宋"/>
          <w:sz w:val="32"/>
          <w:szCs w:val="32"/>
          <w:lang w:val="en-US" w:eastAsia="zh-CN"/>
        </w:rPr>
        <w:t>2019</w:t>
      </w:r>
      <w:r>
        <w:rPr>
          <w:rFonts w:hint="eastAsia" w:ascii="仿宋" w:hAnsi="仿宋" w:eastAsia="仿宋" w:cs="仿宋"/>
          <w:sz w:val="32"/>
          <w:szCs w:val="32"/>
        </w:rPr>
        <w:t>〕</w:t>
      </w:r>
      <w:r>
        <w:rPr>
          <w:rFonts w:hint="eastAsia" w:ascii="仿宋" w:hAnsi="仿宋" w:eastAsia="仿宋" w:cs="仿宋"/>
          <w:sz w:val="32"/>
          <w:szCs w:val="32"/>
          <w:lang w:val="en-US" w:eastAsia="zh-CN"/>
        </w:rPr>
        <w:t>7</w:t>
      </w:r>
      <w:r>
        <w:rPr>
          <w:rFonts w:hint="eastAsia" w:ascii="仿宋" w:hAnsi="仿宋" w:eastAsia="仿宋" w:cs="仿宋"/>
          <w:sz w:val="32"/>
          <w:szCs w:val="32"/>
        </w:rPr>
        <w:t>号）要求，成立绩效评价工作组，对我</w:t>
      </w:r>
      <w:r>
        <w:rPr>
          <w:rFonts w:hint="eastAsia" w:ascii="仿宋" w:hAnsi="仿宋" w:eastAsia="仿宋" w:cs="仿宋"/>
          <w:sz w:val="32"/>
          <w:szCs w:val="32"/>
          <w:lang w:eastAsia="zh-CN"/>
        </w:rPr>
        <w:t>办</w:t>
      </w:r>
      <w:r>
        <w:rPr>
          <w:rFonts w:hint="eastAsia" w:ascii="仿宋" w:hAnsi="仿宋" w:eastAsia="仿宋" w:cs="仿宋"/>
          <w:sz w:val="32"/>
          <w:szCs w:val="32"/>
        </w:rPr>
        <w:t>所有的</w:t>
      </w:r>
      <w:r>
        <w:rPr>
          <w:rFonts w:hint="eastAsia" w:ascii="仿宋" w:hAnsi="仿宋" w:eastAsia="仿宋" w:cs="仿宋"/>
          <w:sz w:val="32"/>
          <w:szCs w:val="32"/>
          <w:lang w:eastAsia="zh-CN"/>
        </w:rPr>
        <w:t>资金</w:t>
      </w:r>
      <w:r>
        <w:rPr>
          <w:rFonts w:hint="eastAsia" w:ascii="仿宋" w:hAnsi="仿宋" w:eastAsia="仿宋" w:cs="仿宋"/>
          <w:sz w:val="32"/>
          <w:szCs w:val="32"/>
        </w:rPr>
        <w:t>项目，开展20</w:t>
      </w:r>
      <w:r>
        <w:rPr>
          <w:rFonts w:hint="eastAsia" w:ascii="仿宋" w:hAnsi="仿宋" w:eastAsia="仿宋" w:cs="仿宋"/>
          <w:sz w:val="32"/>
          <w:szCs w:val="32"/>
          <w:lang w:val="en-US" w:eastAsia="zh-CN"/>
        </w:rPr>
        <w:t>2</w:t>
      </w:r>
      <w:r>
        <w:rPr>
          <w:rFonts w:ascii="仿宋" w:hAnsi="仿宋" w:eastAsia="仿宋" w:cs="仿宋"/>
          <w:sz w:val="32"/>
          <w:szCs w:val="32"/>
          <w:lang w:val="en-US" w:eastAsia="zh-CN"/>
        </w:rPr>
        <w:t>4</w:t>
      </w:r>
      <w:r>
        <w:rPr>
          <w:rFonts w:hint="eastAsia" w:ascii="仿宋" w:hAnsi="仿宋" w:eastAsia="仿宋" w:cs="仿宋"/>
          <w:sz w:val="32"/>
          <w:szCs w:val="32"/>
        </w:rPr>
        <w:t>年度</w:t>
      </w:r>
      <w:r>
        <w:rPr>
          <w:rFonts w:hint="eastAsia" w:ascii="仿宋" w:hAnsi="仿宋" w:eastAsia="仿宋" w:cs="仿宋"/>
          <w:sz w:val="32"/>
          <w:szCs w:val="32"/>
          <w:lang w:eastAsia="zh-CN"/>
        </w:rPr>
        <w:t>部门整体</w:t>
      </w:r>
      <w:r>
        <w:rPr>
          <w:rFonts w:hint="eastAsia" w:ascii="仿宋" w:hAnsi="仿宋" w:eastAsia="仿宋" w:cs="仿宋"/>
          <w:sz w:val="32"/>
          <w:szCs w:val="32"/>
        </w:rPr>
        <w:t>绩效自评工作。</w:t>
      </w:r>
    </w:p>
    <w:p w14:paraId="34BF3937">
      <w:pPr>
        <w:keepNext w:val="0"/>
        <w:keepLines w:val="0"/>
        <w:pageBreakBefore w:val="0"/>
        <w:widowControl w:val="0"/>
        <w:kinsoku/>
        <w:wordWrap/>
        <w:overflowPunct/>
        <w:topLinePunct w:val="0"/>
        <w:autoSpaceDE/>
        <w:autoSpaceDN/>
        <w:adjustRightInd w:val="0"/>
        <w:snapToGrid w:val="0"/>
        <w:spacing w:line="560" w:lineRule="exact"/>
        <w:ind w:firstLine="640" w:firstLineChars="200"/>
        <w:rPr>
          <w:rFonts w:ascii="仿宋_GB2312" w:hAnsi="仿宋" w:eastAsia="仿宋_GB2312" w:cs="Times New Roman"/>
          <w:kern w:val="2"/>
          <w:sz w:val="32"/>
          <w:szCs w:val="32"/>
          <w:lang w:eastAsia="zh-CN"/>
        </w:rPr>
      </w:pPr>
      <w:r>
        <w:rPr>
          <w:rFonts w:hint="eastAsia" w:ascii="仿宋" w:hAnsi="仿宋" w:eastAsia="仿宋" w:cs="仿宋"/>
          <w:sz w:val="32"/>
          <w:szCs w:val="32"/>
        </w:rPr>
        <w:t>绩效评价工作组根据工作方案，明确任务分工，确定评价程序及时间安排。根据20</w:t>
      </w:r>
      <w:r>
        <w:rPr>
          <w:rFonts w:hint="eastAsia" w:ascii="仿宋" w:hAnsi="仿宋" w:eastAsia="仿宋" w:cs="仿宋"/>
          <w:sz w:val="32"/>
          <w:szCs w:val="32"/>
          <w:lang w:val="en-US" w:eastAsia="zh-CN"/>
        </w:rPr>
        <w:t>2</w:t>
      </w:r>
      <w:r>
        <w:rPr>
          <w:rFonts w:ascii="仿宋" w:hAnsi="仿宋" w:eastAsia="仿宋" w:cs="仿宋"/>
          <w:sz w:val="32"/>
          <w:szCs w:val="32"/>
          <w:lang w:val="en-US" w:eastAsia="zh-CN"/>
        </w:rPr>
        <w:t>4</w:t>
      </w:r>
      <w:r>
        <w:rPr>
          <w:rFonts w:hint="eastAsia" w:ascii="仿宋" w:hAnsi="仿宋" w:eastAsia="仿宋" w:cs="仿宋"/>
          <w:sz w:val="32"/>
          <w:szCs w:val="32"/>
        </w:rPr>
        <w:t>年初设定的绩效目标完成情况和各绩效指标完成情况进行核实分析，填报《</w:t>
      </w:r>
      <w:r>
        <w:rPr>
          <w:rFonts w:hint="eastAsia" w:ascii="仿宋" w:hAnsi="仿宋" w:eastAsia="仿宋" w:cs="仿宋"/>
          <w:sz w:val="32"/>
          <w:szCs w:val="32"/>
          <w:lang w:val="en-US" w:eastAsia="zh-CN"/>
        </w:rPr>
        <w:t>202</w:t>
      </w:r>
      <w:r>
        <w:rPr>
          <w:rFonts w:ascii="仿宋" w:hAnsi="仿宋" w:eastAsia="仿宋" w:cs="仿宋"/>
          <w:sz w:val="32"/>
          <w:szCs w:val="32"/>
          <w:lang w:val="en-US" w:eastAsia="zh-CN"/>
        </w:rPr>
        <w:t>4</w:t>
      </w:r>
      <w:r>
        <w:rPr>
          <w:rFonts w:hint="eastAsia" w:ascii="仿宋" w:hAnsi="仿宋" w:eastAsia="仿宋" w:cs="仿宋"/>
          <w:sz w:val="32"/>
          <w:szCs w:val="32"/>
          <w:lang w:val="en-US" w:eastAsia="zh-CN"/>
        </w:rPr>
        <w:t>年</w:t>
      </w:r>
      <w:r>
        <w:rPr>
          <w:rFonts w:hint="eastAsia" w:ascii="仿宋" w:hAnsi="仿宋" w:eastAsia="仿宋" w:cs="仿宋"/>
          <w:sz w:val="32"/>
          <w:szCs w:val="32"/>
          <w:lang w:eastAsia="zh-CN"/>
        </w:rPr>
        <w:t>区级</w:t>
      </w:r>
      <w:r>
        <w:rPr>
          <w:rFonts w:hint="eastAsia" w:ascii="仿宋" w:hAnsi="仿宋" w:eastAsia="仿宋" w:cs="仿宋"/>
          <w:sz w:val="32"/>
          <w:szCs w:val="32"/>
        </w:rPr>
        <w:t>项目绩效自评表》，并撰写绩效自评报告。</w:t>
      </w:r>
      <w:r>
        <w:rPr>
          <w:rFonts w:hint="eastAsia" w:ascii="仿宋_GB2312" w:hAnsi="仿宋" w:eastAsia="仿宋_GB2312" w:cs="Times New Roman"/>
          <w:kern w:val="2"/>
          <w:sz w:val="32"/>
          <w:szCs w:val="32"/>
        </w:rPr>
        <w:t>本年年初预算收入、支出均为</w:t>
      </w:r>
      <w:r>
        <w:rPr>
          <w:rFonts w:ascii="仿宋_GB2312" w:hAnsi="仿宋" w:eastAsia="仿宋_GB2312" w:cs="Times New Roman"/>
          <w:kern w:val="2"/>
          <w:sz w:val="32"/>
          <w:szCs w:val="32"/>
          <w:lang w:val="en-US" w:eastAsia="zh-CN"/>
        </w:rPr>
        <w:t>793.02</w:t>
      </w:r>
      <w:r>
        <w:rPr>
          <w:rFonts w:hint="eastAsia" w:ascii="仿宋_GB2312" w:hAnsi="仿宋" w:eastAsia="仿宋_GB2312" w:cs="Times New Roman"/>
          <w:kern w:val="2"/>
          <w:sz w:val="32"/>
          <w:szCs w:val="32"/>
          <w:lang w:val="en-US" w:eastAsia="zh-CN"/>
        </w:rPr>
        <w:t>万</w:t>
      </w:r>
      <w:r>
        <w:rPr>
          <w:rFonts w:hint="eastAsia" w:ascii="仿宋_GB2312" w:hAnsi="仿宋" w:eastAsia="仿宋_GB2312" w:cs="Times New Roman"/>
          <w:kern w:val="2"/>
          <w:sz w:val="32"/>
          <w:szCs w:val="32"/>
        </w:rPr>
        <w:t>元，其中包括：人员经费</w:t>
      </w:r>
      <w:r>
        <w:rPr>
          <w:rFonts w:ascii="仿宋_GB2312" w:hAnsi="仿宋" w:eastAsia="仿宋_GB2312" w:cs="Times New Roman"/>
          <w:kern w:val="2"/>
          <w:sz w:val="32"/>
          <w:szCs w:val="32"/>
          <w:lang w:val="en-US" w:eastAsia="zh-CN"/>
        </w:rPr>
        <w:t>381.08</w:t>
      </w:r>
      <w:r>
        <w:rPr>
          <w:rFonts w:hint="eastAsia" w:ascii="仿宋_GB2312" w:hAnsi="仿宋" w:eastAsia="仿宋_GB2312" w:cs="Times New Roman"/>
          <w:kern w:val="2"/>
          <w:sz w:val="32"/>
          <w:szCs w:val="32"/>
        </w:rPr>
        <w:t>万元，日常公用经费</w:t>
      </w:r>
      <w:r>
        <w:rPr>
          <w:rFonts w:ascii="仿宋_GB2312" w:hAnsi="仿宋" w:eastAsia="仿宋_GB2312" w:cs="Times New Roman"/>
          <w:kern w:val="2"/>
          <w:sz w:val="32"/>
          <w:szCs w:val="32"/>
          <w:lang w:val="en-US" w:eastAsia="zh-CN"/>
        </w:rPr>
        <w:t>29.38</w:t>
      </w:r>
      <w:r>
        <w:rPr>
          <w:rFonts w:hint="eastAsia" w:ascii="仿宋_GB2312" w:hAnsi="仿宋" w:eastAsia="仿宋_GB2312" w:cs="Times New Roman"/>
          <w:kern w:val="2"/>
          <w:sz w:val="32"/>
          <w:szCs w:val="32"/>
        </w:rPr>
        <w:t>万元，项目支出</w:t>
      </w:r>
      <w:r>
        <w:rPr>
          <w:rFonts w:ascii="仿宋_GB2312" w:hAnsi="仿宋" w:eastAsia="仿宋_GB2312" w:cs="Times New Roman"/>
          <w:kern w:val="2"/>
          <w:sz w:val="32"/>
          <w:szCs w:val="32"/>
          <w:lang w:val="en-US" w:eastAsia="zh-CN"/>
        </w:rPr>
        <w:t>307</w:t>
      </w:r>
      <w:r>
        <w:rPr>
          <w:rFonts w:hint="eastAsia" w:ascii="仿宋_GB2312" w:hAnsi="仿宋" w:eastAsia="仿宋_GB2312" w:cs="Times New Roman"/>
          <w:kern w:val="2"/>
          <w:sz w:val="32"/>
          <w:szCs w:val="32"/>
        </w:rPr>
        <w:t>万元。</w:t>
      </w:r>
    </w:p>
    <w:p w14:paraId="7089B5E7">
      <w:pPr>
        <w:keepNext w:val="0"/>
        <w:keepLines w:val="0"/>
        <w:pageBreakBefore w:val="0"/>
        <w:widowControl w:val="0"/>
        <w:kinsoku/>
        <w:wordWrap/>
        <w:overflowPunct/>
        <w:topLinePunct w:val="0"/>
        <w:autoSpaceDE/>
        <w:autoSpaceDN/>
        <w:adjustRightInd w:val="0"/>
        <w:snapToGrid w:val="0"/>
        <w:spacing w:line="560" w:lineRule="exact"/>
        <w:ind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14392819">
      <w:pPr>
        <w:pStyle w:val="6"/>
        <w:rPr>
          <w:rFonts w:hint="eastAsia" w:ascii="仿宋" w:hAnsi="仿宋" w:eastAsia="仿宋"/>
          <w:sz w:val="32"/>
          <w:szCs w:val="32"/>
        </w:rPr>
      </w:pPr>
      <w:r>
        <w:rPr>
          <w:rFonts w:hint="eastAsia" w:ascii="仿宋" w:hAnsi="仿宋" w:eastAsia="仿宋"/>
          <w:sz w:val="32"/>
          <w:szCs w:val="32"/>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7364A4C3">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6F2187E">
      <w:pPr>
        <w:numPr>
          <w:ilvl w:val="0"/>
          <w:numId w:val="2"/>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A42E835">
      <w:pPr>
        <w:spacing w:line="560" w:lineRule="exact"/>
        <w:ind w:firstLine="800" w:firstLineChars="250"/>
        <w:rPr>
          <w:rFonts w:ascii="仿宋" w:hAnsi="仿宋" w:eastAsia="仿宋"/>
          <w:sz w:val="32"/>
          <w:szCs w:val="32"/>
        </w:rPr>
      </w:pPr>
      <w:r>
        <w:rPr>
          <w:rFonts w:hint="eastAsia" w:ascii="仿宋" w:hAnsi="仿宋" w:eastAsia="仿宋" w:cs="仿宋"/>
          <w:sz w:val="32"/>
          <w:szCs w:val="32"/>
        </w:rPr>
        <w:t>绩效目标是贯穿预算绩效管理始终的一条主线，是预算资金安排、事中绩效跟踪和事后绩效评价的重要依据。根据相关文件要求，我</w:t>
      </w:r>
      <w:r>
        <w:rPr>
          <w:rFonts w:hint="eastAsia" w:ascii="仿宋" w:hAnsi="仿宋" w:eastAsia="仿宋" w:cs="仿宋"/>
          <w:sz w:val="32"/>
          <w:szCs w:val="32"/>
          <w:lang w:eastAsia="zh-CN"/>
        </w:rPr>
        <w:t>办</w:t>
      </w:r>
      <w:r>
        <w:rPr>
          <w:rFonts w:hint="eastAsia" w:ascii="仿宋" w:hAnsi="仿宋" w:eastAsia="仿宋" w:cs="仿宋"/>
          <w:sz w:val="32"/>
          <w:szCs w:val="32"/>
        </w:rPr>
        <w:t>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14:paraId="50FA7DB1">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E74FCE5">
      <w:pPr>
        <w:pStyle w:val="19"/>
      </w:pPr>
      <w:r>
        <w:t>1.专项业务费</w:t>
      </w:r>
    </w:p>
    <w:p w14:paraId="6C40059E">
      <w:p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该项目预算数是</w:t>
      </w:r>
      <w:r>
        <w:rPr>
          <w:rFonts w:ascii="仿宋" w:hAnsi="仿宋" w:eastAsia="仿宋" w:cs="仿宋"/>
          <w:color w:val="auto"/>
          <w:sz w:val="32"/>
          <w:szCs w:val="32"/>
          <w:lang w:val="en-US" w:eastAsia="zh-CN"/>
        </w:rPr>
        <w:t>76.5</w:t>
      </w:r>
      <w:r>
        <w:rPr>
          <w:rFonts w:hint="eastAsia" w:ascii="仿宋" w:hAnsi="仿宋" w:eastAsia="仿宋" w:cs="仿宋"/>
          <w:color w:val="auto"/>
          <w:sz w:val="32"/>
          <w:szCs w:val="32"/>
          <w:lang w:val="en-US" w:eastAsia="zh-CN"/>
        </w:rPr>
        <w:t>万元，</w:t>
      </w:r>
      <w:r>
        <w:rPr>
          <w:rFonts w:ascii="仿宋" w:hAnsi="仿宋" w:eastAsia="仿宋" w:cs="仿宋"/>
          <w:color w:val="auto"/>
          <w:sz w:val="32"/>
          <w:szCs w:val="32"/>
          <w:lang w:val="en-US" w:eastAsia="zh-CN"/>
        </w:rPr>
        <w:t>财政拨款33万元，部门实际</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33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总体支出进度为</w:t>
      </w:r>
      <w:r>
        <w:rPr>
          <w:rFonts w:hint="eastAsia" w:ascii="仿宋" w:hAnsi="仿宋" w:eastAsia="仿宋" w:cs="仿宋"/>
          <w:color w:val="auto"/>
          <w:sz w:val="32"/>
          <w:szCs w:val="32"/>
          <w:lang w:val="en-US" w:eastAsia="zh-CN"/>
        </w:rPr>
        <w:t xml:space="preserve"> </w:t>
      </w:r>
      <w:r>
        <w:rPr>
          <w:rFonts w:ascii="仿宋" w:hAnsi="仿宋" w:eastAsia="仿宋" w:cs="仿宋"/>
          <w:color w:val="auto"/>
          <w:sz w:val="32"/>
          <w:szCs w:val="32"/>
          <w:lang w:val="en-US" w:eastAsia="zh-CN"/>
        </w:rPr>
        <w:t>43</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w:t>
      </w:r>
      <w:r>
        <w:rPr>
          <w:rFonts w:ascii="仿宋" w:hAnsi="仿宋" w:eastAsia="仿宋" w:cs="仿宋"/>
          <w:color w:val="auto"/>
          <w:sz w:val="32"/>
          <w:szCs w:val="32"/>
        </w:rPr>
        <w:t>剩余未支出原因：财政资金未及时拨付到位。</w:t>
      </w:r>
    </w:p>
    <w:p w14:paraId="1A1C7120">
      <w:pPr>
        <w:pStyle w:val="19"/>
      </w:pPr>
      <w:r>
        <w:t>2.值班、网站经费</w:t>
      </w:r>
    </w:p>
    <w:p w14:paraId="0775CAE5">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16.1万元，</w:t>
      </w:r>
      <w:r>
        <w:rPr>
          <w:rFonts w:ascii="仿宋" w:hAnsi="仿宋" w:eastAsia="仿宋" w:cs="仿宋"/>
          <w:color w:val="auto"/>
          <w:sz w:val="32"/>
          <w:szCs w:val="32"/>
          <w:lang w:val="en-US" w:eastAsia="zh-CN"/>
        </w:rPr>
        <w:t>财政拨款10.6万元，部门实际</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10.6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总体支出进度为</w:t>
      </w:r>
      <w:r>
        <w:rPr>
          <w:rFonts w:hint="eastAsia" w:ascii="仿宋" w:hAnsi="仿宋" w:eastAsia="仿宋" w:cs="仿宋"/>
          <w:color w:val="auto"/>
          <w:sz w:val="32"/>
          <w:szCs w:val="32"/>
          <w:lang w:val="en-US" w:eastAsia="zh-CN"/>
        </w:rPr>
        <w:t xml:space="preserve"> </w:t>
      </w:r>
      <w:r>
        <w:rPr>
          <w:rFonts w:ascii="仿宋" w:hAnsi="仿宋" w:eastAsia="仿宋" w:cs="仿宋"/>
          <w:color w:val="auto"/>
          <w:sz w:val="32"/>
          <w:szCs w:val="32"/>
          <w:lang w:val="en-US" w:eastAsia="zh-CN"/>
        </w:rPr>
        <w:t>66</w:t>
      </w:r>
      <w:r>
        <w:rPr>
          <w:rFonts w:hint="eastAsia" w:ascii="仿宋" w:hAnsi="仿宋" w:eastAsia="仿宋" w:cs="仿宋"/>
          <w:color w:val="auto"/>
          <w:sz w:val="32"/>
          <w:szCs w:val="32"/>
        </w:rPr>
        <w:t>%。</w:t>
      </w:r>
      <w:r>
        <w:rPr>
          <w:rFonts w:ascii="仿宋" w:hAnsi="仿宋" w:eastAsia="仿宋" w:cs="仿宋"/>
          <w:color w:val="auto"/>
          <w:sz w:val="32"/>
          <w:szCs w:val="32"/>
        </w:rPr>
        <w:t>剩余未支出原因：财政资金未及时拨付到位。</w:t>
      </w:r>
    </w:p>
    <w:p w14:paraId="46FD51B7">
      <w:pPr>
        <w:pStyle w:val="19"/>
        <w:ind w:firstLine="560"/>
      </w:pPr>
      <w:r>
        <w:t>3.劳务派遣经费</w:t>
      </w:r>
    </w:p>
    <w:p w14:paraId="44B756A8">
      <w:pPr>
        <w:pStyle w:val="19"/>
        <w:ind w:left="0"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该项目预算数是</w:t>
      </w:r>
      <w:r>
        <w:rPr>
          <w:rFonts w:ascii="仿宋" w:hAnsi="仿宋" w:eastAsia="仿宋" w:cs="仿宋"/>
          <w:color w:val="auto"/>
          <w:sz w:val="32"/>
          <w:szCs w:val="32"/>
          <w:lang w:val="en-US" w:eastAsia="zh-CN"/>
        </w:rPr>
        <w:t>14.6</w:t>
      </w:r>
      <w:r>
        <w:rPr>
          <w:rFonts w:hint="eastAsia" w:ascii="仿宋" w:hAnsi="仿宋" w:eastAsia="仿宋" w:cs="仿宋"/>
          <w:color w:val="auto"/>
          <w:sz w:val="32"/>
          <w:szCs w:val="32"/>
          <w:lang w:val="en-US" w:eastAsia="zh-CN"/>
        </w:rPr>
        <w:t>万元，</w:t>
      </w:r>
      <w:r>
        <w:rPr>
          <w:rFonts w:ascii="仿宋" w:hAnsi="仿宋" w:eastAsia="仿宋" w:cs="仿宋"/>
          <w:color w:val="auto"/>
          <w:sz w:val="32"/>
          <w:szCs w:val="32"/>
          <w:lang w:val="en-US" w:eastAsia="zh-CN"/>
        </w:rPr>
        <w:t>财政拨款14.6万元，部门实际</w:t>
      </w:r>
      <w:r>
        <w:rPr>
          <w:rFonts w:hint="eastAsia" w:ascii="仿宋" w:hAnsi="仿宋" w:eastAsia="仿宋" w:cs="仿宋"/>
          <w:color w:val="auto"/>
          <w:sz w:val="32"/>
          <w:szCs w:val="32"/>
        </w:rPr>
        <w:t>支出</w:t>
      </w:r>
      <w:r>
        <w:rPr>
          <w:rFonts w:ascii="仿宋" w:hAnsi="仿宋" w:eastAsia="仿宋" w:cs="仿宋"/>
          <w:color w:val="auto"/>
          <w:sz w:val="32"/>
          <w:szCs w:val="32"/>
          <w:lang w:val="en-US" w:eastAsia="zh-CN"/>
        </w:rPr>
        <w:t>14.6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总体支出进度为</w:t>
      </w:r>
      <w:r>
        <w:rPr>
          <w:rFonts w:hint="eastAsia" w:ascii="仿宋" w:hAnsi="仿宋" w:eastAsia="仿宋" w:cs="仿宋"/>
          <w:color w:val="auto"/>
          <w:sz w:val="32"/>
          <w:szCs w:val="32"/>
          <w:lang w:val="en-US" w:eastAsia="zh-CN"/>
        </w:rPr>
        <w:t xml:space="preserve"> 100 </w:t>
      </w:r>
      <w:r>
        <w:rPr>
          <w:rFonts w:hint="eastAsia" w:ascii="仿宋" w:hAnsi="仿宋" w:eastAsia="仿宋" w:cs="仿宋"/>
          <w:color w:val="auto"/>
          <w:sz w:val="32"/>
          <w:szCs w:val="32"/>
        </w:rPr>
        <w:t>%。</w:t>
      </w:r>
    </w:p>
    <w:p w14:paraId="4E35650E">
      <w:pPr>
        <w:adjustRightInd w:val="0"/>
        <w:snapToGrid w:val="0"/>
        <w:spacing w:line="560" w:lineRule="exact"/>
        <w:ind w:left="0" w:firstLine="640" w:firstLineChars="200"/>
        <w:rPr>
          <w:rFonts w:ascii="仿宋" w:hAnsi="仿宋" w:eastAsia="仿宋" w:cs="仿宋"/>
          <w:color w:val="auto"/>
          <w:sz w:val="32"/>
          <w:szCs w:val="32"/>
        </w:rPr>
      </w:pPr>
      <w:r>
        <w:rPr>
          <w:rFonts w:hint="eastAsia" w:ascii="仿宋" w:hAnsi="仿宋" w:eastAsia="仿宋" w:cs="仿宋"/>
          <w:color w:val="auto"/>
          <w:sz w:val="32"/>
          <w:szCs w:val="32"/>
        </w:rPr>
        <w:t>2.产出指标和效果指标完成情况</w:t>
      </w:r>
    </w:p>
    <w:p w14:paraId="18E35A84">
      <w:pPr>
        <w:wordWrap/>
        <w:adjustRightInd/>
        <w:snapToGrid w:val="0"/>
        <w:spacing w:line="560" w:lineRule="exact"/>
        <w:ind w:left="0"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截至目前</w:t>
      </w:r>
      <w:r>
        <w:rPr>
          <w:rFonts w:hint="eastAsia" w:ascii="仿宋" w:hAnsi="仿宋" w:eastAsia="仿宋" w:cs="仿宋"/>
          <w:sz w:val="32"/>
          <w:szCs w:val="32"/>
        </w:rPr>
        <w:t>我部门绩效工作完成较好，主要完成了以下工作：</w:t>
      </w:r>
      <w:r>
        <w:rPr>
          <w:rFonts w:ascii="仿宋" w:hAnsi="仿宋" w:eastAsia="仿宋" w:cs="仿宋"/>
          <w:sz w:val="32"/>
          <w:szCs w:val="32"/>
        </w:rPr>
        <w:t>劳务派遣工资按时发放，维护值班系统做到24小时双人双岗，网站信息的发布对公民学习和掌握国家政策的影响力也大大提升。</w:t>
      </w:r>
    </w:p>
    <w:p w14:paraId="4DA778AE">
      <w:pPr>
        <w:pStyle w:val="19"/>
        <w:ind w:left="0" w:firstLine="640" w:firstLineChars="200"/>
        <w:rPr>
          <w:rFonts w:hint="eastAsia" w:ascii="仿宋" w:hAnsi="仿宋" w:eastAsia="仿宋" w:cs="仿宋"/>
          <w:color w:val="auto"/>
          <w:sz w:val="32"/>
          <w:szCs w:val="32"/>
        </w:rPr>
      </w:pPr>
      <w:r>
        <w:rPr>
          <w:rFonts w:hint="eastAsia" w:ascii="仿宋" w:hAnsi="仿宋" w:eastAsia="仿宋" w:cs="仿宋"/>
          <w:sz w:val="32"/>
          <w:szCs w:val="32"/>
        </w:rPr>
        <w:t>参与本次评价的项目共计</w:t>
      </w:r>
      <w:r>
        <w:rPr>
          <w:rFonts w:hint="eastAsia" w:ascii="仿宋" w:hAnsi="仿宋" w:eastAsia="仿宋" w:cs="仿宋"/>
          <w:sz w:val="32"/>
          <w:szCs w:val="32"/>
          <w:lang w:val="en-US" w:eastAsia="zh-CN"/>
        </w:rPr>
        <w:t>3</w:t>
      </w:r>
      <w:r>
        <w:rPr>
          <w:rFonts w:hint="eastAsia" w:ascii="仿宋" w:hAnsi="仿宋" w:eastAsia="仿宋" w:cs="仿宋"/>
          <w:sz w:val="32"/>
          <w:szCs w:val="32"/>
        </w:rPr>
        <w:t>个，评价等级均为“</w:t>
      </w:r>
      <w:r>
        <w:rPr>
          <w:rFonts w:ascii="仿宋" w:hAnsi="仿宋" w:eastAsia="仿宋" w:cs="仿宋"/>
          <w:sz w:val="32"/>
          <w:szCs w:val="32"/>
        </w:rPr>
        <w:t>优秀</w:t>
      </w:r>
      <w:r>
        <w:rPr>
          <w:rFonts w:hint="eastAsia" w:ascii="仿宋" w:hAnsi="仿宋" w:eastAsia="仿宋" w:cs="仿宋"/>
          <w:sz w:val="32"/>
          <w:szCs w:val="32"/>
        </w:rPr>
        <w:t>”。</w:t>
      </w:r>
    </w:p>
    <w:p w14:paraId="36DD9C7B">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BCA6EDE">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112FA541">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10007C5">
      <w:pPr>
        <w:widowControl w:val="0"/>
        <w:wordWrap/>
        <w:spacing w:line="560" w:lineRule="exact"/>
        <w:ind w:left="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57E2C68B">
      <w:pPr>
        <w:widowControl w:val="0"/>
        <w:wordWrap/>
        <w:spacing w:line="560" w:lineRule="exact"/>
        <w:ind w:left="0" w:right="0" w:firstLine="640" w:firstLineChars="200"/>
        <w:textAlignment w:val="auto"/>
        <w:outlineLvl w:val="9"/>
        <w:rPr>
          <w:rFonts w:hint="eastAsia" w:ascii="仿宋" w:hAnsi="仿宋" w:eastAsia="仿宋"/>
          <w:b/>
          <w:bCs/>
          <w:sz w:val="32"/>
          <w:szCs w:val="32"/>
        </w:rPr>
      </w:pPr>
      <w:r>
        <w:rPr>
          <w:rFonts w:hint="eastAsia" w:ascii="仿宋" w:hAnsi="仿宋" w:eastAsia="仿宋"/>
          <w:b w:val="0"/>
          <w:bCs w:val="0"/>
          <w:sz w:val="32"/>
          <w:szCs w:val="32"/>
        </w:rPr>
        <w:t>绩效评价在目标设定上过于简单，对于绩效考核来讲，目标就是方向，如果在绩效考核目标设定上出现问题、或者是设计不合理</w:t>
      </w:r>
      <w:r>
        <w:rPr>
          <w:rFonts w:hint="eastAsia" w:ascii="仿宋" w:hAnsi="仿宋" w:eastAsia="仿宋"/>
          <w:b w:val="0"/>
          <w:bCs w:val="0"/>
          <w:sz w:val="32"/>
          <w:szCs w:val="32"/>
          <w:lang w:eastAsia="zh-CN"/>
        </w:rPr>
        <w:t>、</w:t>
      </w:r>
      <w:r>
        <w:rPr>
          <w:rFonts w:hint="eastAsia" w:ascii="仿宋" w:hAnsi="仿宋" w:eastAsia="仿宋"/>
          <w:b w:val="0"/>
          <w:bCs w:val="0"/>
          <w:sz w:val="32"/>
          <w:szCs w:val="32"/>
        </w:rPr>
        <w:t>不能紧紧围绕工作重点</w:t>
      </w:r>
      <w:r>
        <w:rPr>
          <w:rFonts w:hint="eastAsia" w:ascii="仿宋" w:hAnsi="仿宋" w:eastAsia="仿宋"/>
          <w:b w:val="0"/>
          <w:bCs w:val="0"/>
          <w:sz w:val="32"/>
          <w:szCs w:val="32"/>
          <w:lang w:eastAsia="zh-CN"/>
        </w:rPr>
        <w:t>会</w:t>
      </w:r>
      <w:r>
        <w:rPr>
          <w:rFonts w:hint="eastAsia" w:ascii="仿宋" w:hAnsi="仿宋" w:eastAsia="仿宋"/>
          <w:b w:val="0"/>
          <w:bCs w:val="0"/>
          <w:sz w:val="32"/>
          <w:szCs w:val="32"/>
        </w:rPr>
        <w:t>影响到绩效考核的。</w:t>
      </w:r>
    </w:p>
    <w:p w14:paraId="30491658">
      <w:pPr>
        <w:widowControl w:val="0"/>
        <w:wordWrap/>
        <w:spacing w:line="560" w:lineRule="exact"/>
        <w:ind w:left="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14:paraId="59CF09E1">
      <w:pPr>
        <w:adjustRightInd w:val="0"/>
        <w:snapToGrid w:val="0"/>
        <w:spacing w:line="560" w:lineRule="exact"/>
        <w:ind w:firstLine="640" w:firstLineChars="200"/>
      </w:pPr>
      <w:r>
        <w:rPr>
          <w:rFonts w:hint="eastAsia" w:ascii="仿宋" w:hAnsi="仿宋" w:eastAsia="仿宋" w:cs="仿宋"/>
          <w:sz w:val="32"/>
          <w:szCs w:val="32"/>
        </w:rPr>
        <w:t>针对绩效指标设定中存在的问题，从实际出发，在202</w:t>
      </w:r>
      <w:r>
        <w:rPr>
          <w:rFonts w:ascii="仿宋" w:hAnsi="仿宋" w:eastAsia="仿宋" w:cs="仿宋"/>
          <w:sz w:val="32"/>
          <w:szCs w:val="32"/>
          <w:lang w:val="en-US" w:eastAsia="zh-CN"/>
        </w:rPr>
        <w:t>4</w:t>
      </w:r>
      <w:r>
        <w:rPr>
          <w:rFonts w:hint="eastAsia" w:ascii="仿宋" w:hAnsi="仿宋" w:eastAsia="仿宋" w:cs="仿宋"/>
          <w:sz w:val="32"/>
          <w:szCs w:val="32"/>
        </w:rPr>
        <w:t>年项目绩效目标填报中增强指标的可评价性和可量化性，合理如实的反映资金使用的绩效成果，审核</w:t>
      </w:r>
      <w:r>
        <w:rPr>
          <w:rFonts w:ascii="仿宋" w:hAnsi="仿宋" w:eastAsia="仿宋" w:cs="仿宋"/>
          <w:sz w:val="32"/>
          <w:szCs w:val="32"/>
        </w:rPr>
        <w:t>实现绩效目标所需资金的合理性以及填报的规范性、完整性</w:t>
      </w:r>
      <w:r>
        <w:rPr>
          <w:rFonts w:hint="eastAsia" w:ascii="仿宋" w:hAnsi="仿宋" w:eastAsia="仿宋" w:cs="仿宋"/>
          <w:sz w:val="32"/>
          <w:szCs w:val="32"/>
        </w:rPr>
        <w:t>，提高财政支出产生的社会效益和经济效益，重点考虑项目的外界因素对年度任务的影响。</w:t>
      </w:r>
    </w:p>
    <w:p w14:paraId="1A6B1599">
      <w:pPr>
        <w:adjustRightInd w:val="0"/>
        <w:snapToGrid w:val="0"/>
        <w:spacing w:line="560" w:lineRule="exact"/>
        <w:ind w:firstLine="640" w:firstLineChars="200"/>
        <w:rPr>
          <w:rFonts w:eastAsia="仿宋_GB2312"/>
          <w:lang w:val="en-US" w:eastAsia="zh-CN"/>
        </w:rPr>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14:paraId="325E303A">
      <w:pPr>
        <w:widowControl w:val="0"/>
        <w:wordWrap/>
        <w:adjustRightInd w:val="0"/>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14:paraId="6614E6E6">
      <w:pPr>
        <w:widowControl w:val="0"/>
        <w:wordWrap/>
        <w:spacing w:line="560" w:lineRule="exact"/>
        <w:ind w:left="0" w:right="0"/>
        <w:jc w:val="center"/>
        <w:textAlignment w:val="auto"/>
        <w:outlineLvl w:val="9"/>
        <w:rPr>
          <w:rFonts w:hint="eastAsia" w:ascii="宋体" w:hAnsi="宋体" w:eastAsia="宋体" w:cs="宋体"/>
          <w:sz w:val="44"/>
          <w:szCs w:val="44"/>
          <w:lang w:eastAsia="zh-CN"/>
        </w:rPr>
      </w:pPr>
      <w:r>
        <w:rPr>
          <w:rFonts w:hint="eastAsia" w:ascii="仿宋" w:hAnsi="仿宋" w:eastAsia="仿宋"/>
          <w:lang w:val="en-US" w:eastAsia="zh-CN"/>
        </w:rPr>
        <w:t xml:space="preserve">  </w:t>
      </w:r>
      <w:r>
        <w:rPr>
          <w:rFonts w:hint="eastAsia" w:ascii="宋体" w:hAnsi="宋体" w:eastAsia="宋体" w:cs="宋体"/>
          <w:sz w:val="44"/>
          <w:szCs w:val="44"/>
          <w:lang w:eastAsia="zh-CN"/>
        </w:rPr>
        <w:t>评价工作组人员名单</w:t>
      </w:r>
    </w:p>
    <w:tbl>
      <w:tblPr>
        <w:tblStyle w:val="13"/>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14:paraId="40A20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Pr>
          <w:p w14:paraId="08E30331">
            <w:pPr>
              <w:pStyle w:val="6"/>
              <w:ind w:left="0" w:firstLine="0" w:firstLineChars="0"/>
              <w:jc w:val="both"/>
              <w:rPr>
                <w:rFonts w:hint="eastAsia"/>
                <w:vertAlign w:val="baseline"/>
                <w:lang w:eastAsia="zh-CN"/>
              </w:rPr>
            </w:pPr>
            <w:r>
              <w:rPr>
                <w:rFonts w:hint="eastAsia"/>
                <w:vertAlign w:val="baseline"/>
                <w:lang w:val="en-US" w:eastAsia="zh-CN"/>
              </w:rPr>
              <w:t xml:space="preserve"> 序</w:t>
            </w:r>
            <w:r>
              <w:rPr>
                <w:rFonts w:hint="eastAsia"/>
                <w:vertAlign w:val="baseline"/>
                <w:lang w:eastAsia="zh-CN"/>
              </w:rPr>
              <w:t>号</w:t>
            </w:r>
          </w:p>
        </w:tc>
        <w:tc>
          <w:tcPr>
            <w:tcW w:w="1172" w:type="dxa"/>
          </w:tcPr>
          <w:p w14:paraId="6AE77D2D">
            <w:pPr>
              <w:pStyle w:val="6"/>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1856" w:type="dxa"/>
          </w:tcPr>
          <w:p w14:paraId="00948564">
            <w:pPr>
              <w:pStyle w:val="6"/>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工作单位</w:t>
            </w:r>
          </w:p>
        </w:tc>
        <w:tc>
          <w:tcPr>
            <w:tcW w:w="3071" w:type="dxa"/>
          </w:tcPr>
          <w:p w14:paraId="757D9D29">
            <w:pPr>
              <w:pStyle w:val="6"/>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职务</w:t>
            </w:r>
          </w:p>
        </w:tc>
        <w:tc>
          <w:tcPr>
            <w:tcW w:w="1813" w:type="dxa"/>
          </w:tcPr>
          <w:p w14:paraId="4850D007">
            <w:pPr>
              <w:pStyle w:val="6"/>
              <w:jc w:val="both"/>
              <w:rPr>
                <w:rFonts w:hint="eastAsia"/>
                <w:vertAlign w:val="baseline"/>
                <w:lang w:eastAsia="zh-CN"/>
              </w:rPr>
            </w:pPr>
            <w:r>
              <w:rPr>
                <w:rFonts w:hint="eastAsia"/>
                <w:vertAlign w:val="baseline"/>
                <w:lang w:eastAsia="zh-CN"/>
              </w:rPr>
              <w:t>签名</w:t>
            </w:r>
          </w:p>
        </w:tc>
      </w:tr>
      <w:tr w14:paraId="7476F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14:paraId="387E23A3">
            <w:pPr>
              <w:pStyle w:val="6"/>
              <w:ind w:left="0" w:firstLine="0" w:firstLineChars="0"/>
              <w:jc w:val="both"/>
              <w:rPr>
                <w:rFonts w:hint="eastAsia"/>
                <w:vertAlign w:val="baseline"/>
                <w:lang w:val="en-US" w:eastAsia="zh-CN"/>
              </w:rPr>
            </w:pPr>
            <w:r>
              <w:rPr>
                <w:rFonts w:hint="eastAsia"/>
                <w:vertAlign w:val="baseline"/>
                <w:lang w:val="en-US" w:eastAsia="zh-CN"/>
              </w:rPr>
              <w:t xml:space="preserve">  1</w:t>
            </w:r>
          </w:p>
        </w:tc>
        <w:tc>
          <w:tcPr>
            <w:tcW w:w="1172" w:type="dxa"/>
            <w:tcBorders>
              <w:top w:val="single" w:color="auto" w:sz="4" w:space="0"/>
              <w:left w:val="single" w:color="auto" w:sz="4" w:space="0"/>
              <w:right w:val="single" w:color="auto" w:sz="4" w:space="0"/>
            </w:tcBorders>
          </w:tcPr>
          <w:p w14:paraId="5E324129">
            <w:pPr>
              <w:pStyle w:val="6"/>
              <w:ind w:left="0" w:firstLine="0" w:firstLineChars="0"/>
              <w:jc w:val="both"/>
              <w:rPr>
                <w:rFonts w:hint="eastAsia"/>
                <w:vertAlign w:val="baseline"/>
                <w:lang w:eastAsia="zh-CN"/>
              </w:rPr>
            </w:pPr>
            <w:r>
              <w:rPr>
                <w:vertAlign w:val="baseline"/>
                <w:lang w:eastAsia="zh-CN"/>
              </w:rPr>
              <w:t>许海龙</w:t>
            </w:r>
          </w:p>
        </w:tc>
        <w:tc>
          <w:tcPr>
            <w:tcW w:w="1856" w:type="dxa"/>
            <w:tcBorders>
              <w:top w:val="single" w:color="auto" w:sz="4" w:space="0"/>
              <w:left w:val="single" w:color="auto" w:sz="4" w:space="0"/>
              <w:right w:val="single" w:color="auto" w:sz="4" w:space="0"/>
            </w:tcBorders>
            <w:vAlign w:val="center"/>
          </w:tcPr>
          <w:p w14:paraId="20445496">
            <w:pPr>
              <w:pStyle w:val="6"/>
              <w:ind w:left="0" w:firstLine="0" w:firstLineChars="0"/>
              <w:jc w:val="center"/>
              <w:rPr>
                <w:rFonts w:hint="eastAsia"/>
                <w:vertAlign w:val="baseline"/>
                <w:lang w:eastAsia="zh-CN"/>
              </w:rPr>
            </w:pPr>
            <w:r>
              <w:rPr>
                <w:rFonts w:hint="eastAsia"/>
                <w:vertAlign w:val="baseline"/>
                <w:lang w:eastAsia="zh-CN"/>
              </w:rPr>
              <w:t>区委办</w:t>
            </w:r>
          </w:p>
        </w:tc>
        <w:tc>
          <w:tcPr>
            <w:tcW w:w="3071" w:type="dxa"/>
            <w:tcBorders>
              <w:top w:val="single" w:color="auto" w:sz="4" w:space="0"/>
              <w:left w:val="single" w:color="auto" w:sz="4" w:space="0"/>
              <w:right w:val="single" w:color="auto" w:sz="4" w:space="0"/>
            </w:tcBorders>
          </w:tcPr>
          <w:p w14:paraId="441BBAFE">
            <w:pPr>
              <w:pStyle w:val="6"/>
              <w:ind w:left="0" w:firstLine="0" w:firstLineChars="0"/>
              <w:jc w:val="center"/>
              <w:rPr>
                <w:rFonts w:hint="eastAsia"/>
                <w:vertAlign w:val="baseline"/>
                <w:lang w:eastAsia="zh-CN"/>
              </w:rPr>
            </w:pPr>
            <w:r>
              <w:rPr>
                <w:rFonts w:hint="eastAsia"/>
                <w:vertAlign w:val="baseline"/>
                <w:lang w:eastAsia="zh-CN"/>
              </w:rPr>
              <w:t>区委办常务副主任</w:t>
            </w:r>
          </w:p>
        </w:tc>
        <w:tc>
          <w:tcPr>
            <w:tcW w:w="1813" w:type="dxa"/>
            <w:tcBorders>
              <w:top w:val="single" w:color="auto" w:sz="4" w:space="0"/>
              <w:left w:val="single" w:color="auto" w:sz="4" w:space="0"/>
              <w:right w:val="single" w:color="auto" w:sz="4" w:space="0"/>
            </w:tcBorders>
          </w:tcPr>
          <w:p w14:paraId="6D2BB372">
            <w:pPr>
              <w:pStyle w:val="6"/>
              <w:jc w:val="both"/>
              <w:rPr>
                <w:rFonts w:hint="eastAsia"/>
                <w:vertAlign w:val="baseline"/>
                <w:lang w:eastAsia="zh-CN"/>
              </w:rPr>
            </w:pPr>
          </w:p>
        </w:tc>
      </w:tr>
      <w:tr w14:paraId="51D76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14:paraId="1E9D33B1">
            <w:pPr>
              <w:pStyle w:val="6"/>
              <w:ind w:left="0" w:firstLine="0" w:firstLineChars="0"/>
              <w:jc w:val="both"/>
              <w:rPr>
                <w:rFonts w:hint="eastAsia"/>
                <w:vertAlign w:val="baseline"/>
                <w:lang w:val="en-US" w:eastAsia="zh-CN"/>
              </w:rPr>
            </w:pPr>
            <w:r>
              <w:rPr>
                <w:rFonts w:hint="eastAsia"/>
                <w:vertAlign w:val="baseline"/>
                <w:lang w:val="en-US" w:eastAsia="zh-CN"/>
              </w:rPr>
              <w:t xml:space="preserve">  2</w:t>
            </w:r>
          </w:p>
        </w:tc>
        <w:tc>
          <w:tcPr>
            <w:tcW w:w="1172" w:type="dxa"/>
            <w:tcBorders>
              <w:top w:val="single" w:color="auto" w:sz="4" w:space="0"/>
              <w:left w:val="single" w:color="auto" w:sz="4" w:space="0"/>
              <w:right w:val="single" w:color="auto" w:sz="4" w:space="0"/>
            </w:tcBorders>
          </w:tcPr>
          <w:p w14:paraId="275C2548">
            <w:pPr>
              <w:pStyle w:val="6"/>
              <w:ind w:left="0" w:firstLine="0" w:firstLineChars="0"/>
              <w:jc w:val="both"/>
              <w:rPr>
                <w:rFonts w:hint="eastAsia" w:eastAsia="仿宋_GB2312"/>
                <w:vertAlign w:val="baseline"/>
                <w:lang w:val="en-US" w:eastAsia="zh-CN"/>
              </w:rPr>
            </w:pPr>
            <w:r>
              <w:rPr>
                <w:rFonts w:hint="eastAsia"/>
                <w:vertAlign w:val="baseline"/>
                <w:lang w:val="en-US" w:eastAsia="zh-CN"/>
              </w:rPr>
              <w:t>丁荣德</w:t>
            </w:r>
          </w:p>
        </w:tc>
        <w:tc>
          <w:tcPr>
            <w:tcW w:w="1856" w:type="dxa"/>
            <w:tcBorders>
              <w:top w:val="single" w:color="auto" w:sz="4" w:space="0"/>
              <w:left w:val="single" w:color="auto" w:sz="4" w:space="0"/>
              <w:right w:val="single" w:color="auto" w:sz="4" w:space="0"/>
            </w:tcBorders>
            <w:vAlign w:val="center"/>
          </w:tcPr>
          <w:p w14:paraId="3BE1FD74">
            <w:pPr>
              <w:pStyle w:val="6"/>
              <w:ind w:left="0" w:firstLine="0" w:firstLineChars="0"/>
              <w:jc w:val="center"/>
              <w:rPr>
                <w:rFonts w:hint="eastAsia"/>
                <w:vertAlign w:val="baseline"/>
                <w:lang w:eastAsia="zh-CN"/>
              </w:rPr>
            </w:pPr>
            <w:r>
              <w:rPr>
                <w:rFonts w:hint="eastAsia"/>
                <w:vertAlign w:val="baseline"/>
                <w:lang w:eastAsia="zh-CN"/>
              </w:rPr>
              <w:t>区委办</w:t>
            </w:r>
          </w:p>
        </w:tc>
        <w:tc>
          <w:tcPr>
            <w:tcW w:w="3071" w:type="dxa"/>
            <w:tcBorders>
              <w:top w:val="single" w:color="auto" w:sz="4" w:space="0"/>
              <w:left w:val="single" w:color="auto" w:sz="4" w:space="0"/>
              <w:right w:val="single" w:color="auto" w:sz="4" w:space="0"/>
            </w:tcBorders>
          </w:tcPr>
          <w:p w14:paraId="4C3F1133">
            <w:pPr>
              <w:pStyle w:val="6"/>
              <w:ind w:left="0" w:firstLine="0" w:firstLineChars="0"/>
              <w:jc w:val="center"/>
              <w:rPr>
                <w:rFonts w:hint="eastAsia"/>
                <w:vertAlign w:val="baseline"/>
                <w:lang w:eastAsia="zh-CN"/>
              </w:rPr>
            </w:pPr>
            <w:r>
              <w:rPr>
                <w:vertAlign w:val="baseline"/>
                <w:lang w:eastAsia="zh-CN"/>
              </w:rPr>
              <w:t>区委办副主任</w:t>
            </w:r>
          </w:p>
        </w:tc>
        <w:tc>
          <w:tcPr>
            <w:tcW w:w="1813" w:type="dxa"/>
            <w:tcBorders>
              <w:top w:val="single" w:color="auto" w:sz="4" w:space="0"/>
              <w:left w:val="single" w:color="auto" w:sz="4" w:space="0"/>
              <w:right w:val="single" w:color="auto" w:sz="4" w:space="0"/>
            </w:tcBorders>
          </w:tcPr>
          <w:p w14:paraId="14325E3A">
            <w:pPr>
              <w:pStyle w:val="6"/>
              <w:jc w:val="both"/>
              <w:rPr>
                <w:rFonts w:hint="eastAsia"/>
                <w:vertAlign w:val="baseline"/>
                <w:lang w:eastAsia="zh-CN"/>
              </w:rPr>
            </w:pPr>
          </w:p>
        </w:tc>
      </w:tr>
    </w:tbl>
    <w:p w14:paraId="491E9791">
      <w:pPr>
        <w:widowControl w:val="0"/>
        <w:wordWrap/>
        <w:spacing w:line="560" w:lineRule="exact"/>
        <w:ind w:left="0" w:right="0"/>
        <w:textAlignment w:val="auto"/>
        <w:outlineLvl w:val="9"/>
        <w:rPr>
          <w:rFonts w:ascii="仿宋" w:hAnsi="仿宋" w:eastAsia="仿宋"/>
          <w:lang w:val="en-US" w:eastAsia="zh-CN"/>
        </w:rPr>
      </w:pPr>
    </w:p>
    <w:p w14:paraId="637CDC8F">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D94BF">
    <w:pPr>
      <w:pStyle w:val="10"/>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147875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147875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D633B7"/>
    <w:multiLevelType w:val="singleLevel"/>
    <w:tmpl w:val="8CD633B7"/>
    <w:lvl w:ilvl="0" w:tentative="0">
      <w:start w:val="2"/>
      <w:numFmt w:val="chineseCounting"/>
      <w:suff w:val="nothing"/>
      <w:lvlText w:val="（%1）"/>
      <w:lvlJc w:val="left"/>
      <w:pPr>
        <w:ind w:left="0"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hint="default"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0B6D7759"/>
    <w:rsid w:val="0ED9B76E"/>
    <w:rsid w:val="1193276E"/>
    <w:rsid w:val="132F62D2"/>
    <w:rsid w:val="1652128F"/>
    <w:rsid w:val="3362200B"/>
    <w:rsid w:val="38FA68B7"/>
    <w:rsid w:val="3FCDC52C"/>
    <w:rsid w:val="76833F37"/>
    <w:rsid w:val="7DDFDD4B"/>
    <w:rsid w:val="DF73D4B3"/>
    <w:rsid w:val="DFBF557A"/>
    <w:rsid w:val="EFDDA30D"/>
    <w:rsid w:val="FB5E5B4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qFormat="1" w:unhideWhenUsed="0" w:uiPriority="0" w:semiHidden="0" w:name="index 6"/>
    <w:lsdException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4">
    <w:name w:val="Default Paragraph Font"/>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5">
    <w:name w:val="index 8"/>
    <w:basedOn w:val="1"/>
    <w:next w:val="1"/>
    <w:autoRedefine/>
    <w:qFormat/>
    <w:uiPriority w:val="0"/>
    <w:pPr>
      <w:ind w:left="2940"/>
    </w:pPr>
  </w:style>
  <w:style w:type="paragraph" w:styleId="6">
    <w:name w:val="Normal Indent"/>
    <w:basedOn w:val="1"/>
    <w:next w:val="7"/>
    <w:qFormat/>
    <w:uiPriority w:val="0"/>
    <w:pPr>
      <w:widowControl w:val="0"/>
      <w:ind w:firstLine="200" w:firstLineChars="200"/>
      <w:jc w:val="both"/>
    </w:pPr>
    <w:rPr>
      <w:rFonts w:ascii="Calibri" w:hAnsi="Calibri" w:eastAsia="仿宋_GB2312" w:cs="黑体"/>
      <w:kern w:val="2"/>
      <w:sz w:val="30"/>
      <w:szCs w:val="22"/>
      <w:lang w:val="en-US" w:eastAsia="zh-CN" w:bidi="ar-SA"/>
    </w:rPr>
  </w:style>
  <w:style w:type="paragraph" w:styleId="7">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8">
    <w:name w:val="index 5"/>
    <w:basedOn w:val="1"/>
    <w:next w:val="1"/>
    <w:autoRedefine/>
    <w:qFormat/>
    <w:uiPriority w:val="0"/>
    <w:pPr>
      <w:ind w:left="1680"/>
    </w:pPr>
  </w:style>
  <w:style w:type="paragraph" w:styleId="9">
    <w:name w:val="index 6"/>
    <w:basedOn w:val="1"/>
    <w:next w:val="1"/>
    <w:autoRedefine/>
    <w:qFormat/>
    <w:uiPriority w:val="0"/>
    <w:pPr>
      <w:ind w:left="2100"/>
    </w:pPr>
  </w:style>
  <w:style w:type="paragraph" w:styleId="10">
    <w:name w:val="footer"/>
    <w:basedOn w:val="1"/>
    <w:qFormat/>
    <w:uiPriority w:val="0"/>
    <w:pPr>
      <w:tabs>
        <w:tab w:val="center" w:pos="4153"/>
        <w:tab w:val="right" w:pos="8306"/>
      </w:tabs>
      <w:snapToGrid w:val="0"/>
      <w:jc w:val="left"/>
    </w:pPr>
    <w:rPr>
      <w:sz w:val="18"/>
    </w:rPr>
  </w:style>
  <w:style w:type="paragraph" w:styleId="11">
    <w:name w:val="toc 1"/>
    <w:basedOn w:val="1"/>
    <w:next w:val="1"/>
    <w:autoRedefine/>
    <w:qFormat/>
    <w:uiPriority w:val="0"/>
  </w:style>
  <w:style w:type="paragraph" w:styleId="12">
    <w:name w:val="index 9"/>
    <w:basedOn w:val="1"/>
    <w:next w:val="1"/>
    <w:autoRedefine/>
    <w:qFormat/>
    <w:uiPriority w:val="0"/>
    <w:pPr>
      <w:ind w:left="3360"/>
    </w:pPr>
  </w:style>
  <w:style w:type="paragraph" w:customStyle="1" w:styleId="15">
    <w:name w:val="单元格样式1"/>
    <w:basedOn w:val="1"/>
    <w:qFormat/>
    <w:uiPriority w:val="0"/>
    <w:pPr>
      <w:widowControl w:val="0"/>
      <w:jc w:val="center"/>
    </w:pPr>
    <w:rPr>
      <w:rFonts w:ascii="方正书宋_GBK" w:hAnsi="方正书宋_GBK" w:eastAsia="方正书宋_GBK" w:cs="方正书宋_GBK"/>
      <w:b/>
      <w:kern w:val="2"/>
      <w:sz w:val="21"/>
      <w:szCs w:val="22"/>
      <w:lang w:val="en-US" w:eastAsia="zh-CN" w:bidi="ar-SA"/>
    </w:rPr>
  </w:style>
  <w:style w:type="paragraph" w:customStyle="1" w:styleId="16">
    <w:name w:val="单元格样式2"/>
    <w:basedOn w:val="1"/>
    <w:qFormat/>
    <w:uiPriority w:val="0"/>
    <w:pPr>
      <w:widowControl w:val="0"/>
      <w:jc w:val="both"/>
    </w:pPr>
    <w:rPr>
      <w:rFonts w:ascii="方正书宋_GBK" w:hAnsi="方正书宋_GBK" w:eastAsia="方正书宋_GBK" w:cs="方正书宋_GBK"/>
      <w:kern w:val="2"/>
      <w:sz w:val="21"/>
      <w:szCs w:val="22"/>
      <w:lang w:val="en-US" w:eastAsia="zh-CN" w:bidi="ar-SA"/>
    </w:rPr>
  </w:style>
  <w:style w:type="paragraph" w:customStyle="1" w:styleId="17">
    <w:name w:val="单元格样式3"/>
    <w:basedOn w:val="1"/>
    <w:qFormat/>
    <w:uiPriority w:val="0"/>
    <w:pPr>
      <w:widowControl w:val="0"/>
      <w:jc w:val="center"/>
    </w:pPr>
    <w:rPr>
      <w:rFonts w:ascii="方正书宋_GBK" w:hAnsi="方正书宋_GBK" w:eastAsia="方正书宋_GBK" w:cs="方正书宋_GBK"/>
      <w:kern w:val="2"/>
      <w:sz w:val="21"/>
      <w:szCs w:val="22"/>
      <w:lang w:val="en-US" w:eastAsia="zh-CN" w:bidi="ar-SA"/>
    </w:rPr>
  </w:style>
  <w:style w:type="paragraph" w:customStyle="1" w:styleId="18">
    <w:name w:val="插入文本样式-插入总体目标文件"/>
    <w:basedOn w:val="1"/>
    <w:qFormat/>
    <w:uiPriority w:val="0"/>
    <w:pPr>
      <w:widowControl w:val="0"/>
      <w:spacing w:line="500" w:lineRule="exact"/>
      <w:ind w:firstLine="560"/>
      <w:jc w:val="both"/>
    </w:pPr>
    <w:rPr>
      <w:rFonts w:ascii="Calibri" w:hAnsi="Calibri" w:eastAsia="方正仿宋_GBK" w:cs="黑体"/>
      <w:kern w:val="2"/>
      <w:sz w:val="28"/>
      <w:szCs w:val="22"/>
      <w:lang w:val="en-US" w:eastAsia="zh-CN" w:bidi="ar-SA"/>
    </w:rPr>
  </w:style>
  <w:style w:type="paragraph" w:customStyle="1" w:styleId="19">
    <w:name w:val="插入文本样式-插入职责分类绩效目标文件"/>
    <w:basedOn w:val="1"/>
    <w:qFormat/>
    <w:uiPriority w:val="0"/>
    <w:pPr>
      <w:widowControl w:val="0"/>
      <w:spacing w:line="500" w:lineRule="exact"/>
      <w:ind w:firstLine="560"/>
      <w:jc w:val="both"/>
    </w:pPr>
    <w:rPr>
      <w:rFonts w:ascii="Calibri" w:hAnsi="Calibri" w:eastAsia="方正仿宋_GBK" w:cs="黑体"/>
      <w:kern w:val="2"/>
      <w:sz w:val="28"/>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xmlns="http://www.yozosoft.com.cn/officeDocument/2016/customData">
    <docPr xmlns="http://www.yozosoft.com.cn/officeDocument/2016/customData" revisions="3 0 5 0 0 0 1 0 0 0 3000 0 1 1 1 1"/>
    <sectPr xmlns="http://www.yozosoft.com.cn/officeDocument/2016/customData"/>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5C06537-FAA0-475D-82E8-73A19D258C88}">
  <ds:schemaRefs/>
</ds:datastoreItem>
</file>

<file path=docProps/app.xml><?xml version="1.0" encoding="utf-8"?>
<Properties xmlns="http://schemas.openxmlformats.org/officeDocument/2006/extended-properties" xmlns:vt="http://schemas.openxmlformats.org/officeDocument/2006/docPropsVTypes">
  <Template>Normal.eit</Template>
  <Pages>6</Pages>
  <Words>2616</Words>
  <Characters>2746</Characters>
  <Lines>0</Lines>
  <Paragraphs>93</Paragraphs>
  <TotalTime>28</TotalTime>
  <ScaleCrop>false</ScaleCrop>
  <LinksUpToDate>false</LinksUpToDate>
  <CharactersWithSpaces>2775</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FreefrAnk</cp:lastModifiedBy>
  <cp:lastPrinted>2024-03-06T15:40:00Z</cp:lastPrinted>
  <dcterms:modified xsi:type="dcterms:W3CDTF">2025-12-26T09:46:39Z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C801E6F2E9CB44E288A08A5E46BB967A_13</vt:lpwstr>
  </property>
  <property fmtid="{D5CDD505-2E9C-101B-9397-08002B2CF9AE}" pid="4" name="KSOTemplateDocerSaveRecord">
    <vt:lpwstr>eyJoZGlkIjoiZjczMDZkNDRiZDdhZjExNTAyZWE2ZWI4OGU2YzBiY2EiLCJ1c2VySWQiOiIzMzAzNzY0NDcifQ==</vt:lpwstr>
  </property>
</Properties>
</file>