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井陉矿区农业农村局</w:t>
      </w:r>
      <w:r>
        <w:rPr>
          <w:rFonts w:hint="eastAsia" w:ascii="宋体" w:hAnsi="宋体" w:cs="宋体"/>
          <w:b/>
          <w:bCs/>
          <w:sz w:val="44"/>
          <w:szCs w:val="44"/>
        </w:rPr>
        <w:t>部门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ascii="宋体" w:hAnsi="宋体" w:cs="宋体"/>
          <w:b/>
          <w:bCs/>
          <w:sz w:val="44"/>
          <w:szCs w:val="44"/>
        </w:rPr>
        <w:t>4</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贯彻落实区委区政府《关于全面落实预算绩效管理的实施意见》（矿发﹝2019﹞7号）文件精神，遵循“科学性、规范性、客观性和公正性”的原则，对</w:t>
      </w:r>
      <w:r>
        <w:rPr>
          <w:rFonts w:hint="eastAsia" w:ascii="仿宋_GB2312" w:hAnsi="仿宋_GB2312" w:eastAsia="仿宋_GB2312" w:cs="仿宋_GB2312"/>
          <w:sz w:val="32"/>
          <w:szCs w:val="32"/>
          <w:lang w:eastAsia="zh-CN"/>
        </w:rPr>
        <w:t>井陉矿区农业农村局</w:t>
      </w:r>
      <w:r>
        <w:rPr>
          <w:rFonts w:hint="eastAsia" w:ascii="仿宋_GB2312" w:hAnsi="仿宋_GB2312" w:eastAsia="仿宋_GB2312" w:cs="仿宋_GB2312"/>
          <w:sz w:val="32"/>
          <w:szCs w:val="32"/>
        </w:rPr>
        <w:t>部门2024年整体支出情况实施了财政支出绩效自评价，形成本评价报告。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w:t>
      </w:r>
      <w:r>
        <w:rPr>
          <w:rFonts w:hint="eastAsia" w:ascii="黑体" w:hAnsi="黑体" w:eastAsia="黑体"/>
          <w:b/>
          <w:bCs/>
          <w:sz w:val="32"/>
          <w:szCs w:val="32"/>
        </w:rPr>
        <w:t xml:space="preserve">    一、部门</w:t>
      </w:r>
      <w:r>
        <w:rPr>
          <w:rFonts w:hint="eastAsia" w:ascii="黑体" w:hAnsi="黑体" w:eastAsia="黑体"/>
          <w:b/>
          <w:bCs/>
          <w:sz w:val="32"/>
          <w:szCs w:val="36"/>
        </w:rPr>
        <w:t>基本情况</w:t>
      </w:r>
    </w:p>
    <w:p>
      <w:pPr>
        <w:adjustRightInd w:val="0"/>
        <w:snapToGrid w:val="0"/>
        <w:spacing w:line="560" w:lineRule="exact"/>
        <w:ind w:firstLine="643" w:firstLineChars="200"/>
        <w:rPr>
          <w:rFonts w:ascii="楷体" w:hAnsi="楷体" w:eastAsia="楷体" w:cs="楷体_GB2312"/>
          <w:b/>
          <w:bCs w:val="0"/>
          <w:sz w:val="32"/>
          <w:szCs w:val="32"/>
        </w:rPr>
      </w:pPr>
      <w:r>
        <w:rPr>
          <w:rFonts w:hint="eastAsia" w:ascii="楷体" w:hAnsi="楷体" w:eastAsia="楷体" w:cs="楷体_GB2312"/>
          <w:b/>
          <w:bCs w:val="0"/>
          <w:sz w:val="32"/>
          <w:szCs w:val="32"/>
        </w:rPr>
        <w:t>（一）部门概况</w:t>
      </w:r>
    </w:p>
    <w:p>
      <w:pPr>
        <w:keepNext w:val="0"/>
        <w:keepLines w:val="0"/>
        <w:pageBreakBefore w:val="0"/>
        <w:widowControl w:val="0"/>
        <w:kinsoku/>
        <w:wordWrap/>
        <w:overflowPunct/>
        <w:topLinePunct w:val="0"/>
        <w:autoSpaceDE/>
        <w:autoSpaceDN/>
        <w:bidi w:val="0"/>
        <w:snapToGrid w:val="0"/>
        <w:spacing w:line="540" w:lineRule="exact"/>
        <w:ind w:firstLine="643" w:firstLineChars="200"/>
        <w:textAlignment w:val="auto"/>
        <w:rPr>
          <w:rFonts w:hint="eastAsia" w:ascii="仿宋_GB2312" w:hAnsi="仿宋" w:eastAsia="仿宋_GB2312"/>
          <w:b/>
          <w:bCs/>
          <w:sz w:val="32"/>
          <w:szCs w:val="32"/>
        </w:rPr>
      </w:pPr>
      <w:r>
        <w:rPr>
          <w:rFonts w:hint="eastAsia" w:ascii="仿宋_GB2312" w:hAnsi="仿宋" w:eastAsia="仿宋_GB2312"/>
          <w:b/>
          <w:bCs/>
          <w:sz w:val="32"/>
          <w:szCs w:val="32"/>
        </w:rPr>
        <w:t>1．主要职能</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贯彻落实中央和省、市、区委关于“三农”、水利工作的方针政策和决策部署，坚持和加强党对“三农”、水利工作的集中统一领导。主要职责是：</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一）统筹研究和组织实施全区“三农”工作的发展战略、中长期规划、重大政策。贯彻落实农业农村有关地方性法规，组织起草政府规章草案，负责全区农业综合执法。参与涉农的财税、价格、收储、金融保险、进出口等政策制定。</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（二）协调推动发展全区农村社会事业、农村公共服务、农村文化、农村基础设施和乡村治理。牵头组织改善农村人居环境。协调推进乡村文明和优秀农耕文化建设。指导农业行业安全生产工作。</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三）拟订区级深化农村经济体制改革和巩固完善农村基本经营制度的政策措施。负责农民承包地改革和管理有关工作。负责农村集体产权制度改革，指导农村集体经济组织发展和集体资产管理工作。指导农民合作经济组织、农业社会化服务体系、新型农业经营主体建设与发展。</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四）指导全区乡村产业、农产品加工业和休闲农业发展工作。提出促进大宗农产品流通的建议，培育、保护农业品牌。发布农业农村经济信息，监测分析农业农村经济运行。承担农业统计和农业农村信息化有关工作。</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五）负责全区种植业、畜牧业、渔业、农垦、农业机械化等农业各产业的监督管理。指导粮、棉、油、菜、水果、肉、蛋、奶、蜜、渔等农产品生产。组织构建现代农业产业体系、生产体系、经营体系，指导农业标准化生产。负责渔业管理和渔政监督管理。</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（六）负责全区农产品质量安全监督管理。组织开展农产品质量安全监测、追溯、风险评估和监督抽查。指导农业检验监测体系建设。</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七）负责全区农业资源保护、开发与利用。指导农用地、渔业水域以及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八）负责有关农业生产资料和农业投入品的监督管理。组织农业生产资料市场体系建设，执行有关农业生产资料市级标准并监督实施。执行兽药残留限量和残留检测方法市级标准。组织兽医医政、兽药药政药检工作，负责执业兽医和畜禽屠宰行业管理。</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（九）负责农业防灾减灾、农作物重大病虫害预测预报及防治工作。指导动植物防疫检疫体系建设，组织、监督全区动植物防疫检疫工作，依法发布疫情并组织扑灭。</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（十）负责农业投资管理。提出农业投融资体制机制改革建议。编制区级投资安排的农业投资项目建设规划，提出农业投资规模和方向、扶持农业农村发展财政项目的建议， 按规定权限审批农业投资项目，负责农业投资项目资金安排和监督管理。</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（十二）负责农业农村人才工作。拟订农业农村人才队伍建设规划并组织实施，指导农业教育和农业职业技能开发，指导新型职业农民培育、农业科技人才培养和农村实用人才培训工作。</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（十三）牵头开展农业对外合作工作。组织开展对外农业贸易和有关交流合作。</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（十四）负责保障水资源合理开发利用，贯彻落实上级水利政策法规，拟订水利战略规划，起草有关政府规章草案,组织编制全区水资源战略规划、重要河流湖泊流域综合规划、防洪规划等重大水利规划。</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十五）负责生活、生产经营和生态环境用水的统筹和保障。组织实施最严格水资源管理制度,实施水资源的统一监督管理，拟订全区水中长期供求规划、水量分配方案并监督实施。负责重要流域、区域以及重大调水工程的水资源调度。指导开展水资源有偿使用工作。指导水利行业供水和乡（镇）供水工作。</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十六）按规定制定水利工程建设有关制度并组织实施,负责提出区级水利固定资产投资规模、方向、具体安排建议并组织指导实施,按规定权限审核区规划内和年度计划规模内固定资产投资项目,提出区级水利资金安排建议并负责项目实施的监督管理。</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十七）负责水资源保护工作。组织编制并实施水资源保护规划。按规定开展饮用水水源保护有关工作,负责地下水开发利用和地下水资源管理保护。负责地下水超采区综合治理。负责组织对河流湖库和地下水实施监测,发布水资源信息和水资源公报,按规定组织开展水资源、水能资源调查评价和水资源承载能力监测预警工作。</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（十八）负责节约用水工作。贯彻落实节约用水政策,组织编制节约用水规划并监督实施。组织实施用水总量控制等管理制度,指导和推动节水型社会建设工作。</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十九）指导水利设施、水域及其岸线的管理、保护与综合利用。负责水利基础设施网络建设。负责主要河流湖泊及河口的治理、开发和保护。负责河湖水生态保护与修复、河湖生态流量水量管理以及河湖水系连通工作。</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（二十）负责监督水利工程建设与运行管理。组织实施重要水利工程建设与运行管理。指导监督工程安全运行,按规定负责工程验收有关工作。</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（二十一）负责水土保持工作。拟订水土保持规划并监督实施，组织实施水土流失的综合防治、监测预报。负责建设项目水土保持监督管理工作。</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（二十二）指导农村水利工作。指导农村饮水安全工程建设管理工作,指导节水灌溉有关工作。指导农村水利改革创新和社会化服务体系建设。指导农村水能资源开发、小水电改造和水电农村电气化工作。</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（二十三）负责水库、水电工程移民管理工作。负责贯彻落实水库、水电工程移民有关政策并监督实施,按规定组织实施移民安置验收、监督评估等工作。指导监督水库移民后期扶持政策的实施。</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二十四）负责重大涉水违法事件的查处,协调和仲裁水事纠纷,指导水政监察和水行政执法。依法负责水利行业安全生产工作,负责水库、水电站大坝、农村水电站的安全监管。负责水利建设市场的监督管理,组织实施水利工程建设的监督。</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（二十五）组织开展水利行业质量监督工作。监督实施水利行业的技术标准、规程规范。组织指导水利科学研究、技术引进和科技推广,开展水利交流与合作。</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二十六）负责落实综合防灾减灾规划相关要求,组织编制洪水干旱灾害防治规划。承担水情旱情监测预警工作。组织编制重要河道和重要水工程的防御洪水抗御旱灾调度及应急水量调度方案,按程序报批并组织实施。承担防御洪水应急抢险的技术支撑工作。</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（二十七）完成区委、区政府和区委农村工作领导小组交办的其他任务。</w:t>
      </w:r>
    </w:p>
    <w:p>
      <w:pPr>
        <w:keepNext w:val="0"/>
        <w:keepLines w:val="0"/>
        <w:pageBreakBefore w:val="0"/>
        <w:widowControl w:val="0"/>
        <w:numPr>
          <w:ilvl w:val="0"/>
          <w:numId w:val="1"/>
        </w:numPr>
        <w:kinsoku/>
        <w:wordWrap/>
        <w:overflowPunct/>
        <w:topLinePunct w:val="0"/>
        <w:autoSpaceDE/>
        <w:autoSpaceDN/>
        <w:bidi w:val="0"/>
        <w:snapToGrid w:val="0"/>
        <w:spacing w:line="54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机构</w:t>
      </w:r>
      <w:r>
        <w:rPr>
          <w:rFonts w:hint="eastAsia" w:ascii="仿宋_GB2312" w:hAnsi="仿宋_GB2312" w:eastAsia="仿宋_GB2312" w:cs="仿宋_GB2312"/>
          <w:b/>
          <w:bCs/>
          <w:sz w:val="32"/>
          <w:szCs w:val="32"/>
          <w:lang w:eastAsia="zh-CN"/>
        </w:rPr>
        <w:t>及人员</w:t>
      </w:r>
      <w:r>
        <w:rPr>
          <w:rFonts w:hint="eastAsia" w:ascii="仿宋_GB2312" w:hAnsi="仿宋_GB2312" w:eastAsia="仿宋_GB2312" w:cs="仿宋_GB2312"/>
          <w:b/>
          <w:bCs/>
          <w:sz w:val="32"/>
          <w:szCs w:val="32"/>
        </w:rPr>
        <w:t>情况</w:t>
      </w:r>
    </w:p>
    <w:p>
      <w:pPr>
        <w:spacing w:line="560" w:lineRule="exact"/>
        <w:ind w:firstLine="630"/>
        <w:rPr>
          <w:rFonts w:hint="eastAsia" w:ascii="仿宋_GB2312" w:hAnsi="仿宋_GB2312"/>
          <w:color w:val="auto"/>
          <w:sz w:val="32"/>
          <w:szCs w:val="32"/>
          <w:highlight w:val="none"/>
        </w:rPr>
      </w:pPr>
      <w:r>
        <w:rPr>
          <w:rFonts w:hint="eastAsia" w:ascii="仿宋_GB2312" w:eastAsia="仿宋_GB2312" w:cs="仿宋_GB2312"/>
          <w:color w:val="auto"/>
          <w:sz w:val="32"/>
          <w:szCs w:val="32"/>
          <w:lang w:eastAsia="zh-CN" w:bidi="ar-SA"/>
        </w:rPr>
        <w:t>区农业农村</w:t>
      </w:r>
      <w:r>
        <w:rPr>
          <w:rFonts w:hint="eastAsia" w:ascii="仿宋_GB2312" w:eastAsia="仿宋_GB2312" w:cs="仿宋_GB2312"/>
          <w:color w:val="auto"/>
          <w:sz w:val="32"/>
          <w:szCs w:val="32"/>
          <w:lang w:bidi="ar-SA"/>
        </w:rPr>
        <w:t>局机关内设</w:t>
      </w:r>
      <w:r>
        <w:rPr>
          <w:rFonts w:hint="eastAsia" w:ascii="仿宋_GB2312" w:eastAsia="仿宋_GB2312" w:cs="仿宋_GB2312"/>
          <w:color w:val="auto"/>
          <w:sz w:val="32"/>
          <w:szCs w:val="32"/>
          <w:lang w:eastAsia="zh-CN" w:bidi="ar-SA"/>
        </w:rPr>
        <w:t>农业工作办公室</w:t>
      </w:r>
      <w:r>
        <w:rPr>
          <w:rFonts w:hint="eastAsia" w:ascii="仿宋_GB2312" w:eastAsia="仿宋_GB2312" w:cs="仿宋_GB2312"/>
          <w:color w:val="auto"/>
          <w:sz w:val="32"/>
          <w:szCs w:val="32"/>
          <w:lang w:bidi="ar-SA"/>
        </w:rPr>
        <w:t>等</w:t>
      </w:r>
      <w:r>
        <w:rPr>
          <w:rFonts w:hint="eastAsia" w:ascii="仿宋_GB2312" w:eastAsia="仿宋_GB2312" w:cs="仿宋_GB2312"/>
          <w:color w:val="auto"/>
          <w:sz w:val="32"/>
          <w:szCs w:val="32"/>
          <w:lang w:val="en-US" w:eastAsia="zh-CN" w:bidi="ar-SA"/>
        </w:rPr>
        <w:t>7</w:t>
      </w:r>
      <w:r>
        <w:rPr>
          <w:rFonts w:hint="eastAsia" w:ascii="仿宋_GB2312" w:eastAsia="仿宋_GB2312" w:cs="仿宋_GB2312"/>
          <w:color w:val="auto"/>
          <w:sz w:val="32"/>
          <w:szCs w:val="32"/>
          <w:lang w:bidi="ar-SA"/>
        </w:rPr>
        <w:t>个职能</w:t>
      </w:r>
      <w:r>
        <w:rPr>
          <w:rFonts w:hint="eastAsia" w:ascii="仿宋_GB2312" w:eastAsia="仿宋_GB2312" w:cs="仿宋_GB2312"/>
          <w:color w:val="auto"/>
          <w:sz w:val="32"/>
          <w:szCs w:val="32"/>
          <w:lang w:eastAsia="zh-CN" w:bidi="ar-SA"/>
        </w:rPr>
        <w:t>科</w:t>
      </w:r>
      <w:r>
        <w:rPr>
          <w:rFonts w:hint="eastAsia" w:ascii="仿宋_GB2312" w:eastAsia="仿宋_GB2312" w:cs="仿宋_GB2312"/>
          <w:color w:val="auto"/>
          <w:sz w:val="32"/>
          <w:szCs w:val="32"/>
          <w:lang w:bidi="ar-SA"/>
        </w:rPr>
        <w:t>室，</w:t>
      </w:r>
      <w:r>
        <w:rPr>
          <w:rFonts w:hint="eastAsia" w:ascii="仿宋_GB2312" w:eastAsia="仿宋_GB2312" w:cs="仿宋_GB2312"/>
          <w:b w:val="0"/>
          <w:bCs w:val="0"/>
          <w:color w:val="auto"/>
          <w:sz w:val="32"/>
          <w:szCs w:val="32"/>
          <w:lang w:eastAsia="zh-CN" w:bidi="ar-SA"/>
        </w:rPr>
        <w:t>行政</w:t>
      </w:r>
      <w:r>
        <w:rPr>
          <w:rFonts w:hint="eastAsia" w:ascii="仿宋_GB2312" w:eastAsia="仿宋_GB2312" w:cs="仿宋_GB2312"/>
          <w:b w:val="0"/>
          <w:bCs w:val="0"/>
          <w:color w:val="auto"/>
          <w:sz w:val="32"/>
          <w:szCs w:val="32"/>
          <w:lang w:bidi="ar-SA"/>
        </w:rPr>
        <w:t>编制</w:t>
      </w:r>
      <w:r>
        <w:rPr>
          <w:rFonts w:hint="eastAsia" w:ascii="仿宋_GB2312" w:eastAsia="仿宋_GB2312" w:cs="仿宋_GB2312"/>
          <w:b w:val="0"/>
          <w:bCs w:val="0"/>
          <w:color w:val="auto"/>
          <w:sz w:val="32"/>
          <w:szCs w:val="32"/>
          <w:lang w:val="en-US" w:eastAsia="zh-CN" w:bidi="ar-SA"/>
        </w:rPr>
        <w:t>8</w:t>
      </w:r>
      <w:r>
        <w:rPr>
          <w:rFonts w:hint="eastAsia" w:ascii="仿宋_GB2312" w:eastAsia="仿宋_GB2312" w:cs="仿宋_GB2312"/>
          <w:b w:val="0"/>
          <w:bCs w:val="0"/>
          <w:color w:val="auto"/>
          <w:sz w:val="32"/>
          <w:szCs w:val="32"/>
          <w:lang w:bidi="ar-SA"/>
        </w:rPr>
        <w:t>人，</w:t>
      </w:r>
      <w:r>
        <w:rPr>
          <w:rFonts w:hint="eastAsia" w:ascii="仿宋_GB2312" w:eastAsia="仿宋_GB2312" w:cs="仿宋_GB2312"/>
          <w:b w:val="0"/>
          <w:bCs w:val="0"/>
          <w:color w:val="auto"/>
          <w:sz w:val="32"/>
          <w:szCs w:val="32"/>
          <w:lang w:eastAsia="zh-CN" w:bidi="ar-SA"/>
        </w:rPr>
        <w:t>事业编制</w:t>
      </w:r>
      <w:r>
        <w:rPr>
          <w:rFonts w:hint="eastAsia" w:ascii="仿宋_GB2312" w:eastAsia="仿宋_GB2312" w:cs="仿宋_GB2312"/>
          <w:b w:val="0"/>
          <w:bCs w:val="0"/>
          <w:color w:val="auto"/>
          <w:sz w:val="32"/>
          <w:szCs w:val="32"/>
          <w:lang w:val="en-US" w:eastAsia="zh-CN" w:bidi="ar-SA"/>
        </w:rPr>
        <w:t>42人，</w:t>
      </w:r>
      <w:r>
        <w:rPr>
          <w:rFonts w:hint="eastAsia" w:ascii="仿宋_GB2312" w:eastAsia="仿宋_GB2312" w:cs="仿宋_GB2312"/>
          <w:color w:val="auto"/>
          <w:sz w:val="32"/>
          <w:szCs w:val="32"/>
          <w:lang w:bidi="ar-SA"/>
        </w:rPr>
        <w:t>202</w:t>
      </w:r>
      <w:r>
        <w:rPr>
          <w:rFonts w:hint="eastAsia" w:ascii="仿宋_GB2312" w:eastAsia="仿宋_GB2312" w:cs="仿宋_GB2312"/>
          <w:color w:val="auto"/>
          <w:sz w:val="32"/>
          <w:szCs w:val="32"/>
          <w:lang w:val="en-US" w:eastAsia="zh-CN" w:bidi="ar-SA"/>
        </w:rPr>
        <w:t>4</w:t>
      </w:r>
      <w:r>
        <w:rPr>
          <w:rFonts w:hint="eastAsia" w:ascii="仿宋_GB2312" w:eastAsia="仿宋_GB2312" w:cs="仿宋_GB2312"/>
          <w:color w:val="auto"/>
          <w:sz w:val="32"/>
          <w:szCs w:val="32"/>
          <w:lang w:bidi="ar-SA"/>
        </w:rPr>
        <w:t>年末实有</w:t>
      </w:r>
      <w:r>
        <w:rPr>
          <w:rFonts w:hint="eastAsia" w:ascii="仿宋_GB2312" w:eastAsia="仿宋_GB2312" w:cs="仿宋_GB2312"/>
          <w:color w:val="auto"/>
          <w:sz w:val="32"/>
          <w:szCs w:val="32"/>
          <w:lang w:val="en-US" w:eastAsia="zh-CN" w:bidi="ar-SA"/>
        </w:rPr>
        <w:t>37</w:t>
      </w:r>
      <w:r>
        <w:rPr>
          <w:rFonts w:hint="eastAsia" w:ascii="仿宋_GB2312" w:eastAsia="仿宋_GB2312" w:cs="仿宋_GB2312"/>
          <w:color w:val="auto"/>
          <w:sz w:val="32"/>
          <w:szCs w:val="32"/>
          <w:lang w:bidi="ar-SA"/>
        </w:rPr>
        <w:t>人</w:t>
      </w:r>
      <w:r>
        <w:rPr>
          <w:rFonts w:hint="eastAsia" w:ascii="仿宋_GB2312" w:eastAsia="仿宋_GB2312" w:cs="仿宋_GB2312"/>
          <w:color w:val="auto"/>
          <w:sz w:val="32"/>
          <w:szCs w:val="32"/>
          <w:lang w:eastAsia="zh-CN" w:bidi="ar-SA"/>
        </w:rPr>
        <w:t>（行政</w:t>
      </w:r>
      <w:r>
        <w:rPr>
          <w:rFonts w:hint="eastAsia" w:ascii="仿宋_GB2312" w:eastAsia="仿宋_GB2312" w:cs="仿宋_GB2312"/>
          <w:color w:val="auto"/>
          <w:sz w:val="32"/>
          <w:szCs w:val="32"/>
          <w:lang w:val="en-US" w:eastAsia="zh-CN" w:bidi="ar-SA"/>
        </w:rPr>
        <w:t>5人、事业32人</w:t>
      </w:r>
      <w:r>
        <w:rPr>
          <w:rFonts w:hint="eastAsia" w:ascii="仿宋_GB2312" w:eastAsia="仿宋_GB2312" w:cs="仿宋_GB2312"/>
          <w:color w:val="auto"/>
          <w:sz w:val="32"/>
          <w:szCs w:val="32"/>
          <w:lang w:eastAsia="zh-CN" w:bidi="ar-SA"/>
        </w:rPr>
        <w:t>），其中</w:t>
      </w:r>
      <w:r>
        <w:rPr>
          <w:rFonts w:hint="eastAsia" w:ascii="仿宋_GB2312" w:eastAsia="仿宋_GB2312" w:cs="仿宋_GB2312"/>
          <w:color w:val="auto"/>
          <w:sz w:val="32"/>
          <w:szCs w:val="32"/>
          <w:lang w:bidi="ar-SA"/>
        </w:rPr>
        <w:t>下属</w:t>
      </w:r>
      <w:r>
        <w:rPr>
          <w:rFonts w:hint="eastAsia" w:ascii="仿宋_GB2312" w:eastAsia="仿宋_GB2312" w:cs="仿宋_GB2312"/>
          <w:color w:val="auto"/>
          <w:sz w:val="32"/>
          <w:szCs w:val="32"/>
          <w:lang w:val="en-US" w:eastAsia="zh-CN" w:bidi="ar-SA"/>
        </w:rPr>
        <w:t>1</w:t>
      </w:r>
      <w:r>
        <w:rPr>
          <w:rFonts w:hint="eastAsia" w:ascii="仿宋_GB2312" w:eastAsia="仿宋_GB2312" w:cs="仿宋_GB2312"/>
          <w:color w:val="auto"/>
          <w:sz w:val="32"/>
          <w:szCs w:val="32"/>
          <w:lang w:bidi="ar-SA"/>
        </w:rPr>
        <w:t>个二级预算单位</w:t>
      </w:r>
      <w:r>
        <w:rPr>
          <w:rFonts w:hint="eastAsia" w:ascii="仿宋_GB2312" w:eastAsia="仿宋_GB2312" w:cs="仿宋_GB2312"/>
          <w:color w:val="auto"/>
          <w:sz w:val="32"/>
          <w:szCs w:val="32"/>
          <w:lang w:eastAsia="zh-CN" w:bidi="ar-SA"/>
        </w:rPr>
        <w:t>区水土保持监督站</w:t>
      </w:r>
      <w:r>
        <w:rPr>
          <w:rFonts w:hint="eastAsia" w:ascii="仿宋_GB2312" w:eastAsia="仿宋_GB2312" w:cs="仿宋_GB2312"/>
          <w:color w:val="auto"/>
          <w:sz w:val="32"/>
          <w:szCs w:val="32"/>
          <w:lang w:bidi="ar-SA"/>
        </w:rPr>
        <w:t>，</w:t>
      </w:r>
      <w:r>
        <w:rPr>
          <w:rFonts w:hint="eastAsia" w:ascii="仿宋_GB2312" w:eastAsia="仿宋_GB2312" w:cs="仿宋_GB2312"/>
          <w:color w:val="auto"/>
          <w:sz w:val="32"/>
          <w:szCs w:val="32"/>
          <w:lang w:eastAsia="zh-CN" w:bidi="ar-SA"/>
        </w:rPr>
        <w:t>单位性质为自收自支事业单位，经费来源为财政全额拨款，</w:t>
      </w:r>
      <w:r>
        <w:rPr>
          <w:rFonts w:hint="eastAsia" w:ascii="仿宋_GB2312" w:eastAsia="仿宋_GB2312" w:cs="仿宋_GB2312"/>
          <w:color w:val="auto"/>
          <w:sz w:val="32"/>
          <w:szCs w:val="32"/>
          <w:lang w:bidi="ar-SA"/>
        </w:rPr>
        <w:t>编制共计</w:t>
      </w:r>
      <w:r>
        <w:rPr>
          <w:rFonts w:hint="eastAsia" w:ascii="仿宋_GB2312" w:eastAsia="仿宋_GB2312" w:cs="仿宋_GB2312"/>
          <w:color w:val="auto"/>
          <w:sz w:val="32"/>
          <w:szCs w:val="32"/>
          <w:lang w:val="en-US" w:eastAsia="zh-CN" w:bidi="ar-SA"/>
        </w:rPr>
        <w:t>7</w:t>
      </w:r>
      <w:r>
        <w:rPr>
          <w:rFonts w:hint="eastAsia" w:ascii="仿宋_GB2312" w:eastAsia="仿宋_GB2312" w:cs="仿宋_GB2312"/>
          <w:color w:val="auto"/>
          <w:sz w:val="32"/>
          <w:szCs w:val="32"/>
          <w:lang w:bidi="ar-SA"/>
        </w:rPr>
        <w:t>人，202</w:t>
      </w:r>
      <w:r>
        <w:rPr>
          <w:rFonts w:hint="eastAsia" w:ascii="仿宋_GB2312" w:eastAsia="仿宋_GB2312" w:cs="仿宋_GB2312"/>
          <w:color w:val="auto"/>
          <w:sz w:val="32"/>
          <w:szCs w:val="32"/>
          <w:lang w:val="en-US" w:eastAsia="zh-CN" w:bidi="ar-SA"/>
        </w:rPr>
        <w:t>4</w:t>
      </w:r>
      <w:r>
        <w:rPr>
          <w:rFonts w:hint="eastAsia" w:ascii="仿宋_GB2312" w:eastAsia="仿宋_GB2312" w:cs="仿宋_GB2312"/>
          <w:color w:val="auto"/>
          <w:sz w:val="32"/>
          <w:szCs w:val="32"/>
          <w:lang w:bidi="ar-SA"/>
        </w:rPr>
        <w:t>年末实有</w:t>
      </w:r>
      <w:r>
        <w:rPr>
          <w:rFonts w:hint="eastAsia" w:ascii="仿宋_GB2312" w:eastAsia="仿宋_GB2312" w:cs="仿宋_GB2312"/>
          <w:color w:val="auto"/>
          <w:sz w:val="32"/>
          <w:szCs w:val="32"/>
          <w:lang w:val="en-US" w:eastAsia="zh-CN" w:bidi="ar-SA"/>
        </w:rPr>
        <w:t>5</w:t>
      </w:r>
      <w:r>
        <w:rPr>
          <w:rFonts w:hint="eastAsia" w:ascii="仿宋_GB2312" w:eastAsia="仿宋_GB2312" w:cs="仿宋_GB2312"/>
          <w:color w:val="auto"/>
          <w:sz w:val="32"/>
          <w:szCs w:val="32"/>
          <w:lang w:bidi="ar-SA"/>
        </w:rPr>
        <w:t>人。</w:t>
      </w:r>
    </w:p>
    <w:p>
      <w:pPr>
        <w:keepNext w:val="0"/>
        <w:keepLines w:val="0"/>
        <w:pageBreakBefore w:val="0"/>
        <w:widowControl w:val="0"/>
        <w:numPr>
          <w:ilvl w:val="0"/>
          <w:numId w:val="0"/>
        </w:numPr>
        <w:kinsoku/>
        <w:wordWrap/>
        <w:overflowPunct/>
        <w:topLinePunct w:val="0"/>
        <w:autoSpaceDE/>
        <w:autoSpaceDN/>
        <w:bidi w:val="0"/>
        <w:adjustRightInd/>
        <w:snapToGrid w:val="0"/>
        <w:spacing w:line="540" w:lineRule="exact"/>
        <w:ind w:firstLine="643" w:firstLineChars="200"/>
        <w:textAlignment w:val="auto"/>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资产情况</w:t>
      </w:r>
    </w:p>
    <w:p>
      <w:pPr>
        <w:spacing w:line="560" w:lineRule="exact"/>
        <w:ind w:firstLine="640" w:firstLineChars="200"/>
        <w:jc w:val="left"/>
        <w:rPr>
          <w:rFonts w:hint="eastAsia" w:ascii="仿宋_GB2312" w:eastAsia="仿宋_GB2312" w:cs="仿宋_GB2312"/>
          <w:sz w:val="32"/>
          <w:szCs w:val="32"/>
          <w:lang w:bidi="ar-SA"/>
        </w:rPr>
      </w:pPr>
      <w:r>
        <w:rPr>
          <w:rFonts w:hint="eastAsia" w:ascii="仿宋_GB2312" w:eastAsia="仿宋_GB2312" w:cs="仿宋_GB2312"/>
          <w:sz w:val="32"/>
          <w:szCs w:val="32"/>
          <w:lang w:bidi="ar-SA"/>
        </w:rPr>
        <w:t>202</w:t>
      </w:r>
      <w:r>
        <w:rPr>
          <w:rFonts w:hint="eastAsia" w:ascii="仿宋_GB2312" w:eastAsia="仿宋_GB2312" w:cs="仿宋_GB2312"/>
          <w:sz w:val="32"/>
          <w:szCs w:val="32"/>
          <w:lang w:val="en-US" w:eastAsia="zh-CN" w:bidi="ar-SA"/>
        </w:rPr>
        <w:t>4</w:t>
      </w:r>
      <w:r>
        <w:rPr>
          <w:rFonts w:hint="eastAsia" w:ascii="仿宋_GB2312" w:eastAsia="仿宋_GB2312" w:cs="仿宋_GB2312"/>
          <w:sz w:val="32"/>
          <w:szCs w:val="32"/>
          <w:lang w:bidi="ar-SA"/>
        </w:rPr>
        <w:t>年底，</w:t>
      </w:r>
      <w:r>
        <w:rPr>
          <w:rFonts w:hint="eastAsia" w:ascii="仿宋_GB2312" w:eastAsia="仿宋_GB2312" w:cs="仿宋_GB2312"/>
          <w:sz w:val="32"/>
          <w:szCs w:val="32"/>
          <w:lang w:eastAsia="zh-CN" w:bidi="ar-SA"/>
        </w:rPr>
        <w:t>区农业农村</w:t>
      </w:r>
      <w:r>
        <w:rPr>
          <w:rFonts w:hint="eastAsia" w:ascii="仿宋_GB2312" w:eastAsia="仿宋_GB2312" w:cs="仿宋_GB2312"/>
          <w:sz w:val="32"/>
          <w:szCs w:val="32"/>
          <w:lang w:bidi="ar-SA"/>
        </w:rPr>
        <w:t>局部门资产合计</w:t>
      </w:r>
      <w:r>
        <w:rPr>
          <w:rFonts w:hint="eastAsia" w:ascii="仿宋_GB2312" w:eastAsia="仿宋_GB2312"/>
          <w:color w:val="auto"/>
          <w:sz w:val="32"/>
          <w:szCs w:val="32"/>
          <w:lang w:val="en-US" w:eastAsia="zh-CN"/>
        </w:rPr>
        <w:t>295.88</w:t>
      </w:r>
      <w:r>
        <w:rPr>
          <w:rFonts w:hint="eastAsia" w:ascii="仿宋_GB2312" w:eastAsia="仿宋_GB2312" w:cs="仿宋_GB2312"/>
          <w:color w:val="auto"/>
          <w:sz w:val="32"/>
          <w:szCs w:val="32"/>
          <w:lang w:bidi="ar-SA"/>
        </w:rPr>
        <w:t>万</w:t>
      </w:r>
      <w:r>
        <w:rPr>
          <w:rFonts w:hint="eastAsia" w:ascii="仿宋_GB2312" w:eastAsia="仿宋_GB2312" w:cs="仿宋_GB2312"/>
          <w:sz w:val="32"/>
          <w:szCs w:val="32"/>
          <w:lang w:bidi="ar-SA"/>
        </w:rPr>
        <w:t>元，其中流动资产</w:t>
      </w:r>
      <w:r>
        <w:rPr>
          <w:rFonts w:hint="eastAsia" w:ascii="仿宋_GB2312" w:eastAsia="仿宋_GB2312"/>
          <w:color w:val="auto"/>
          <w:sz w:val="32"/>
          <w:szCs w:val="32"/>
          <w:lang w:val="en-US" w:eastAsia="zh-CN"/>
        </w:rPr>
        <w:t>34.22</w:t>
      </w:r>
      <w:r>
        <w:rPr>
          <w:rFonts w:hint="eastAsia" w:ascii="仿宋_GB2312" w:eastAsia="仿宋_GB2312" w:cs="仿宋_GB2312"/>
          <w:sz w:val="32"/>
          <w:szCs w:val="32"/>
          <w:lang w:bidi="ar-SA"/>
        </w:rPr>
        <w:t>万元、非流动资产</w:t>
      </w:r>
      <w:r>
        <w:rPr>
          <w:rFonts w:hint="eastAsia" w:ascii="仿宋_GB2312" w:eastAsia="仿宋_GB2312"/>
          <w:color w:val="auto"/>
          <w:sz w:val="32"/>
          <w:szCs w:val="32"/>
          <w:lang w:val="en-US" w:eastAsia="zh-CN"/>
        </w:rPr>
        <w:t>261.66</w:t>
      </w:r>
      <w:r>
        <w:rPr>
          <w:rFonts w:hint="eastAsia" w:ascii="仿宋_GB2312" w:eastAsia="仿宋_GB2312" w:cs="仿宋_GB2312"/>
          <w:sz w:val="32"/>
          <w:szCs w:val="32"/>
          <w:lang w:bidi="ar-SA"/>
        </w:rPr>
        <w:t>万元;负债合计</w:t>
      </w:r>
      <w:r>
        <w:rPr>
          <w:rFonts w:hint="eastAsia" w:ascii="仿宋_GB2312" w:eastAsia="仿宋_GB2312"/>
          <w:color w:val="auto"/>
          <w:sz w:val="32"/>
          <w:szCs w:val="32"/>
          <w:lang w:val="en-US" w:eastAsia="zh-CN"/>
        </w:rPr>
        <w:t>23.84</w:t>
      </w:r>
      <w:r>
        <w:rPr>
          <w:rFonts w:hint="eastAsia" w:ascii="仿宋_GB2312" w:eastAsia="仿宋_GB2312" w:cs="仿宋_GB2312"/>
          <w:sz w:val="32"/>
          <w:szCs w:val="32"/>
          <w:lang w:bidi="ar-SA"/>
        </w:rPr>
        <w:t>万元，其中:流动负债</w:t>
      </w:r>
      <w:r>
        <w:rPr>
          <w:rFonts w:hint="eastAsia" w:ascii="仿宋_GB2312" w:eastAsia="仿宋_GB2312"/>
          <w:color w:val="auto"/>
          <w:sz w:val="32"/>
          <w:szCs w:val="32"/>
          <w:lang w:val="en-US" w:eastAsia="zh-CN"/>
        </w:rPr>
        <w:t>23.84</w:t>
      </w:r>
      <w:r>
        <w:rPr>
          <w:rFonts w:hint="eastAsia" w:ascii="仿宋_GB2312" w:eastAsia="仿宋_GB2312" w:cs="仿宋_GB2312"/>
          <w:sz w:val="32"/>
          <w:szCs w:val="32"/>
          <w:lang w:bidi="ar-SA"/>
        </w:rPr>
        <w:t>万元;净资产合计</w:t>
      </w:r>
      <w:r>
        <w:rPr>
          <w:rFonts w:hint="eastAsia" w:ascii="仿宋_GB2312" w:eastAsia="仿宋_GB2312" w:cs="仿宋_GB2312"/>
          <w:sz w:val="32"/>
          <w:szCs w:val="32"/>
          <w:lang w:val="en-US" w:eastAsia="zh-CN" w:bidi="ar-SA"/>
        </w:rPr>
        <w:t>272.04</w:t>
      </w:r>
      <w:r>
        <w:rPr>
          <w:rFonts w:hint="eastAsia" w:ascii="仿宋_GB2312" w:eastAsia="仿宋_GB2312" w:cs="仿宋_GB2312"/>
          <w:sz w:val="32"/>
          <w:szCs w:val="32"/>
          <w:lang w:bidi="ar-SA"/>
        </w:rPr>
        <w:t>万元,其中:累计盈余</w:t>
      </w:r>
      <w:r>
        <w:rPr>
          <w:rFonts w:hint="eastAsia" w:ascii="仿宋_GB2312" w:eastAsia="仿宋_GB2312" w:cs="仿宋_GB2312"/>
          <w:sz w:val="32"/>
          <w:szCs w:val="32"/>
          <w:lang w:val="en-US" w:eastAsia="zh-CN" w:bidi="ar-SA"/>
        </w:rPr>
        <w:t>272.04</w:t>
      </w:r>
      <w:r>
        <w:rPr>
          <w:rFonts w:hint="eastAsia" w:ascii="仿宋_GB2312" w:eastAsia="仿宋_GB2312" w:cs="仿宋_GB2312"/>
          <w:sz w:val="32"/>
          <w:szCs w:val="32"/>
          <w:lang w:bidi="ar-SA"/>
        </w:rPr>
        <w:t>万元、专用基金</w:t>
      </w:r>
      <w:r>
        <w:rPr>
          <w:rFonts w:hint="eastAsia" w:ascii="仿宋_GB2312" w:eastAsia="仿宋_GB2312" w:cs="仿宋_GB2312"/>
          <w:sz w:val="32"/>
          <w:szCs w:val="32"/>
          <w:lang w:val="en-US" w:eastAsia="zh-CN" w:bidi="ar-SA"/>
        </w:rPr>
        <w:t>0</w:t>
      </w:r>
      <w:r>
        <w:rPr>
          <w:rFonts w:hint="eastAsia" w:ascii="仿宋_GB2312" w:eastAsia="仿宋_GB2312" w:cs="仿宋_GB2312"/>
          <w:sz w:val="32"/>
          <w:szCs w:val="32"/>
          <w:lang w:bidi="ar-SA"/>
        </w:rPr>
        <w:t>万元。</w:t>
      </w:r>
    </w:p>
    <w:p>
      <w:pPr>
        <w:numPr>
          <w:ilvl w:val="0"/>
          <w:numId w:val="2"/>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spacing w:line="560" w:lineRule="exact"/>
        <w:ind w:firstLine="640" w:firstLineChars="200"/>
        <w:rPr>
          <w:rFonts w:hint="eastAsia" w:ascii="仿宋_GB2312" w:eastAsia="仿宋_GB2312" w:cs="仿宋_GB2312"/>
          <w:color w:val="auto"/>
          <w:sz w:val="32"/>
          <w:szCs w:val="32"/>
          <w:lang w:bidi="ar-SA"/>
        </w:rPr>
      </w:pPr>
      <w:r>
        <w:rPr>
          <w:rFonts w:hint="eastAsia" w:ascii="仿宋_GB2312" w:eastAsia="仿宋_GB2312" w:cs="仿宋_GB2312"/>
          <w:color w:val="auto"/>
          <w:sz w:val="32"/>
          <w:szCs w:val="32"/>
          <w:lang w:eastAsia="zh-CN" w:bidi="ar-SA"/>
        </w:rPr>
        <w:t>区农业农村</w:t>
      </w:r>
      <w:r>
        <w:rPr>
          <w:rFonts w:hint="eastAsia" w:ascii="仿宋_GB2312" w:eastAsia="仿宋_GB2312" w:cs="仿宋_GB2312"/>
          <w:color w:val="auto"/>
          <w:sz w:val="32"/>
          <w:szCs w:val="32"/>
          <w:lang w:bidi="ar-SA"/>
        </w:rPr>
        <w:t>局部门（汇总）预算执行情况。</w:t>
      </w:r>
      <w:r>
        <w:rPr>
          <w:rFonts w:hint="eastAsia" w:ascii="仿宋_GB2312" w:eastAsia="仿宋_GB2312" w:cs="仿宋_GB2312"/>
          <w:color w:val="auto"/>
          <w:sz w:val="32"/>
          <w:szCs w:val="32"/>
          <w:lang w:eastAsia="zh-CN" w:bidi="ar-SA"/>
        </w:rPr>
        <w:t>区农业农村</w:t>
      </w:r>
      <w:r>
        <w:rPr>
          <w:rFonts w:hint="eastAsia" w:ascii="仿宋_GB2312" w:eastAsia="仿宋_GB2312" w:cs="仿宋_GB2312"/>
          <w:color w:val="auto"/>
          <w:sz w:val="32"/>
          <w:szCs w:val="32"/>
          <w:lang w:bidi="ar-SA"/>
        </w:rPr>
        <w:t>局部门（汇总）年初收入预算</w:t>
      </w:r>
      <w:r>
        <w:rPr>
          <w:rFonts w:hint="eastAsia" w:ascii="仿宋_GB2312" w:eastAsia="仿宋_GB2312"/>
          <w:color w:val="auto"/>
          <w:sz w:val="32"/>
          <w:szCs w:val="32"/>
          <w:lang w:val="en-US" w:eastAsia="zh-CN"/>
        </w:rPr>
        <w:t>4205.18</w:t>
      </w:r>
      <w:r>
        <w:rPr>
          <w:rFonts w:hint="eastAsia" w:ascii="仿宋_GB2312" w:eastAsia="仿宋_GB2312" w:cs="仿宋_GB2312"/>
          <w:color w:val="auto"/>
          <w:sz w:val="32"/>
          <w:szCs w:val="32"/>
          <w:lang w:bidi="ar-SA"/>
        </w:rPr>
        <w:t>万元，其中：一般公共预算拨款收入</w:t>
      </w:r>
      <w:r>
        <w:rPr>
          <w:rFonts w:hint="eastAsia" w:ascii="仿宋_GB2312" w:eastAsia="仿宋_GB2312"/>
          <w:color w:val="auto"/>
          <w:sz w:val="32"/>
          <w:szCs w:val="32"/>
          <w:lang w:val="en-US" w:eastAsia="zh-CN"/>
        </w:rPr>
        <w:t>3523.55</w:t>
      </w:r>
      <w:r>
        <w:rPr>
          <w:rFonts w:hint="eastAsia" w:ascii="仿宋_GB2312" w:eastAsia="仿宋_GB2312" w:cs="仿宋_GB2312"/>
          <w:color w:val="auto"/>
          <w:sz w:val="32"/>
          <w:szCs w:val="32"/>
          <w:lang w:bidi="ar-SA"/>
        </w:rPr>
        <w:t>万元、</w:t>
      </w:r>
      <w:r>
        <w:rPr>
          <w:rFonts w:hint="eastAsia" w:ascii="仿宋_GB2312" w:eastAsia="仿宋_GB2312" w:cs="仿宋_GB2312"/>
          <w:color w:val="auto"/>
          <w:sz w:val="32"/>
          <w:szCs w:val="32"/>
          <w:lang w:eastAsia="zh-CN" w:bidi="ar-SA"/>
        </w:rPr>
        <w:t>政府性基金预算财政拨款</w:t>
      </w:r>
      <w:r>
        <w:rPr>
          <w:rFonts w:hint="eastAsia" w:ascii="仿宋_GB2312" w:eastAsia="仿宋_GB2312" w:cs="仿宋_GB2312"/>
          <w:color w:val="auto"/>
          <w:sz w:val="32"/>
          <w:szCs w:val="32"/>
          <w:lang w:bidi="ar-SA"/>
        </w:rPr>
        <w:t>收入</w:t>
      </w:r>
      <w:r>
        <w:rPr>
          <w:rFonts w:hint="eastAsia" w:ascii="仿宋_GB2312" w:eastAsia="仿宋_GB2312" w:cs="仿宋_GB2312"/>
          <w:color w:val="auto"/>
          <w:sz w:val="32"/>
          <w:szCs w:val="32"/>
          <w:lang w:val="en-US" w:eastAsia="zh-CN" w:bidi="ar-SA"/>
        </w:rPr>
        <w:t>681.63</w:t>
      </w:r>
      <w:r>
        <w:rPr>
          <w:rFonts w:hint="eastAsia" w:ascii="仿宋_GB2312" w:eastAsia="仿宋_GB2312" w:cs="仿宋_GB2312"/>
          <w:color w:val="auto"/>
          <w:sz w:val="32"/>
          <w:szCs w:val="32"/>
          <w:lang w:bidi="ar-SA"/>
        </w:rPr>
        <w:t>万元；年终收入预算调整为</w:t>
      </w:r>
      <w:r>
        <w:rPr>
          <w:rFonts w:hint="eastAsia" w:ascii="仿宋_GB2312" w:eastAsia="仿宋_GB2312" w:cs="DengXian-Regular"/>
          <w:color w:val="auto"/>
          <w:sz w:val="32"/>
          <w:szCs w:val="32"/>
          <w:lang w:val="en-US" w:eastAsia="zh-CN" w:bidi="ar-SA"/>
        </w:rPr>
        <w:t>2059.66</w:t>
      </w:r>
      <w:r>
        <w:rPr>
          <w:rFonts w:hint="eastAsia" w:ascii="仿宋_GB2312" w:eastAsia="仿宋_GB2312" w:cs="仿宋_GB2312"/>
          <w:color w:val="auto"/>
          <w:sz w:val="32"/>
          <w:szCs w:val="32"/>
          <w:lang w:bidi="ar-SA"/>
        </w:rPr>
        <w:t>万元，其中：一般公共预算拨款收入</w:t>
      </w:r>
      <w:r>
        <w:rPr>
          <w:rFonts w:hint="eastAsia" w:ascii="仿宋_GB2312" w:eastAsia="仿宋_GB2312" w:cs="DengXian-Regular"/>
          <w:color w:val="auto"/>
          <w:sz w:val="32"/>
          <w:szCs w:val="32"/>
          <w:lang w:val="en-US" w:eastAsia="zh-CN" w:bidi="ar-SA"/>
        </w:rPr>
        <w:t>1835.05</w:t>
      </w:r>
      <w:r>
        <w:rPr>
          <w:rFonts w:hint="eastAsia" w:ascii="仿宋_GB2312" w:eastAsia="仿宋_GB2312" w:cs="仿宋_GB2312"/>
          <w:color w:val="auto"/>
          <w:sz w:val="32"/>
          <w:szCs w:val="32"/>
          <w:lang w:bidi="ar-SA"/>
        </w:rPr>
        <w:t>万元、</w:t>
      </w:r>
      <w:r>
        <w:rPr>
          <w:rFonts w:hint="eastAsia" w:ascii="仿宋_GB2312" w:eastAsia="仿宋_GB2312" w:cs="仿宋_GB2312"/>
          <w:color w:val="auto"/>
          <w:sz w:val="32"/>
          <w:szCs w:val="32"/>
          <w:lang w:eastAsia="zh-CN" w:bidi="ar-SA"/>
        </w:rPr>
        <w:t>政府性基金预算财政拨款</w:t>
      </w:r>
      <w:r>
        <w:rPr>
          <w:rFonts w:hint="eastAsia" w:ascii="仿宋_GB2312" w:eastAsia="仿宋_GB2312" w:cs="仿宋_GB2312"/>
          <w:color w:val="auto"/>
          <w:sz w:val="32"/>
          <w:szCs w:val="32"/>
          <w:lang w:bidi="ar-SA"/>
        </w:rPr>
        <w:t>收入</w:t>
      </w:r>
      <w:r>
        <w:rPr>
          <w:rFonts w:hint="eastAsia" w:ascii="仿宋_GB2312" w:eastAsia="仿宋_GB2312" w:cs="DengXian-Regular"/>
          <w:color w:val="auto"/>
          <w:sz w:val="32"/>
          <w:szCs w:val="32"/>
          <w:lang w:val="en-US" w:eastAsia="zh-CN" w:bidi="ar-SA"/>
        </w:rPr>
        <w:t>224.61</w:t>
      </w:r>
      <w:r>
        <w:rPr>
          <w:rFonts w:hint="eastAsia" w:ascii="仿宋_GB2312" w:eastAsia="仿宋_GB2312" w:cs="仿宋_GB2312"/>
          <w:color w:val="auto"/>
          <w:sz w:val="32"/>
          <w:szCs w:val="32"/>
          <w:lang w:bidi="ar-SA"/>
        </w:rPr>
        <w:t>万元。年初支出预算</w:t>
      </w:r>
      <w:r>
        <w:rPr>
          <w:rFonts w:hint="eastAsia" w:ascii="仿宋_GB2312" w:eastAsia="仿宋_GB2312"/>
          <w:color w:val="auto"/>
          <w:sz w:val="32"/>
          <w:szCs w:val="32"/>
          <w:lang w:val="en-US" w:eastAsia="zh-CN"/>
        </w:rPr>
        <w:t>4205.18</w:t>
      </w:r>
      <w:r>
        <w:rPr>
          <w:rFonts w:hint="eastAsia" w:ascii="仿宋_GB2312" w:eastAsia="仿宋_GB2312" w:cs="仿宋_GB2312"/>
          <w:color w:val="auto"/>
          <w:sz w:val="32"/>
          <w:szCs w:val="32"/>
          <w:lang w:bidi="ar-SA"/>
        </w:rPr>
        <w:t>万元，其中：基本支出</w:t>
      </w:r>
      <w:r>
        <w:rPr>
          <w:rFonts w:hint="eastAsia" w:ascii="仿宋_GB2312" w:eastAsia="仿宋_GB2312" w:cs="仿宋_GB2312"/>
          <w:color w:val="auto"/>
          <w:sz w:val="32"/>
          <w:szCs w:val="32"/>
          <w:lang w:val="en-US" w:eastAsia="zh-CN" w:bidi="ar-SA"/>
        </w:rPr>
        <w:t>965.58</w:t>
      </w:r>
      <w:r>
        <w:rPr>
          <w:rFonts w:hint="eastAsia" w:ascii="仿宋_GB2312" w:eastAsia="仿宋_GB2312" w:cs="仿宋_GB2312"/>
          <w:color w:val="auto"/>
          <w:sz w:val="32"/>
          <w:szCs w:val="32"/>
          <w:lang w:bidi="ar-SA"/>
        </w:rPr>
        <w:t>万元、项目支出</w:t>
      </w:r>
      <w:r>
        <w:rPr>
          <w:rFonts w:hint="eastAsia" w:ascii="仿宋_GB2312" w:eastAsia="仿宋_GB2312" w:cs="仿宋_GB2312"/>
          <w:color w:val="auto"/>
          <w:sz w:val="32"/>
          <w:szCs w:val="32"/>
          <w:lang w:val="en-US" w:eastAsia="zh-CN" w:bidi="ar-SA"/>
        </w:rPr>
        <w:t>3239.6</w:t>
      </w:r>
      <w:r>
        <w:rPr>
          <w:rFonts w:hint="eastAsia" w:ascii="仿宋_GB2312" w:eastAsia="仿宋_GB2312" w:cs="仿宋_GB2312"/>
          <w:color w:val="auto"/>
          <w:sz w:val="32"/>
          <w:szCs w:val="32"/>
          <w:lang w:bidi="ar-SA"/>
        </w:rPr>
        <w:t>万元；年终支出预算调整为</w:t>
      </w:r>
      <w:r>
        <w:rPr>
          <w:rFonts w:hint="eastAsia" w:ascii="仿宋_GB2312" w:eastAsia="仿宋_GB2312" w:cs="DengXian-Regular"/>
          <w:color w:val="auto"/>
          <w:sz w:val="32"/>
          <w:szCs w:val="32"/>
          <w:lang w:val="en-US" w:eastAsia="zh-CN" w:bidi="ar-SA"/>
        </w:rPr>
        <w:t>2059.66</w:t>
      </w:r>
      <w:r>
        <w:rPr>
          <w:rFonts w:hint="eastAsia" w:ascii="仿宋_GB2312" w:eastAsia="仿宋_GB2312" w:cs="仿宋_GB2312"/>
          <w:color w:val="auto"/>
          <w:sz w:val="32"/>
          <w:szCs w:val="32"/>
          <w:lang w:bidi="ar-SA"/>
        </w:rPr>
        <w:t>万元，其中：基本支出</w:t>
      </w:r>
      <w:r>
        <w:rPr>
          <w:rFonts w:hint="eastAsia" w:ascii="仿宋_GB2312" w:eastAsia="仿宋_GB2312" w:cs="DengXian-Regular"/>
          <w:color w:val="auto"/>
          <w:sz w:val="32"/>
          <w:szCs w:val="32"/>
          <w:lang w:val="en-US" w:eastAsia="zh-CN" w:bidi="ar-SA"/>
        </w:rPr>
        <w:t>893.38</w:t>
      </w:r>
      <w:r>
        <w:rPr>
          <w:rFonts w:hint="eastAsia" w:ascii="仿宋_GB2312" w:eastAsia="仿宋_GB2312" w:cs="仿宋_GB2312"/>
          <w:color w:val="auto"/>
          <w:sz w:val="32"/>
          <w:szCs w:val="32"/>
          <w:lang w:bidi="ar-SA"/>
        </w:rPr>
        <w:t>万元、项目支出</w:t>
      </w:r>
      <w:r>
        <w:rPr>
          <w:rFonts w:hint="eastAsia" w:ascii="仿宋_GB2312" w:eastAsia="仿宋_GB2312" w:cs="DengXian-Regular"/>
          <w:color w:val="auto"/>
          <w:sz w:val="32"/>
          <w:szCs w:val="32"/>
          <w:lang w:val="en-US" w:eastAsia="zh-CN" w:bidi="ar-SA"/>
        </w:rPr>
        <w:t>1166.28</w:t>
      </w:r>
      <w:r>
        <w:rPr>
          <w:rFonts w:hint="eastAsia" w:ascii="仿宋_GB2312" w:eastAsia="仿宋_GB2312" w:cs="仿宋_GB2312"/>
          <w:color w:val="auto"/>
          <w:sz w:val="32"/>
          <w:szCs w:val="32"/>
          <w:lang w:bidi="ar-SA"/>
        </w:rPr>
        <w:t>万元。</w:t>
      </w:r>
    </w:p>
    <w:p>
      <w:pPr>
        <w:spacing w:line="560" w:lineRule="exact"/>
        <w:ind w:firstLine="640" w:firstLineChars="200"/>
        <w:rPr>
          <w:rFonts w:hint="eastAsia" w:ascii="仿宋_GB2312" w:eastAsia="仿宋_GB2312" w:cs="仿宋_GB2312"/>
          <w:color w:val="auto"/>
          <w:sz w:val="32"/>
          <w:szCs w:val="32"/>
          <w:lang w:eastAsia="zh-CN" w:bidi="ar-SA"/>
        </w:rPr>
      </w:pPr>
      <w:r>
        <w:rPr>
          <w:rFonts w:hint="eastAsia" w:ascii="仿宋_GB2312" w:eastAsia="仿宋_GB2312" w:cs="仿宋_GB2312"/>
          <w:color w:val="auto"/>
          <w:sz w:val="32"/>
          <w:szCs w:val="32"/>
          <w:lang w:eastAsia="zh-CN" w:bidi="ar-SA"/>
        </w:rPr>
        <w:t>区农业农村</w:t>
      </w:r>
      <w:r>
        <w:rPr>
          <w:rFonts w:hint="eastAsia" w:ascii="仿宋_GB2312" w:eastAsia="仿宋_GB2312" w:cs="仿宋_GB2312"/>
          <w:color w:val="auto"/>
          <w:sz w:val="32"/>
          <w:szCs w:val="32"/>
          <w:lang w:bidi="ar-SA"/>
        </w:rPr>
        <w:t>局部门（汇总）决算草案情况。年末收入总计</w:t>
      </w:r>
      <w:r>
        <w:rPr>
          <w:rFonts w:hint="eastAsia" w:ascii="仿宋_GB2312" w:eastAsia="仿宋_GB2312" w:cs="DengXian-Regular"/>
          <w:color w:val="auto"/>
          <w:sz w:val="32"/>
          <w:szCs w:val="32"/>
          <w:lang w:val="en-US" w:eastAsia="zh-CN" w:bidi="ar-SA"/>
        </w:rPr>
        <w:t>2059.66</w:t>
      </w:r>
      <w:r>
        <w:rPr>
          <w:rFonts w:hint="eastAsia" w:ascii="仿宋_GB2312" w:eastAsia="仿宋_GB2312" w:cs="仿宋_GB2312"/>
          <w:color w:val="auto"/>
          <w:sz w:val="32"/>
          <w:szCs w:val="32"/>
          <w:lang w:bidi="ar-SA"/>
        </w:rPr>
        <w:t>万元，</w:t>
      </w:r>
      <w:r>
        <w:rPr>
          <w:rFonts w:hint="eastAsia" w:ascii="仿宋_GB2312" w:eastAsia="仿宋_GB2312" w:cs="仿宋_GB2312"/>
          <w:color w:val="auto"/>
          <w:sz w:val="32"/>
          <w:szCs w:val="32"/>
          <w:lang w:eastAsia="zh-CN" w:bidi="ar-SA"/>
        </w:rPr>
        <w:t>均为</w:t>
      </w:r>
      <w:r>
        <w:rPr>
          <w:rFonts w:hint="eastAsia" w:ascii="仿宋_GB2312" w:eastAsia="仿宋_GB2312" w:cs="仿宋_GB2312"/>
          <w:color w:val="auto"/>
          <w:sz w:val="32"/>
          <w:szCs w:val="32"/>
          <w:lang w:bidi="ar-SA"/>
        </w:rPr>
        <w:t>本年收入；年末支出总计</w:t>
      </w:r>
      <w:r>
        <w:rPr>
          <w:rFonts w:hint="eastAsia" w:ascii="仿宋_GB2312" w:eastAsia="仿宋_GB2312" w:cs="DengXian-Regular"/>
          <w:color w:val="auto"/>
          <w:sz w:val="32"/>
          <w:szCs w:val="32"/>
          <w:lang w:val="en-US" w:eastAsia="zh-CN" w:bidi="ar-SA"/>
        </w:rPr>
        <w:t>2059.66</w:t>
      </w:r>
      <w:r>
        <w:rPr>
          <w:rFonts w:hint="eastAsia" w:ascii="仿宋_GB2312" w:eastAsia="仿宋_GB2312" w:cs="仿宋_GB2312"/>
          <w:color w:val="auto"/>
          <w:sz w:val="32"/>
          <w:szCs w:val="32"/>
          <w:lang w:bidi="ar-SA"/>
        </w:rPr>
        <w:t>万元，其中：本年支出</w:t>
      </w:r>
      <w:r>
        <w:rPr>
          <w:rFonts w:hint="eastAsia" w:ascii="仿宋_GB2312" w:eastAsia="仿宋_GB2312" w:cs="DengXian-Regular"/>
          <w:color w:val="auto"/>
          <w:sz w:val="32"/>
          <w:szCs w:val="32"/>
          <w:lang w:val="en-US" w:eastAsia="zh-CN" w:bidi="ar-SA"/>
        </w:rPr>
        <w:t>2059.66</w:t>
      </w:r>
      <w:r>
        <w:rPr>
          <w:rFonts w:hint="eastAsia" w:ascii="仿宋_GB2312" w:eastAsia="仿宋_GB2312" w:cs="仿宋_GB2312"/>
          <w:color w:val="auto"/>
          <w:sz w:val="32"/>
          <w:szCs w:val="32"/>
          <w:lang w:bidi="ar-SA"/>
        </w:rPr>
        <w:t>万元。</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、总体绩效目标</w:t>
      </w:r>
    </w:p>
    <w:p>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们将继续坚定以落实习近平全面推进乡村振兴战略思想为引领，深入贯彻落实全国学习运用“千万工程”经验现场推进会部署要求，对标先进地区，创建未来乡村。一是创建宜居乡村，强化巩固乡村人居环境治理质效，加快城乡基础配套互联共享，努力让乡村面子更美丽，里子更舒服。二是创建富足乡村，做精林果药材传统产业，拓展数字电商农文旅新业态，壮大乡村经济，拓宽增收渠道，努力让老百姓钱袋子再鼓一些。三是创建善治乡村，深化党建引领，用好“三治”融合，努力让乡村成为新时代中国特色社会主义精神文明开源之地、首善之地、和美之地。具体是实现“12345”年度工作目标，即2024年要努力创建1个全域省级乡村振兴示范区、2个省级和美乡村精品示范村、3家市级农业产业化龙头企业、4个乡村农文旅特色片区，力争实现一产增加值、一产固投和农村集体经济收入三个增速均不低于5%。</w:t>
      </w:r>
    </w:p>
    <w:p>
      <w:pPr>
        <w:pStyle w:val="15"/>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、分项绩效目标</w:t>
      </w:r>
    </w:p>
    <w:p>
      <w:pPr>
        <w:pStyle w:val="15"/>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要提升乡村产业发展，强化文旅赋能。矿区乡村产业发展的优势在文旅，特色在乡愁。一方面要充分依托资源禀赋，梳理建立矿区农业农村产业发展的“四梁八柱”，要把传统的优质山地苹果产业和新引入的中药材高效产业，以及有一定基础的美丽乡村文旅产业和积极培育发展的数字乡村产业作为四大支撑，形成四轮驱动，打造极具矿区特色的农业农村产业发展模式。要强化园区建设和品牌建设，重点支持以昊源苹果为龙头的“矿区苹果”形成规模效益，支持以锦翘、银旺为龙头的“矿区药材”创建省市级龙头企业，不断提升产业化水平。要坚持做好“土特产”文章，加快打造矿区凉皮、年糕、煎饼等一批“乡字号”“土字号”特色农产品和矿区社火、拉花等非遗文化产业，让广大农村居民广泛参与在家门口就业致富。另一方面更要聚焦大文旅、大康养与乡村深度融合，充分整合正丰矿段家楼工业遗产、清凉山风景区、甘林苹果谷、贾庄古镇等文旅项目、特色农业、休闲民宿等资源，努力培育生态采摘、田园综合体特色产业，大力发展乡村文化旅游和民宿经济，促进一二三产融合发展，推动乡村特色产业做精做强。要集中力量打造贾庄古镇、天户峪苹果谷、正丰左岸艺术村、台阳民宿休闲区等一批矿区特色产业项目，重点扶持正丰左岸艺术村、锦翘“太行药香谷”、台阳特色民宿村尽快建成做强，成为石家庄乃至河北省、全国乡村旅游目的地。</w:t>
      </w:r>
    </w:p>
    <w:p>
      <w:pPr>
        <w:pStyle w:val="15"/>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要提升乡村建设水平，强化融合发展。要深入学习运用好浙江“千万工程”经验，坚持乡村产业、人才、文化、生态、组织“五大振兴”协同推进，坚持美丽乡村、人文乡村、善治乡村、共富乡村、数字乡村“五村并进”，积极探索建设未来乡村。要全域实施乡村建设提质工程，要切实加强村庄风貌规划管理，持续深入开展农村人居环境整治，要以持续开展农村私搭乱建清理整治，村庄空闲地边角地建设小花园、小菜园、小果园和停车场，以及“十佳”样板示范街道、“十佳”乡村小游园和星级和美乡村评选活动为具体抓手，以常态化开展村庄环境容貌督导检查和拉练评比为激励机制，不断提升全区全域乡村建设整体质量水平。要坚持集中人力物力财力深度打造贾庄、天户峪、中南凤山、台阳特色村，全方位建设美丽乡村，多渠道扶持发展“美丽经济”，打造矿区美丽乡村和美丽经济特色品牌。要依托石钢等优质工业资源优势，下大力积极推动城区供水、供气、供暖管网向农村延伸，逐步实现城乡基础设施共建共享，让农村居民享受城市同质配套生活，全面打造具有矿区特色优势的城乡融合发展示范区、产城融合发展示范区，切实增强农村居民获得感、幸福度，把矿区早日建成外地人向往、本地人自豪的省会“后花园”。</w:t>
      </w:r>
    </w:p>
    <w:p>
      <w:pPr>
        <w:pStyle w:val="15"/>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要提升乡村治理能力，强化要素支撑。要突出大抓基层鲜明导向，坚持用好五级书记抓乡村振兴机制，将抓党建促乡村振兴作为乡村两级党组织书记基层党建述职评议考核重要内容，压实基层一线主体责任。要选准配优农村党支部书记关键组织实施者、领路带头人，分类管理考核村级两委班子，抬高标尺确定目标任务，让“跳起来摘桃子”成为新动能和新常态。要组织实施好“四雁工程”，组织动员社会各界力量参与乡村建设、乡村发展和乡村治理，让农村成为最有吸引力的地方。要加大农村干部培训和人才引进力度，着力打造一支能够适应新形势、承担新任务和解决新问题的乡村干部队伍，把乡村干部培养成推进乡村振兴的行家里手。要加强农村精神文明建设，培育文明乡风、良好家风和淳朴民风，积极开展文明村镇创建。要强化责任落实和考核激励，用好“清单制”“积分制”乡村治理模式，坚持和发展新时代“枫桥经验”，健全完善现代乡村治理体系，繁荣乡村文化，提振乡村精气神。要建立多元化投入保障机制，积极统筹政府投资、社会资本、金融工具支持乡村振兴，有效解决财力问题。</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rPr>
        <w:t>为进一步提高我</w:t>
      </w:r>
      <w:r>
        <w:rPr>
          <w:rFonts w:hint="eastAsia" w:ascii="仿宋_GB2312" w:hAnsi="仿宋_GB2312" w:eastAsia="仿宋_GB2312" w:cs="仿宋_GB2312"/>
          <w:color w:val="auto"/>
          <w:sz w:val="32"/>
          <w:szCs w:val="32"/>
          <w:lang w:eastAsia="zh-CN"/>
        </w:rPr>
        <w:t>部门</w:t>
      </w:r>
      <w:r>
        <w:rPr>
          <w:rFonts w:hint="eastAsia" w:ascii="仿宋_GB2312" w:hAnsi="仿宋_GB2312" w:eastAsia="仿宋_GB2312" w:cs="仿宋_GB2312"/>
          <w:color w:val="auto"/>
          <w:sz w:val="32"/>
          <w:szCs w:val="32"/>
        </w:rPr>
        <w:t>绩效预算管理工作，根据《</w:t>
      </w:r>
      <w:r>
        <w:rPr>
          <w:rFonts w:hint="eastAsia" w:ascii="仿宋_GB2312" w:hAnsi="仿宋_GB2312" w:eastAsia="仿宋_GB2312" w:cs="仿宋_GB2312"/>
          <w:color w:val="auto"/>
          <w:sz w:val="32"/>
          <w:szCs w:val="32"/>
          <w:lang w:eastAsia="zh-CN"/>
        </w:rPr>
        <w:t>石家庄市井陉矿区财政局关于开展</w:t>
      </w:r>
      <w:r>
        <w:rPr>
          <w:rFonts w:hint="eastAsia" w:ascii="仿宋_GB2312" w:hAnsi="仿宋_GB2312" w:eastAsia="仿宋_GB2312" w:cs="仿宋_GB2312"/>
          <w:color w:val="auto"/>
          <w:sz w:val="32"/>
          <w:szCs w:val="32"/>
          <w:lang w:val="en-US" w:eastAsia="zh-CN"/>
        </w:rPr>
        <w:t>2025年绩效自评工作的通知》和《井陉矿区区级部门项目自评管理办法》</w:t>
      </w:r>
      <w:r>
        <w:rPr>
          <w:rFonts w:hint="eastAsia" w:ascii="仿宋_GB2312" w:hAnsi="仿宋_GB2312" w:eastAsia="仿宋_GB2312" w:cs="仿宋_GB2312"/>
          <w:color w:val="auto"/>
          <w:sz w:val="32"/>
          <w:szCs w:val="32"/>
        </w:rPr>
        <w:t>（矿</w:t>
      </w:r>
      <w:r>
        <w:rPr>
          <w:rFonts w:hint="eastAsia" w:ascii="仿宋_GB2312" w:hAnsi="仿宋_GB2312" w:eastAsia="仿宋_GB2312" w:cs="仿宋_GB2312"/>
          <w:color w:val="auto"/>
          <w:sz w:val="32"/>
          <w:szCs w:val="32"/>
          <w:lang w:eastAsia="zh-CN"/>
        </w:rPr>
        <w:t>财</w:t>
      </w:r>
      <w:r>
        <w:rPr>
          <w:rFonts w:hint="eastAsia" w:ascii="仿宋_GB2312" w:hAnsi="仿宋_GB2312" w:eastAsia="仿宋_GB2312" w:cs="仿宋_GB2312"/>
          <w:color w:val="auto"/>
          <w:sz w:val="32"/>
          <w:szCs w:val="32"/>
          <w:lang w:val="en-US" w:eastAsia="zh-CN"/>
        </w:rPr>
        <w:t>[2021]12</w:t>
      </w:r>
      <w:r>
        <w:rPr>
          <w:rFonts w:hint="eastAsia" w:ascii="仿宋_GB2312" w:hAnsi="仿宋_GB2312" w:eastAsia="仿宋_GB2312" w:cs="仿宋_GB2312"/>
          <w:color w:val="auto"/>
          <w:sz w:val="32"/>
          <w:szCs w:val="32"/>
        </w:rPr>
        <w:t>号）要求，成立</w:t>
      </w:r>
      <w:r>
        <w:rPr>
          <w:rFonts w:hint="eastAsia" w:ascii="仿宋_GB2312" w:hAnsi="仿宋_GB2312" w:eastAsia="仿宋_GB2312" w:cs="仿宋_GB2312"/>
          <w:color w:val="auto"/>
          <w:sz w:val="32"/>
          <w:szCs w:val="32"/>
          <w:lang w:eastAsia="zh-CN"/>
        </w:rPr>
        <w:t>部门</w:t>
      </w:r>
      <w:r>
        <w:rPr>
          <w:rFonts w:hint="eastAsia" w:ascii="仿宋_GB2312" w:hAnsi="仿宋_GB2312" w:eastAsia="仿宋_GB2312" w:cs="仿宋_GB2312"/>
          <w:color w:val="auto"/>
          <w:sz w:val="32"/>
          <w:szCs w:val="32"/>
        </w:rPr>
        <w:t>绩效评价工作</w:t>
      </w:r>
      <w:r>
        <w:rPr>
          <w:rFonts w:hint="eastAsia" w:ascii="仿宋_GB2312" w:hAnsi="仿宋_GB2312" w:eastAsia="仿宋_GB2312" w:cs="仿宋_GB2312"/>
          <w:color w:val="auto"/>
          <w:sz w:val="32"/>
          <w:szCs w:val="32"/>
          <w:lang w:eastAsia="zh-CN"/>
        </w:rPr>
        <w:t>小</w:t>
      </w:r>
      <w:r>
        <w:rPr>
          <w:rFonts w:hint="eastAsia" w:ascii="仿宋_GB2312" w:hAnsi="仿宋_GB2312" w:eastAsia="仿宋_GB2312" w:cs="仿宋_GB2312"/>
          <w:color w:val="auto"/>
          <w:sz w:val="32"/>
          <w:szCs w:val="32"/>
        </w:rPr>
        <w:t>组，对</w:t>
      </w:r>
      <w:r>
        <w:rPr>
          <w:rFonts w:hint="eastAsia" w:ascii="仿宋_GB2312" w:hAnsi="仿宋_GB2312" w:eastAsia="仿宋_GB2312" w:cs="仿宋_GB2312"/>
          <w:color w:val="auto"/>
          <w:sz w:val="32"/>
          <w:szCs w:val="32"/>
          <w:lang w:eastAsia="zh-CN"/>
        </w:rPr>
        <w:t>部门</w:t>
      </w:r>
      <w:r>
        <w:rPr>
          <w:rFonts w:hint="eastAsia" w:ascii="仿宋_GB2312" w:hAnsi="仿宋_GB2312" w:eastAsia="仿宋_GB2312" w:cs="仿宋_GB2312"/>
          <w:color w:val="auto"/>
          <w:sz w:val="32"/>
          <w:szCs w:val="32"/>
          <w:lang w:val="en-US" w:eastAsia="zh-CN"/>
        </w:rPr>
        <w:t>2024年度</w:t>
      </w:r>
      <w:r>
        <w:rPr>
          <w:rFonts w:hint="eastAsia" w:ascii="仿宋_GB2312" w:hAnsi="仿宋_GB2312" w:eastAsia="仿宋_GB2312" w:cs="仿宋_GB2312"/>
          <w:color w:val="auto"/>
          <w:sz w:val="32"/>
          <w:szCs w:val="32"/>
        </w:rPr>
        <w:t>所有</w:t>
      </w:r>
      <w:r>
        <w:rPr>
          <w:rFonts w:hint="eastAsia" w:ascii="仿宋_GB2312" w:hAnsi="仿宋_GB2312" w:eastAsia="仿宋_GB2312" w:cs="仿宋_GB2312"/>
          <w:color w:val="auto"/>
          <w:sz w:val="32"/>
          <w:szCs w:val="32"/>
          <w:lang w:eastAsia="zh-CN"/>
        </w:rPr>
        <w:t>专项</w:t>
      </w:r>
      <w:r>
        <w:rPr>
          <w:rFonts w:hint="eastAsia" w:ascii="仿宋_GB2312" w:hAnsi="仿宋_GB2312" w:eastAsia="仿宋_GB2312" w:cs="仿宋_GB2312"/>
          <w:color w:val="auto"/>
          <w:sz w:val="32"/>
          <w:szCs w:val="32"/>
        </w:rPr>
        <w:t>项目</w:t>
      </w:r>
      <w:r>
        <w:rPr>
          <w:rFonts w:hint="eastAsia" w:ascii="仿宋_GB2312" w:hAnsi="仿宋_GB2312" w:eastAsia="仿宋_GB2312" w:cs="仿宋_GB2312"/>
          <w:color w:val="auto"/>
          <w:sz w:val="32"/>
          <w:szCs w:val="32"/>
          <w:lang w:eastAsia="zh-CN"/>
        </w:rPr>
        <w:t>开展绩效自评和部门整体支出绩效自评。</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绩效评价工作</w:t>
      </w:r>
      <w:r>
        <w:rPr>
          <w:rFonts w:hint="eastAsia" w:ascii="仿宋_GB2312" w:hAnsi="仿宋_GB2312" w:eastAsia="仿宋_GB2312" w:cs="仿宋_GB2312"/>
          <w:sz w:val="32"/>
          <w:szCs w:val="32"/>
          <w:lang w:eastAsia="zh-CN"/>
        </w:rPr>
        <w:t>小</w:t>
      </w:r>
      <w:r>
        <w:rPr>
          <w:rFonts w:hint="eastAsia" w:ascii="仿宋_GB2312" w:hAnsi="仿宋_GB2312" w:eastAsia="仿宋_GB2312" w:cs="仿宋_GB2312"/>
          <w:sz w:val="32"/>
          <w:szCs w:val="32"/>
        </w:rPr>
        <w:t>组明确任务分工，确定评价程序及时间安排。根据202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年初设定的绩效目标完成情况和各绩效指标完成情况进行核实分析，填报</w:t>
      </w:r>
      <w:r>
        <w:rPr>
          <w:rFonts w:hint="eastAsia" w:ascii="仿宋_GB2312" w:hAnsi="仿宋_GB2312" w:eastAsia="仿宋_GB2312" w:cs="仿宋_GB2312"/>
          <w:sz w:val="32"/>
          <w:szCs w:val="32"/>
          <w:lang w:eastAsia="zh-CN"/>
        </w:rPr>
        <w:t>了</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24</w:t>
      </w:r>
      <w:r>
        <w:rPr>
          <w:rFonts w:hint="eastAsia" w:ascii="仿宋_GB2312" w:hAnsi="仿宋_GB2312" w:eastAsia="仿宋_GB2312" w:cs="仿宋_GB2312"/>
          <w:sz w:val="32"/>
          <w:szCs w:val="32"/>
        </w:rPr>
        <w:t>年区级项目绩效自评表》，并</w:t>
      </w:r>
      <w:r>
        <w:rPr>
          <w:rFonts w:hint="eastAsia" w:ascii="仿宋_GB2312" w:hAnsi="仿宋_GB2312" w:eastAsia="仿宋_GB2312" w:cs="仿宋_GB2312"/>
          <w:sz w:val="32"/>
          <w:szCs w:val="32"/>
          <w:lang w:eastAsia="zh-CN"/>
        </w:rPr>
        <w:t>结合评价情况</w:t>
      </w:r>
      <w:r>
        <w:rPr>
          <w:rFonts w:hint="eastAsia" w:ascii="仿宋_GB2312" w:hAnsi="仿宋_GB2312" w:eastAsia="仿宋_GB2312" w:cs="仿宋_GB2312"/>
          <w:sz w:val="32"/>
          <w:szCs w:val="32"/>
        </w:rPr>
        <w:t>撰写绩效自评报告</w:t>
      </w:r>
      <w:r>
        <w:rPr>
          <w:rFonts w:hint="eastAsia" w:ascii="仿宋_GB2312" w:hAnsi="仿宋_GB2312" w:eastAsia="仿宋_GB2312" w:cs="仿宋_GB2312"/>
          <w:sz w:val="32"/>
          <w:szCs w:val="32"/>
          <w:lang w:eastAsia="zh-CN"/>
        </w:rPr>
        <w:t>及自评结果应用情况报告</w:t>
      </w:r>
      <w:r>
        <w:rPr>
          <w:rFonts w:hint="eastAsia" w:ascii="仿宋_GB2312" w:hAnsi="仿宋_GB2312" w:eastAsia="仿宋_GB2312" w:cs="仿宋_GB2312"/>
          <w:sz w:val="32"/>
          <w:szCs w:val="32"/>
        </w:rPr>
        <w:t>。</w:t>
      </w:r>
    </w:p>
    <w:p>
      <w:pPr>
        <w:pStyle w:val="6"/>
        <w:keepNext w:val="0"/>
        <w:keepLines w:val="0"/>
        <w:pageBreakBefore w:val="0"/>
        <w:widowControl w:val="0"/>
        <w:kinsoku/>
        <w:wordWrap/>
        <w:overflowPunct/>
        <w:topLinePunct w:val="0"/>
        <w:autoSpaceDE/>
        <w:autoSpaceDN/>
        <w:bidi w:val="0"/>
        <w:spacing w:line="540" w:lineRule="exact"/>
        <w:ind w:firstLine="640"/>
        <w:textAlignment w:val="auto"/>
        <w:outlineLvl w:val="9"/>
        <w:rPr>
          <w:rFonts w:hint="eastAsia" w:ascii="楷体" w:hAnsi="楷体" w:eastAsia="楷体" w:cs="楷体_GB2312"/>
          <w:bCs/>
          <w:sz w:val="32"/>
          <w:szCs w:val="32"/>
        </w:rPr>
      </w:pPr>
      <w:r>
        <w:rPr>
          <w:rFonts w:hint="eastAsia" w:ascii="楷体" w:hAnsi="楷体" w:eastAsia="楷体" w:cs="楷体_GB2312"/>
          <w:bCs/>
          <w:sz w:val="32"/>
          <w:szCs w:val="32"/>
          <w:lang w:eastAsia="zh-CN"/>
        </w:rPr>
        <w:t>（二）</w:t>
      </w:r>
      <w:r>
        <w:rPr>
          <w:rFonts w:hint="eastAsia" w:ascii="楷体" w:hAnsi="楷体" w:eastAsia="楷体" w:cs="楷体_GB2312"/>
          <w:bCs/>
          <w:sz w:val="32"/>
          <w:szCs w:val="32"/>
        </w:rPr>
        <w:t>自评的方法和过程</w:t>
      </w:r>
    </w:p>
    <w:p>
      <w:pPr>
        <w:pStyle w:val="6"/>
        <w:keepNext w:val="0"/>
        <w:keepLines w:val="0"/>
        <w:pageBreakBefore w:val="0"/>
        <w:widowControl w:val="0"/>
        <w:kinsoku/>
        <w:wordWrap/>
        <w:overflowPunct/>
        <w:topLinePunct w:val="0"/>
        <w:autoSpaceDE/>
        <w:autoSpaceDN/>
        <w:bidi w:val="0"/>
        <w:spacing w:line="540" w:lineRule="exact"/>
        <w:ind w:firstLine="640"/>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本次</w:t>
      </w:r>
      <w:r>
        <w:rPr>
          <w:rFonts w:hint="eastAsia" w:ascii="仿宋_GB2312" w:hAnsi="仿宋_GB2312" w:cs="仿宋_GB2312"/>
          <w:color w:val="auto"/>
          <w:sz w:val="32"/>
          <w:szCs w:val="32"/>
          <w:lang w:eastAsia="zh-CN"/>
        </w:rPr>
        <w:t>部门项目</w:t>
      </w:r>
      <w:r>
        <w:rPr>
          <w:rFonts w:hint="eastAsia" w:ascii="仿宋_GB2312" w:hAnsi="仿宋_GB2312" w:eastAsia="仿宋_GB2312" w:cs="仿宋_GB2312"/>
          <w:color w:val="auto"/>
          <w:sz w:val="32"/>
          <w:szCs w:val="32"/>
        </w:rPr>
        <w:t>绩效</w:t>
      </w:r>
      <w:r>
        <w:rPr>
          <w:rFonts w:hint="eastAsia" w:ascii="仿宋_GB2312" w:hAnsi="仿宋_GB2312" w:cs="仿宋_GB2312"/>
          <w:color w:val="auto"/>
          <w:sz w:val="32"/>
          <w:szCs w:val="32"/>
          <w:lang w:eastAsia="zh-CN"/>
        </w:rPr>
        <w:t>自评紧紧围绕项目目标实现程度、资金使用效率全面进行自我评估，通过比较、数据分析、访谈及问卷调查等方法对照业务</w:t>
      </w:r>
      <w:r>
        <w:rPr>
          <w:rFonts w:hint="eastAsia" w:ascii="仿宋_GB2312" w:hAnsi="仿宋_GB2312" w:eastAsia="仿宋_GB2312" w:cs="仿宋_GB2312"/>
          <w:color w:val="auto"/>
          <w:sz w:val="32"/>
          <w:szCs w:val="32"/>
        </w:rPr>
        <w:t>股室提供的</w:t>
      </w:r>
      <w:r>
        <w:rPr>
          <w:rFonts w:hint="eastAsia" w:ascii="仿宋_GB2312" w:hAnsi="仿宋_GB2312" w:cs="仿宋_GB2312"/>
          <w:color w:val="auto"/>
          <w:sz w:val="32"/>
          <w:szCs w:val="32"/>
          <w:lang w:eastAsia="zh-CN"/>
        </w:rPr>
        <w:t>各</w:t>
      </w:r>
      <w:r>
        <w:rPr>
          <w:rFonts w:hint="eastAsia" w:ascii="仿宋_GB2312" w:hAnsi="仿宋_GB2312" w:eastAsia="仿宋_GB2312" w:cs="仿宋_GB2312"/>
          <w:color w:val="auto"/>
          <w:sz w:val="32"/>
          <w:szCs w:val="32"/>
        </w:rPr>
        <w:t>项目预算相关文件</w:t>
      </w:r>
      <w:r>
        <w:rPr>
          <w:rFonts w:hint="eastAsia" w:ascii="仿宋_GB2312" w:hAnsi="仿宋_GB2312" w:cs="仿宋_GB2312"/>
          <w:color w:val="auto"/>
          <w:sz w:val="32"/>
          <w:szCs w:val="32"/>
          <w:lang w:eastAsia="zh-CN"/>
        </w:rPr>
        <w:t>、</w:t>
      </w:r>
      <w:r>
        <w:rPr>
          <w:rFonts w:hint="eastAsia" w:ascii="仿宋_GB2312" w:hAnsi="仿宋_GB2312" w:eastAsia="仿宋_GB2312" w:cs="仿宋_GB2312"/>
          <w:color w:val="auto"/>
          <w:sz w:val="32"/>
          <w:szCs w:val="32"/>
        </w:rPr>
        <w:t>项目资料、工作总结</w:t>
      </w:r>
      <w:r>
        <w:rPr>
          <w:rFonts w:hint="eastAsia" w:ascii="仿宋_GB2312" w:hAnsi="仿宋_GB2312" w:cs="仿宋_GB2312"/>
          <w:color w:val="auto"/>
          <w:sz w:val="32"/>
          <w:szCs w:val="32"/>
          <w:lang w:eastAsia="zh-CN"/>
        </w:rPr>
        <w:t>及</w:t>
      </w:r>
      <w:r>
        <w:rPr>
          <w:rFonts w:hint="eastAsia" w:ascii="仿宋_GB2312" w:hAnsi="仿宋_GB2312" w:eastAsia="仿宋_GB2312" w:cs="仿宋_GB2312"/>
          <w:color w:val="auto"/>
          <w:sz w:val="32"/>
          <w:szCs w:val="32"/>
        </w:rPr>
        <w:t>合同</w:t>
      </w:r>
      <w:r>
        <w:rPr>
          <w:rFonts w:hint="eastAsia" w:ascii="仿宋_GB2312" w:hAnsi="仿宋_GB2312" w:cs="仿宋_GB2312"/>
          <w:color w:val="auto"/>
          <w:sz w:val="32"/>
          <w:szCs w:val="32"/>
          <w:lang w:eastAsia="zh-CN"/>
        </w:rPr>
        <w:t>履约情况等</w:t>
      </w:r>
      <w:r>
        <w:rPr>
          <w:rFonts w:hint="eastAsia" w:ascii="仿宋_GB2312" w:hAnsi="仿宋_GB2312" w:eastAsia="仿宋_GB2312" w:cs="仿宋_GB2312"/>
          <w:color w:val="auto"/>
          <w:sz w:val="32"/>
          <w:szCs w:val="32"/>
        </w:rPr>
        <w:t>逐项进行</w:t>
      </w:r>
      <w:r>
        <w:rPr>
          <w:rFonts w:hint="eastAsia" w:ascii="仿宋_GB2312" w:hAnsi="仿宋_GB2312" w:cs="仿宋_GB2312"/>
          <w:color w:val="auto"/>
          <w:sz w:val="32"/>
          <w:szCs w:val="32"/>
          <w:lang w:eastAsia="zh-CN"/>
        </w:rPr>
        <w:t>比照分析，着重评估预设目标的合理性及实际完成情况，分析具体原因；收集项目实施中的数据，量化分析绩效；向受益对象及合作方等发放问卷，收集对项目效果的主观评价，了解满意度、影响力等；与项目相关人员面对面交流，获取定性信息，补充具体细节等。目前</w:t>
      </w:r>
      <w:r>
        <w:rPr>
          <w:rFonts w:hint="eastAsia" w:ascii="仿宋_GB2312" w:hAnsi="仿宋_GB2312" w:eastAsia="仿宋_GB2312" w:cs="仿宋_GB2312"/>
          <w:color w:val="auto"/>
          <w:sz w:val="32"/>
          <w:szCs w:val="32"/>
        </w:rPr>
        <w:t>通过调研、相关文件的解读、数据采集、文件调查、数据分析、指标评分和撰写的环节，顺利完成了本次</w:t>
      </w:r>
      <w:r>
        <w:rPr>
          <w:rFonts w:hint="eastAsia" w:ascii="仿宋_GB2312" w:hAnsi="仿宋_GB2312" w:cs="仿宋_GB2312"/>
          <w:color w:val="auto"/>
          <w:sz w:val="32"/>
          <w:szCs w:val="32"/>
          <w:lang w:eastAsia="zh-CN"/>
        </w:rPr>
        <w:t>部门</w:t>
      </w:r>
      <w:r>
        <w:rPr>
          <w:rFonts w:hint="eastAsia" w:ascii="仿宋_GB2312" w:hAnsi="仿宋_GB2312" w:eastAsia="仿宋_GB2312" w:cs="仿宋_GB2312"/>
          <w:color w:val="auto"/>
          <w:sz w:val="32"/>
          <w:szCs w:val="32"/>
        </w:rPr>
        <w:t>绩效评价工作。</w:t>
      </w:r>
    </w:p>
    <w:p>
      <w:pPr>
        <w:numPr>
          <w:ilvl w:val="0"/>
          <w:numId w:val="0"/>
        </w:numPr>
        <w:spacing w:line="560" w:lineRule="exact"/>
        <w:ind w:left="642" w:leftChars="0"/>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left="0"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adjustRightInd w:val="0"/>
        <w:snapToGrid w:val="0"/>
        <w:spacing w:line="560" w:lineRule="exact"/>
        <w:ind w:firstLine="640" w:firstLineChars="200"/>
        <w:rPr>
          <w:rFonts w:hint="eastAsia" w:ascii="仿宋_GB2312" w:hAnsi="仿宋_GB2312" w:eastAsia="仿宋_GB2312" w:cs="仿宋_GB2312"/>
          <w:b w:val="0"/>
          <w:i w:val="0"/>
          <w:caps w:val="0"/>
          <w:color w:val="auto"/>
          <w:spacing w:val="0"/>
          <w:kern w:val="0"/>
          <w:sz w:val="32"/>
          <w:szCs w:val="32"/>
          <w:highlight w:val="none"/>
          <w:lang w:val="en-US" w:eastAsia="zh-CN" w:bidi="ar"/>
        </w:rPr>
      </w:pPr>
      <w:r>
        <w:rPr>
          <w:rFonts w:hint="eastAsia" w:ascii="仿宋_GB2312" w:hAnsi="仿宋_GB2312" w:eastAsia="仿宋_GB2312" w:cs="仿宋_GB2312"/>
          <w:color w:val="auto"/>
          <w:sz w:val="32"/>
          <w:szCs w:val="32"/>
          <w:highlight w:val="none"/>
          <w:lang w:val="en-US" w:eastAsia="zh-CN"/>
        </w:rPr>
        <w:t>2024年度，我部门紧紧围绕年初</w:t>
      </w:r>
      <w:r>
        <w:rPr>
          <w:rFonts w:hint="eastAsia" w:ascii="仿宋_GB2312" w:hAnsi="仿宋_GB2312" w:eastAsia="仿宋_GB2312" w:cs="仿宋_GB2312"/>
          <w:color w:val="auto"/>
          <w:sz w:val="32"/>
          <w:szCs w:val="32"/>
          <w:highlight w:val="none"/>
          <w:lang w:eastAsia="zh-CN"/>
        </w:rPr>
        <w:t>总体绩效目标，组织开展各项业务工作，严格履行部门职责，圆满地实现了总体绩效目标，具体实现情况如下：</w:t>
      </w:r>
    </w:p>
    <w:p>
      <w:pPr>
        <w:keepNext w:val="0"/>
        <w:keepLines w:val="0"/>
        <w:pageBreakBefore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sz w:val="32"/>
          <w:szCs w:val="32"/>
        </w:rPr>
      </w:pPr>
      <w:r>
        <w:rPr>
          <w:rStyle w:val="13"/>
          <w:rFonts w:hint="eastAsia" w:ascii="仿宋_GB2312" w:hAnsi="仿宋_GB2312" w:eastAsia="仿宋_GB2312" w:cs="仿宋_GB2312"/>
          <w:b/>
          <w:bCs w:val="0"/>
          <w:sz w:val="32"/>
          <w:szCs w:val="32"/>
          <w:lang w:val="en-US" w:eastAsia="zh-CN"/>
        </w:rPr>
        <w:t>1、</w:t>
      </w:r>
      <w:r>
        <w:rPr>
          <w:rStyle w:val="13"/>
          <w:rFonts w:hint="eastAsia" w:ascii="仿宋_GB2312" w:hAnsi="仿宋_GB2312" w:eastAsia="仿宋_GB2312" w:cs="仿宋_GB2312"/>
          <w:b/>
          <w:bCs w:val="0"/>
          <w:sz w:val="32"/>
          <w:szCs w:val="32"/>
        </w:rPr>
        <w:t>粮食安全有效保障。</w:t>
      </w:r>
      <w:r>
        <w:rPr>
          <w:rFonts w:hint="eastAsia" w:ascii="仿宋_GB2312" w:hAnsi="仿宋_GB2312" w:eastAsia="仿宋_GB2312" w:cs="仿宋_GB2312"/>
          <w:b/>
          <w:bCs/>
          <w:sz w:val="32"/>
          <w:szCs w:val="32"/>
        </w:rPr>
        <w:t>一是</w:t>
      </w:r>
      <w:r>
        <w:rPr>
          <w:rFonts w:hint="eastAsia" w:ascii="仿宋_GB2312" w:hAnsi="仿宋_GB2312" w:eastAsia="仿宋_GB2312" w:cs="仿宋_GB2312"/>
          <w:sz w:val="32"/>
          <w:szCs w:val="32"/>
          <w:lang w:eastAsia="zh-CN"/>
        </w:rPr>
        <w:t>粮食生产保障有力</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完成粮食生产面积</w:t>
      </w:r>
      <w:r>
        <w:rPr>
          <w:rFonts w:hint="eastAsia" w:ascii="仿宋_GB2312" w:hAnsi="仿宋_GB2312" w:eastAsia="仿宋_GB2312" w:cs="仿宋_GB2312"/>
          <w:sz w:val="32"/>
          <w:szCs w:val="32"/>
          <w:lang w:val="en-US" w:eastAsia="zh-CN"/>
        </w:rPr>
        <w:t>5918亩，其中小麦面积</w:t>
      </w:r>
      <w:r>
        <w:rPr>
          <w:rFonts w:hint="eastAsia" w:ascii="仿宋_GB2312" w:hAnsi="仿宋_GB2312" w:eastAsia="仿宋_GB2312" w:cs="仿宋_GB2312"/>
          <w:sz w:val="32"/>
          <w:szCs w:val="32"/>
        </w:rPr>
        <w:t>1403亩</w:t>
      </w:r>
      <w:r>
        <w:rPr>
          <w:rFonts w:hint="eastAsia" w:ascii="仿宋_GB2312" w:hAnsi="仿宋_GB2312" w:eastAsia="仿宋_GB2312" w:cs="仿宋_GB2312"/>
          <w:sz w:val="32"/>
          <w:szCs w:val="32"/>
          <w:lang w:eastAsia="zh-CN"/>
        </w:rPr>
        <w:t>，玉米种植面积</w:t>
      </w:r>
      <w:r>
        <w:rPr>
          <w:rFonts w:hint="eastAsia" w:ascii="仿宋_GB2312" w:hAnsi="仿宋_GB2312" w:eastAsia="仿宋_GB2312" w:cs="仿宋_GB2312"/>
          <w:sz w:val="32"/>
          <w:szCs w:val="32"/>
          <w:lang w:val="en-US" w:eastAsia="zh-CN"/>
        </w:rPr>
        <w:t>4515亩，</w:t>
      </w:r>
      <w:r>
        <w:rPr>
          <w:rFonts w:hint="eastAsia" w:ascii="仿宋_GB2312" w:hAnsi="仿宋_GB2312" w:eastAsia="仿宋_GB2312" w:cs="仿宋_GB2312"/>
          <w:sz w:val="32"/>
          <w:szCs w:val="32"/>
          <w:lang w:eastAsia="zh-CN"/>
        </w:rPr>
        <w:t>超额完成市局下达的粮食生产任务目标</w:t>
      </w:r>
      <w:r>
        <w:rPr>
          <w:rFonts w:hint="eastAsia" w:ascii="仿宋_GB2312" w:hAnsi="仿宋_GB2312" w:eastAsia="仿宋_GB2312" w:cs="仿宋_GB2312"/>
          <w:sz w:val="32"/>
          <w:szCs w:val="32"/>
        </w:rPr>
        <w:t>。</w:t>
      </w:r>
      <w:r>
        <w:rPr>
          <w:rFonts w:hint="eastAsia" w:ascii="仿宋_GB2312" w:hAnsi="仿宋_GB2312" w:eastAsia="仿宋_GB2312" w:cs="仿宋_GB2312"/>
          <w:b/>
          <w:bCs/>
          <w:sz w:val="32"/>
          <w:szCs w:val="32"/>
        </w:rPr>
        <w:t>二是</w:t>
      </w:r>
      <w:r>
        <w:rPr>
          <w:rFonts w:hint="eastAsia" w:ascii="仿宋_GB2312" w:hAnsi="仿宋_GB2312" w:eastAsia="仿宋_GB2312" w:cs="仿宋_GB2312"/>
          <w:b w:val="0"/>
          <w:bCs w:val="0"/>
          <w:sz w:val="32"/>
          <w:szCs w:val="32"/>
          <w:lang w:eastAsia="zh-CN"/>
        </w:rPr>
        <w:t>粮食安全保障有度，</w:t>
      </w:r>
      <w:r>
        <w:rPr>
          <w:rFonts w:hint="eastAsia" w:ascii="仿宋_GB2312" w:hAnsi="仿宋_GB2312" w:eastAsia="仿宋_GB2312" w:cs="仿宋_GB2312"/>
          <w:sz w:val="32"/>
          <w:szCs w:val="32"/>
        </w:rPr>
        <w:t>开展了耕地“非粮化”、撂荒地排查工作，确保粮食安全</w:t>
      </w:r>
      <w:r>
        <w:rPr>
          <w:rFonts w:hint="eastAsia" w:ascii="仿宋" w:hAnsi="仿宋" w:eastAsia="仿宋"/>
          <w:sz w:val="32"/>
          <w:szCs w:val="32"/>
        </w:rPr>
        <w:t>。</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_GB2312" w:eastAsia="仿宋_GB2312"/>
          <w:bCs/>
          <w:sz w:val="32"/>
          <w:szCs w:val="32"/>
        </w:rPr>
      </w:pPr>
      <w:r>
        <w:rPr>
          <w:rStyle w:val="13"/>
          <w:rFonts w:hint="eastAsia" w:ascii="楷体_GB2312" w:hAnsi="楷体_GB2312" w:eastAsia="楷体_GB2312" w:cs="楷体_GB2312"/>
          <w:b w:val="0"/>
          <w:bCs/>
          <w:sz w:val="32"/>
          <w:szCs w:val="32"/>
          <w:lang w:val="en-US" w:eastAsia="zh-CN"/>
        </w:rPr>
        <w:t>2、</w:t>
      </w:r>
      <w:r>
        <w:rPr>
          <w:rStyle w:val="13"/>
          <w:rFonts w:hint="eastAsia" w:ascii="仿宋_GB2312" w:hAnsi="仿宋_GB2312" w:eastAsia="仿宋_GB2312" w:cs="仿宋_GB2312"/>
          <w:b/>
          <w:bCs w:val="0"/>
          <w:sz w:val="32"/>
          <w:szCs w:val="32"/>
          <w:lang w:eastAsia="zh-CN"/>
        </w:rPr>
        <w:t>农业</w:t>
      </w:r>
      <w:r>
        <w:rPr>
          <w:rStyle w:val="13"/>
          <w:rFonts w:hint="eastAsia" w:ascii="仿宋_GB2312" w:hAnsi="仿宋_GB2312" w:eastAsia="仿宋_GB2312" w:cs="仿宋_GB2312"/>
          <w:b/>
          <w:bCs w:val="0"/>
          <w:sz w:val="32"/>
          <w:szCs w:val="32"/>
        </w:rPr>
        <w:t>产业提质增效。</w:t>
      </w:r>
      <w:r>
        <w:rPr>
          <w:rFonts w:hint="eastAsia" w:ascii="仿宋_GB2312" w:eastAsia="仿宋_GB2312"/>
          <w:b/>
          <w:bCs/>
          <w:sz w:val="32"/>
          <w:szCs w:val="32"/>
        </w:rPr>
        <w:t>一是</w:t>
      </w:r>
      <w:r>
        <w:rPr>
          <w:rFonts w:hint="eastAsia" w:ascii="仿宋_GB2312" w:eastAsia="仿宋_GB2312"/>
          <w:bCs/>
          <w:sz w:val="32"/>
          <w:szCs w:val="32"/>
        </w:rPr>
        <w:t>龙头企业创建</w:t>
      </w:r>
      <w:r>
        <w:rPr>
          <w:rFonts w:ascii="仿宋_GB2312" w:eastAsia="仿宋_GB2312"/>
          <w:bCs/>
          <w:sz w:val="32"/>
          <w:szCs w:val="32"/>
        </w:rPr>
        <w:t>取得显著成果。</w:t>
      </w:r>
      <w:r>
        <w:rPr>
          <w:rFonts w:ascii="仿宋_GB2312" w:eastAsia="仿宋_GB2312"/>
          <w:sz w:val="32"/>
          <w:szCs w:val="32"/>
        </w:rPr>
        <w:t>组织锦翘科技申报市级龙头企业，已通过市级审核，完成年度创建任务。</w:t>
      </w:r>
      <w:r>
        <w:rPr>
          <w:rFonts w:hint="eastAsia" w:ascii="仿宋_GB2312" w:eastAsia="仿宋_GB2312"/>
          <w:b/>
          <w:bCs/>
          <w:sz w:val="32"/>
          <w:szCs w:val="32"/>
          <w:lang w:eastAsia="zh-CN"/>
        </w:rPr>
        <w:t>二</w:t>
      </w:r>
      <w:r>
        <w:rPr>
          <w:rFonts w:ascii="仿宋_GB2312" w:eastAsia="仿宋_GB2312"/>
          <w:b/>
          <w:bCs/>
          <w:sz w:val="32"/>
          <w:szCs w:val="32"/>
        </w:rPr>
        <w:t>是</w:t>
      </w:r>
      <w:r>
        <w:rPr>
          <w:rFonts w:ascii="仿宋_GB2312" w:eastAsia="仿宋_GB2312"/>
          <w:bCs/>
          <w:sz w:val="32"/>
          <w:szCs w:val="32"/>
        </w:rPr>
        <w:t>各项产业项目建设基本完工。锦翘科技2024年度招商引资市级奖补资金项目和河北银旺、兆丰两个村企合作市级奖补资金项目已全部完工</w:t>
      </w:r>
      <w:r>
        <w:rPr>
          <w:rFonts w:hint="eastAsia" w:ascii="仿宋_GB2312" w:eastAsia="仿宋_GB2312"/>
          <w:bCs/>
          <w:sz w:val="32"/>
          <w:szCs w:val="32"/>
          <w:lang w:eastAsia="zh-CN"/>
        </w:rPr>
        <w:t>评审</w:t>
      </w:r>
      <w:r>
        <w:rPr>
          <w:rFonts w:ascii="仿宋_GB2312" w:eastAsia="仿宋_GB2312"/>
          <w:bCs/>
          <w:sz w:val="32"/>
          <w:szCs w:val="32"/>
        </w:rPr>
        <w:t>，奖补资金兑现</w:t>
      </w:r>
      <w:r>
        <w:rPr>
          <w:rFonts w:hint="eastAsia" w:ascii="仿宋_GB2312" w:eastAsia="仿宋_GB2312"/>
          <w:bCs/>
          <w:sz w:val="32"/>
          <w:szCs w:val="32"/>
          <w:lang w:eastAsia="zh-CN"/>
        </w:rPr>
        <w:t>到位。</w:t>
      </w:r>
      <w:r>
        <w:rPr>
          <w:rFonts w:ascii="仿宋_GB2312" w:eastAsia="仿宋_GB2312"/>
          <w:bCs/>
          <w:sz w:val="32"/>
          <w:szCs w:val="32"/>
        </w:rPr>
        <w:t>天户峪2024年省级乡村振兴衔接资金项目已完工并验收评审，</w:t>
      </w:r>
      <w:r>
        <w:rPr>
          <w:rFonts w:hint="eastAsia" w:ascii="仿宋_GB2312" w:eastAsia="仿宋_GB2312"/>
          <w:bCs/>
          <w:sz w:val="32"/>
          <w:szCs w:val="32"/>
          <w:lang w:eastAsia="zh-CN"/>
        </w:rPr>
        <w:t>资金支付率</w:t>
      </w:r>
      <w:r>
        <w:rPr>
          <w:rFonts w:hint="eastAsia" w:ascii="仿宋_GB2312" w:eastAsia="仿宋_GB2312"/>
          <w:bCs/>
          <w:sz w:val="32"/>
          <w:szCs w:val="32"/>
          <w:lang w:val="en-US" w:eastAsia="zh-CN"/>
        </w:rPr>
        <w:t>100%。</w:t>
      </w:r>
    </w:p>
    <w:p>
      <w:pPr>
        <w:keepNext w:val="0"/>
        <w:keepLines w:val="0"/>
        <w:pageBreakBefore w:val="0"/>
        <w:widowControl w:val="0"/>
        <w:kinsoku/>
        <w:wordWrap/>
        <w:overflowPunct/>
        <w:topLinePunct w:val="0"/>
        <w:autoSpaceDE/>
        <w:autoSpaceDN/>
        <w:bidi w:val="0"/>
        <w:adjustRightInd/>
        <w:snapToGrid/>
        <w:spacing w:line="600" w:lineRule="exact"/>
        <w:ind w:left="0" w:right="0" w:firstLine="643" w:firstLineChars="200"/>
        <w:textAlignment w:val="auto"/>
        <w:rPr>
          <w:rFonts w:hint="eastAsia" w:ascii="仿宋_GB2312" w:eastAsia="仿宋_GB2312" w:cs="仿宋_GB2312"/>
          <w:kern w:val="2"/>
          <w:sz w:val="32"/>
          <w:szCs w:val="32"/>
          <w:lang w:val="en-US" w:eastAsia="zh-CN" w:bidi="ar-SA"/>
        </w:rPr>
      </w:pPr>
      <w:r>
        <w:rPr>
          <w:rStyle w:val="13"/>
          <w:rFonts w:hint="eastAsia" w:ascii="仿宋_GB2312" w:hAnsi="仿宋_GB2312" w:eastAsia="仿宋_GB2312" w:cs="仿宋_GB2312"/>
          <w:b/>
          <w:bCs w:val="0"/>
          <w:sz w:val="32"/>
          <w:szCs w:val="32"/>
          <w:lang w:val="en-US" w:eastAsia="zh-CN"/>
        </w:rPr>
        <w:t>3、</w:t>
      </w:r>
      <w:r>
        <w:rPr>
          <w:rStyle w:val="13"/>
          <w:rFonts w:hint="eastAsia" w:ascii="仿宋_GB2312" w:hAnsi="仿宋_GB2312" w:eastAsia="仿宋_GB2312" w:cs="仿宋_GB2312"/>
          <w:b/>
          <w:bCs w:val="0"/>
          <w:sz w:val="32"/>
          <w:szCs w:val="32"/>
        </w:rPr>
        <w:t>乡村建设步伐加快。</w:t>
      </w:r>
      <w:r>
        <w:rPr>
          <w:rStyle w:val="16"/>
          <w:rFonts w:ascii="仿宋_GB2312" w:hAnsi="仿宋_GB2312" w:eastAsia="仿宋_GB2312" w:cs="仿宋_GB2312"/>
          <w:b/>
          <w:bCs/>
          <w:i w:val="0"/>
          <w:caps w:val="0"/>
          <w:smallCaps w:val="0"/>
          <w:color w:val="000000"/>
          <w:spacing w:val="0"/>
          <w:w w:val="100"/>
          <w:kern w:val="2"/>
          <w:sz w:val="32"/>
          <w:szCs w:val="32"/>
          <w:lang w:val="en-US" w:eastAsia="zh-CN" w:bidi="ar-SA"/>
        </w:rPr>
        <w:t>一是</w:t>
      </w:r>
      <w:r>
        <w:rPr>
          <w:rStyle w:val="16"/>
          <w:rFonts w:hint="eastAsia" w:ascii="仿宋_GB2312" w:hAnsi="仿宋_GB2312" w:eastAsia="仿宋_GB2312" w:cs="仿宋_GB2312"/>
          <w:bCs/>
          <w:color w:val="000000"/>
          <w:sz w:val="32"/>
          <w:szCs w:val="32"/>
        </w:rPr>
        <w:t>推进</w:t>
      </w:r>
      <w:r>
        <w:rPr>
          <w:rStyle w:val="16"/>
          <w:rFonts w:hint="eastAsia" w:ascii="仿宋_GB2312" w:hAnsi="仿宋_GB2312" w:eastAsia="仿宋_GB2312" w:cs="仿宋_GB2312"/>
          <w:color w:val="000000"/>
          <w:sz w:val="32"/>
          <w:szCs w:val="32"/>
        </w:rPr>
        <w:t>建章</w:t>
      </w:r>
      <w:r>
        <w:rPr>
          <w:rStyle w:val="16"/>
          <w:rFonts w:ascii="仿宋_GB2312" w:hAnsi="仿宋_GB2312" w:eastAsia="仿宋_GB2312" w:cs="仿宋_GB2312"/>
          <w:i w:val="0"/>
          <w:caps w:val="0"/>
          <w:smallCaps w:val="0"/>
          <w:color w:val="000000"/>
          <w:spacing w:val="0"/>
          <w:w w:val="100"/>
          <w:kern w:val="2"/>
          <w:sz w:val="32"/>
          <w:szCs w:val="32"/>
          <w:lang w:val="en-US" w:eastAsia="zh-CN" w:bidi="ar-SA"/>
        </w:rPr>
        <w:t>立制。</w:t>
      </w:r>
      <w:r>
        <w:rPr>
          <w:rStyle w:val="16"/>
          <w:rFonts w:hint="eastAsia" w:ascii="仿宋_GB2312" w:hAnsi="仿宋_GB2312" w:eastAsia="仿宋_GB2312" w:cs="仿宋_GB2312"/>
          <w:b w:val="0"/>
          <w:i w:val="0"/>
          <w:caps w:val="0"/>
          <w:smallCaps w:val="0"/>
          <w:color w:val="000000"/>
          <w:spacing w:val="0"/>
          <w:w w:val="100"/>
          <w:kern w:val="2"/>
          <w:sz w:val="32"/>
          <w:szCs w:val="32"/>
          <w:lang w:val="en-US" w:eastAsia="zh-CN" w:bidi="ar-SA"/>
        </w:rPr>
        <w:t>结合区委“1365”工作思路，研究制定了《井陉矿区村庄清洁专项行动实施方案》《井陉矿区农村人居环境整改工作方案》，明确了各部门整治范围、整治任务和各部门职责任务；</w:t>
      </w:r>
      <w:r>
        <w:rPr>
          <w:rStyle w:val="16"/>
          <w:rFonts w:ascii="仿宋_GB2312" w:hAnsi="仿宋_GB2312" w:eastAsia="仿宋_GB2312" w:cs="仿宋_GB2312"/>
          <w:b w:val="0"/>
          <w:i w:val="0"/>
          <w:caps w:val="0"/>
          <w:smallCaps w:val="0"/>
          <w:color w:val="000000"/>
          <w:spacing w:val="0"/>
          <w:w w:val="100"/>
          <w:kern w:val="2"/>
          <w:sz w:val="32"/>
          <w:szCs w:val="32"/>
          <w:lang w:val="en-US" w:eastAsia="zh-CN" w:bidi="ar-SA"/>
        </w:rPr>
        <w:t>同时</w:t>
      </w:r>
      <w:r>
        <w:rPr>
          <w:rFonts w:hint="eastAsia" w:ascii="仿宋_GB2312" w:hAnsi="仿宋_GB2312" w:eastAsia="仿宋_GB2312" w:cs="仿宋_GB2312"/>
          <w:sz w:val="32"/>
          <w:szCs w:val="32"/>
          <w:highlight w:val="none"/>
          <w:lang w:val="en-US" w:eastAsia="zh-CN"/>
        </w:rPr>
        <w:t>进一</w:t>
      </w:r>
      <w:r>
        <w:rPr>
          <w:rFonts w:hint="eastAsia" w:ascii="仿宋_GB2312" w:hAnsi="仿宋_GB2312" w:eastAsia="仿宋_GB2312" w:cs="仿宋_GB2312"/>
          <w:sz w:val="32"/>
          <w:szCs w:val="32"/>
          <w:lang w:val="en-US" w:eastAsia="zh-CN"/>
        </w:rPr>
        <w:t>步完善</w:t>
      </w:r>
      <w:r>
        <w:rPr>
          <w:rFonts w:hint="eastAsia" w:ascii="仿宋_GB2312" w:hAnsi="仿宋_GB2312" w:eastAsia="仿宋_GB2312" w:cs="仿宋_GB2312"/>
          <w:sz w:val="32"/>
          <w:szCs w:val="32"/>
          <w:lang w:val="en-US"/>
        </w:rPr>
        <w:t>《井陉矿区环境卫生作业考核实施办法》</w:t>
      </w:r>
      <w:r>
        <w:rPr>
          <w:rFonts w:ascii="仿宋_GB2312" w:hAnsi="仿宋_GB2312" w:eastAsia="仿宋_GB2312" w:cs="仿宋_GB2312"/>
          <w:sz w:val="32"/>
          <w:szCs w:val="32"/>
          <w:lang w:val="en-US"/>
        </w:rPr>
        <w:t>，</w:t>
      </w:r>
      <w:r>
        <w:rPr>
          <w:rFonts w:hint="eastAsia" w:ascii="仿宋_GB2312" w:hAnsi="仿宋_GB2312" w:eastAsia="仿宋_GB2312" w:cs="仿宋_GB2312"/>
          <w:sz w:val="32"/>
          <w:szCs w:val="32"/>
          <w:lang w:val="en-US"/>
        </w:rPr>
        <w:t>保证农村生活垃圾日产日清</w:t>
      </w:r>
      <w:r>
        <w:rPr>
          <w:rFonts w:ascii="仿宋_GB2312" w:hAnsi="仿宋_GB2312" w:eastAsia="仿宋_GB2312" w:cs="仿宋_GB2312"/>
          <w:sz w:val="32"/>
          <w:szCs w:val="32"/>
          <w:lang w:val="en-US"/>
        </w:rPr>
        <w:t>。</w:t>
      </w:r>
      <w:r>
        <w:rPr>
          <w:rFonts w:ascii="仿宋_GB2312" w:hAnsi="仿宋_GB2312" w:eastAsia="仿宋_GB2312" w:cs="仿宋_GB2312"/>
          <w:b/>
          <w:bCs/>
          <w:sz w:val="32"/>
          <w:szCs w:val="32"/>
          <w:lang w:val="en-US"/>
        </w:rPr>
        <w:t>二是</w:t>
      </w:r>
      <w:r>
        <w:rPr>
          <w:rFonts w:ascii="仿宋_GB2312" w:hAnsi="仿宋" w:eastAsia="仿宋_GB2312" w:cs="仿宋_GB2312"/>
          <w:sz w:val="32"/>
          <w:szCs w:val="32"/>
          <w:lang w:eastAsia="zh-CN"/>
        </w:rPr>
        <w:t>全域清理整治。</w:t>
      </w:r>
      <w:r>
        <w:rPr>
          <w:rFonts w:hint="eastAsia" w:ascii="仿宋_GB2312" w:eastAsia="仿宋_GB2312" w:cs="仿宋_GB2312"/>
          <w:sz w:val="32"/>
          <w:szCs w:val="32"/>
          <w:lang w:eastAsia="zh-CN" w:bidi="ar-SA"/>
        </w:rPr>
        <w:t>开展大排查、大整治、大提升行动，</w:t>
      </w:r>
      <w:r>
        <w:rPr>
          <w:rFonts w:hint="eastAsia" w:ascii="仿宋_GB2312" w:eastAsia="仿宋_GB2312" w:cs="仿宋_GB2312"/>
          <w:sz w:val="32"/>
          <w:szCs w:val="32"/>
          <w:lang w:bidi="ar-SA"/>
        </w:rPr>
        <w:t>对垃圾乱倒等问题实</w:t>
      </w:r>
      <w:r>
        <w:rPr>
          <w:rFonts w:hint="eastAsia" w:ascii="仿宋_GB2312" w:eastAsia="仿宋_GB2312" w:cs="仿宋_GB2312"/>
          <w:sz w:val="32"/>
          <w:szCs w:val="32"/>
          <w:highlight w:val="none"/>
          <w:lang w:bidi="ar-SA"/>
        </w:rPr>
        <w:t>行日排查</w:t>
      </w:r>
      <w:r>
        <w:rPr>
          <w:rFonts w:hint="eastAsia" w:ascii="仿宋_GB2312" w:eastAsia="仿宋_GB2312" w:cs="仿宋_GB2312"/>
          <w:sz w:val="32"/>
          <w:szCs w:val="32"/>
          <w:highlight w:val="none"/>
          <w:lang w:eastAsia="zh-CN" w:bidi="ar-SA"/>
        </w:rPr>
        <w:t>、</w:t>
      </w:r>
      <w:r>
        <w:rPr>
          <w:rFonts w:hint="eastAsia" w:ascii="仿宋_GB2312" w:eastAsia="仿宋_GB2312" w:cs="仿宋_GB2312"/>
          <w:sz w:val="32"/>
          <w:szCs w:val="32"/>
          <w:highlight w:val="none"/>
          <w:lang w:bidi="ar-SA"/>
        </w:rPr>
        <w:t>随时清</w:t>
      </w:r>
      <w:r>
        <w:rPr>
          <w:rFonts w:hint="eastAsia" w:ascii="仿宋_GB2312" w:eastAsia="仿宋_GB2312" w:cs="仿宋_GB2312"/>
          <w:sz w:val="32"/>
          <w:szCs w:val="32"/>
          <w:highlight w:val="none"/>
          <w:lang w:eastAsia="zh-CN" w:bidi="ar-SA"/>
        </w:rPr>
        <w:t>，</w:t>
      </w:r>
      <w:r>
        <w:rPr>
          <w:rFonts w:hint="eastAsia" w:ascii="仿宋_GB2312" w:eastAsia="仿宋_GB2312" w:cs="仿宋_GB2312"/>
          <w:sz w:val="32"/>
          <w:szCs w:val="32"/>
          <w:highlight w:val="none"/>
          <w:lang w:bidi="ar-SA"/>
        </w:rPr>
        <w:t>有效</w:t>
      </w:r>
      <w:r>
        <w:rPr>
          <w:rFonts w:hint="eastAsia" w:ascii="仿宋_GB2312" w:eastAsia="仿宋_GB2312" w:cs="仿宋_GB2312"/>
          <w:sz w:val="32"/>
          <w:szCs w:val="32"/>
          <w:highlight w:val="none"/>
          <w:lang w:eastAsia="zh-CN" w:bidi="ar-SA"/>
        </w:rPr>
        <w:t>解决垃圾积存问题</w:t>
      </w:r>
      <w:r>
        <w:rPr>
          <w:rFonts w:hint="eastAsia" w:ascii="仿宋_GB2312" w:eastAsia="仿宋_GB2312" w:cs="仿宋_GB2312"/>
          <w:sz w:val="32"/>
          <w:szCs w:val="32"/>
          <w:lang w:val="en-US" w:eastAsia="zh-CN" w:bidi="ar-SA"/>
        </w:rPr>
        <w:t>，</w:t>
      </w:r>
      <w:r>
        <w:rPr>
          <w:rFonts w:hint="eastAsia" w:ascii="仿宋_GB2312" w:eastAsia="仿宋_GB2312" w:cs="仿宋_GB2312"/>
          <w:kern w:val="2"/>
          <w:sz w:val="32"/>
          <w:szCs w:val="32"/>
          <w:highlight w:val="none"/>
          <w:lang w:val="en-US" w:eastAsia="zh-CN" w:bidi="ar-SA"/>
        </w:rPr>
        <w:t>累计出动4100余人次，动用铲车、农用三轮车等机械设备850余车次，集中清理垃圾乱倒、杂物杂草等630余处，7500余平米。</w:t>
      </w:r>
      <w:r>
        <w:rPr>
          <w:rFonts w:ascii="仿宋_GB2312" w:eastAsia="仿宋_GB2312" w:cs="仿宋_GB2312"/>
          <w:b/>
          <w:bCs/>
          <w:kern w:val="2"/>
          <w:sz w:val="32"/>
          <w:szCs w:val="32"/>
          <w:highlight w:val="none"/>
          <w:lang w:val="en-US" w:eastAsia="zh-CN" w:bidi="ar-SA"/>
        </w:rPr>
        <w:t>三是</w:t>
      </w:r>
      <w:r>
        <w:rPr>
          <w:rFonts w:ascii="仿宋_GB2312" w:hAnsi="仿宋" w:eastAsia="仿宋_GB2312" w:cs="仿宋_GB2312"/>
          <w:sz w:val="32"/>
          <w:szCs w:val="32"/>
          <w:highlight w:val="none"/>
          <w:lang w:eastAsia="zh-CN"/>
        </w:rPr>
        <w:t>人机有效结合。</w:t>
      </w:r>
      <w:r>
        <w:rPr>
          <w:rFonts w:ascii="仿宋_GB2312" w:eastAsia="仿宋_GB2312" w:cs="仿宋_GB2312"/>
          <w:sz w:val="32"/>
          <w:szCs w:val="32"/>
        </w:rPr>
        <w:t>采取无人机航拍方式对全部30个农村社区进行巡航检查，</w:t>
      </w:r>
      <w:r>
        <w:rPr>
          <w:rFonts w:hint="eastAsia" w:ascii="仿宋_GB2312" w:eastAsia="仿宋_GB2312" w:cs="仿宋_GB2312"/>
          <w:sz w:val="32"/>
          <w:szCs w:val="32"/>
          <w:highlight w:val="none"/>
          <w:lang w:bidi="ar-SA"/>
        </w:rPr>
        <w:t>做到排查整改同</w:t>
      </w:r>
      <w:r>
        <w:rPr>
          <w:rFonts w:hint="eastAsia" w:ascii="仿宋_GB2312" w:eastAsia="仿宋_GB2312" w:cs="仿宋_GB2312"/>
          <w:sz w:val="32"/>
          <w:szCs w:val="32"/>
          <w:highlight w:val="none"/>
        </w:rPr>
        <w:t>步推</w:t>
      </w:r>
      <w:r>
        <w:rPr>
          <w:rFonts w:hint="eastAsia" w:ascii="仿宋_GB2312" w:eastAsia="仿宋_GB2312" w:cs="仿宋_GB2312"/>
          <w:sz w:val="32"/>
          <w:szCs w:val="32"/>
          <w:highlight w:val="none"/>
          <w:lang w:eastAsia="zh-CN"/>
        </w:rPr>
        <w:t>进</w:t>
      </w:r>
      <w:r>
        <w:rPr>
          <w:rFonts w:ascii="仿宋_GB2312" w:eastAsia="仿宋_GB2312" w:cs="仿宋_GB2312"/>
          <w:sz w:val="32"/>
          <w:szCs w:val="32"/>
        </w:rPr>
        <w:t>。</w:t>
      </w:r>
    </w:p>
    <w:p>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firstLine="643" w:firstLineChars="200"/>
        <w:textAlignment w:val="auto"/>
        <w:rPr>
          <w:rFonts w:hint="eastAsia" w:ascii="仿宋_GB2312" w:hAnsi="仿宋_GB2312" w:eastAsia="仿宋_GB2312" w:cs="仿宋_GB2312"/>
          <w:sz w:val="32"/>
          <w:szCs w:val="32"/>
        </w:rPr>
      </w:pPr>
      <w:r>
        <w:rPr>
          <w:rStyle w:val="13"/>
          <w:rFonts w:hint="eastAsia" w:ascii="仿宋_GB2312" w:hAnsi="仿宋_GB2312" w:eastAsia="仿宋_GB2312" w:cs="仿宋_GB2312"/>
          <w:bCs w:val="0"/>
          <w:kern w:val="2"/>
          <w:sz w:val="32"/>
          <w:szCs w:val="32"/>
          <w:lang w:val="en-US" w:eastAsia="zh-CN" w:bidi="ar-SA"/>
        </w:rPr>
        <w:t>4、农村改革不断深化。</w:t>
      </w:r>
      <w:r>
        <w:rPr>
          <w:rFonts w:hint="eastAsia" w:ascii="仿宋_GB2312" w:hAnsi="仿宋_GB2312" w:eastAsia="仿宋_GB2312" w:cs="仿宋_GB2312"/>
          <w:b/>
          <w:bCs/>
          <w:sz w:val="32"/>
          <w:szCs w:val="32"/>
          <w:lang w:eastAsia="zh-CN"/>
        </w:rPr>
        <w:t>一是</w:t>
      </w:r>
      <w:r>
        <w:rPr>
          <w:rFonts w:hint="eastAsia" w:ascii="仿宋_GB2312" w:hAnsi="仿宋_GB2312" w:eastAsia="仿宋_GB2312" w:cs="仿宋_GB2312"/>
          <w:sz w:val="32"/>
          <w:szCs w:val="32"/>
        </w:rPr>
        <w:t>开展农村集体“三资”监管问题专项整治行动，对全区30个农村社区开展了专项审计，更新完善了我区农村集体“三资”管理制度。</w:t>
      </w:r>
      <w:r>
        <w:rPr>
          <w:rFonts w:hint="eastAsia" w:ascii="仿宋_GB2312" w:hAnsi="仿宋_GB2312" w:eastAsia="仿宋_GB2312" w:cs="仿宋_GB2312"/>
          <w:b/>
          <w:bCs/>
          <w:sz w:val="32"/>
          <w:szCs w:val="32"/>
          <w:lang w:eastAsia="zh-CN"/>
        </w:rPr>
        <w:t>二是</w:t>
      </w:r>
      <w:r>
        <w:rPr>
          <w:rFonts w:hint="eastAsia" w:ascii="仿宋_GB2312" w:hAnsi="仿宋_GB2312" w:eastAsia="仿宋_GB2312" w:cs="仿宋_GB2312"/>
          <w:b w:val="0"/>
          <w:bCs w:val="0"/>
          <w:sz w:val="32"/>
          <w:szCs w:val="32"/>
          <w:lang w:eastAsia="zh-CN"/>
        </w:rPr>
        <w:t>实现</w:t>
      </w:r>
      <w:r>
        <w:rPr>
          <w:rFonts w:hint="eastAsia" w:ascii="仿宋_GB2312" w:hAnsi="仿宋_GB2312" w:eastAsia="仿宋_GB2312" w:cs="仿宋_GB2312"/>
          <w:sz w:val="32"/>
          <w:szCs w:val="32"/>
          <w:lang w:eastAsia="zh-CN"/>
        </w:rPr>
        <w:t>村级集体收入</w:t>
      </w:r>
      <w:r>
        <w:rPr>
          <w:rFonts w:hint="eastAsia" w:ascii="仿宋_GB2312" w:hAnsi="仿宋_GB2312" w:eastAsia="仿宋_GB2312" w:cs="仿宋_GB2312"/>
          <w:sz w:val="32"/>
          <w:szCs w:val="32"/>
        </w:rPr>
        <w:t>同比增长32%，100 万元以上村10个，占比33%，年底将实现50万元村全部清零。</w:t>
      </w:r>
    </w:p>
    <w:p>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firstLine="643" w:firstLineChars="200"/>
        <w:textAlignment w:val="auto"/>
        <w:rPr>
          <w:rFonts w:hint="default" w:ascii="仿宋_GB2312" w:hAnsi="仿宋_GB2312" w:eastAsia="仿宋_GB2312" w:cs="仿宋_GB2312"/>
          <w:sz w:val="32"/>
          <w:szCs w:val="32"/>
          <w:lang w:val="en-US" w:eastAsia="zh-CN"/>
        </w:rPr>
      </w:pPr>
      <w:r>
        <w:rPr>
          <w:rStyle w:val="13"/>
          <w:rFonts w:hint="eastAsia" w:ascii="仿宋_GB2312" w:hAnsi="仿宋_GB2312" w:eastAsia="仿宋_GB2312" w:cs="仿宋_GB2312"/>
          <w:bCs w:val="0"/>
          <w:kern w:val="2"/>
          <w:sz w:val="32"/>
          <w:szCs w:val="32"/>
          <w:lang w:val="en-US" w:eastAsia="zh-CN" w:bidi="ar-SA"/>
        </w:rPr>
        <w:t>5、生态建设成效显著。</w:t>
      </w:r>
      <w:r>
        <w:rPr>
          <w:rStyle w:val="13"/>
          <w:rFonts w:hint="eastAsia" w:ascii="仿宋_GB2312" w:hAnsi="仿宋_GB2312" w:eastAsia="仿宋_GB2312" w:cs="仿宋_GB2312"/>
          <w:sz w:val="32"/>
          <w:szCs w:val="32"/>
          <w:lang w:eastAsia="zh-CN"/>
        </w:rPr>
        <w:t>一是</w:t>
      </w:r>
      <w:r>
        <w:rPr>
          <w:rFonts w:hint="eastAsia" w:ascii="仿宋_GB2312" w:hAnsi="仿宋_GB2312" w:eastAsia="仿宋_GB2312" w:cs="仿宋_GB2312"/>
          <w:sz w:val="32"/>
          <w:szCs w:val="32"/>
          <w:lang w:eastAsia="zh-CN"/>
        </w:rPr>
        <w:t>今</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eastAsia="zh-CN"/>
        </w:rPr>
        <w:t>协助区规模养殖场</w:t>
      </w:r>
      <w:r>
        <w:rPr>
          <w:rFonts w:hint="eastAsia" w:ascii="仿宋_GB2312" w:hAnsi="仿宋_GB2312" w:eastAsia="仿宋_GB2312" w:cs="仿宋_GB2312"/>
          <w:sz w:val="32"/>
          <w:szCs w:val="32"/>
        </w:rPr>
        <w:t>自贵州</w:t>
      </w:r>
      <w:r>
        <w:rPr>
          <w:rFonts w:hint="eastAsia" w:ascii="仿宋_GB2312" w:hAnsi="仿宋_GB2312" w:eastAsia="仿宋_GB2312" w:cs="仿宋_GB2312"/>
          <w:sz w:val="32"/>
          <w:szCs w:val="32"/>
          <w:lang w:eastAsia="zh-CN"/>
        </w:rPr>
        <w:t>成功</w:t>
      </w:r>
      <w:r>
        <w:rPr>
          <w:rFonts w:hint="eastAsia" w:ascii="仿宋_GB2312" w:hAnsi="仿宋_GB2312" w:eastAsia="仿宋_GB2312" w:cs="仿宋_GB2312"/>
          <w:sz w:val="32"/>
          <w:szCs w:val="32"/>
        </w:rPr>
        <w:t>引种</w:t>
      </w:r>
      <w:r>
        <w:rPr>
          <w:rFonts w:hint="eastAsia" w:ascii="仿宋_GB2312" w:hAnsi="仿宋_GB2312" w:eastAsia="仿宋_GB2312" w:cs="仿宋_GB2312"/>
          <w:sz w:val="32"/>
          <w:szCs w:val="32"/>
          <w:lang w:val="en-US" w:eastAsia="zh-CN"/>
        </w:rPr>
        <w:t>399头</w:t>
      </w:r>
      <w:r>
        <w:rPr>
          <w:rFonts w:hint="eastAsia" w:ascii="仿宋_GB2312" w:hAnsi="仿宋_GB2312" w:eastAsia="仿宋_GB2312" w:cs="仿宋_GB2312"/>
          <w:sz w:val="32"/>
          <w:szCs w:val="32"/>
        </w:rPr>
        <w:t>，通过良种引进项目的实施，实现生猪的稳产保供，选育水平提高区域优良种猪覆盖率，带动周边养殖场增收和生猪产业健康发展。</w:t>
      </w:r>
      <w:r>
        <w:rPr>
          <w:rFonts w:hint="eastAsia" w:ascii="仿宋_GB2312" w:hAnsi="仿宋_GB2312" w:eastAsia="仿宋_GB2312" w:cs="仿宋_GB2312"/>
          <w:b/>
          <w:bCs/>
          <w:sz w:val="32"/>
          <w:szCs w:val="32"/>
          <w:lang w:eastAsia="zh-CN"/>
        </w:rPr>
        <w:t>二是</w:t>
      </w:r>
      <w:r>
        <w:rPr>
          <w:rFonts w:hint="eastAsia" w:ascii="仿宋_GB2312" w:hAnsi="仿宋_GB2312" w:eastAsia="仿宋_GB2312" w:cs="仿宋_GB2312"/>
          <w:sz w:val="32"/>
          <w:szCs w:val="32"/>
          <w:lang w:eastAsia="zh-CN"/>
        </w:rPr>
        <w:t>通过叶面喷施阻控剂、增施有机肥等技术措施，对我区安全利用类耕地进行治理，并对种植的农产品抽样检测全部合格，受污染治理耕地安全利用率</w:t>
      </w:r>
      <w:r>
        <w:rPr>
          <w:rFonts w:hint="eastAsia" w:ascii="仿宋_GB2312" w:hAnsi="仿宋_GB2312" w:eastAsia="仿宋_GB2312" w:cs="仿宋_GB2312"/>
          <w:sz w:val="32"/>
          <w:szCs w:val="32"/>
          <w:lang w:val="en-US" w:eastAsia="zh-CN"/>
        </w:rPr>
        <w:t>100%。</w:t>
      </w:r>
    </w:p>
    <w:p>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firstLine="643" w:firstLineChars="200"/>
        <w:textAlignment w:val="auto"/>
        <w:rPr>
          <w:rFonts w:hint="eastAsia" w:ascii="仿宋_GB2312" w:hAnsi="仿宋_GB2312" w:eastAsia="仿宋_GB2312" w:cs="仿宋_GB2312"/>
          <w:sz w:val="32"/>
          <w:szCs w:val="32"/>
        </w:rPr>
      </w:pPr>
      <w:r>
        <w:rPr>
          <w:rStyle w:val="13"/>
          <w:rFonts w:hint="eastAsia" w:ascii="仿宋_GB2312" w:hAnsi="仿宋_GB2312" w:eastAsia="仿宋_GB2312" w:cs="仿宋_GB2312"/>
          <w:bCs w:val="0"/>
          <w:kern w:val="2"/>
          <w:sz w:val="32"/>
          <w:szCs w:val="32"/>
          <w:lang w:val="en-US" w:eastAsia="zh-CN" w:bidi="ar-SA"/>
        </w:rPr>
        <w:t>6、质量安全监管有力。</w:t>
      </w:r>
      <w:r>
        <w:rPr>
          <w:rFonts w:hint="eastAsia" w:ascii="仿宋_GB2312" w:hAnsi="仿宋_GB2312" w:eastAsia="仿宋_GB2312" w:cs="仿宋_GB2312"/>
          <w:b/>
          <w:bCs/>
          <w:sz w:val="32"/>
          <w:szCs w:val="32"/>
        </w:rPr>
        <w:t>一是</w:t>
      </w:r>
      <w:r>
        <w:rPr>
          <w:rFonts w:hint="eastAsia" w:ascii="仿宋_GB2312" w:hAnsi="仿宋_GB2312" w:eastAsia="仿宋_GB2312" w:cs="仿宋_GB2312"/>
          <w:sz w:val="32"/>
          <w:szCs w:val="32"/>
        </w:rPr>
        <w:t>加大蔬菜检测力度，</w:t>
      </w:r>
      <w:r>
        <w:rPr>
          <w:rFonts w:hint="eastAsia" w:ascii="仿宋_GB2312" w:hAnsi="仿宋_GB2312" w:eastAsia="仿宋_GB2312" w:cs="仿宋_GB2312"/>
          <w:sz w:val="32"/>
          <w:szCs w:val="32"/>
          <w:lang w:eastAsia="zh-CN"/>
        </w:rPr>
        <w:t>完成</w:t>
      </w:r>
      <w:r>
        <w:rPr>
          <w:rFonts w:hint="eastAsia" w:ascii="仿宋_GB2312" w:hAnsi="仿宋_GB2312" w:eastAsia="仿宋_GB2312" w:cs="仿宋_GB2312"/>
          <w:sz w:val="32"/>
          <w:szCs w:val="32"/>
        </w:rPr>
        <w:t>风险性检测样品</w:t>
      </w:r>
      <w:r>
        <w:rPr>
          <w:rFonts w:hint="eastAsia" w:ascii="仿宋_GB2312" w:hAnsi="仿宋_GB2312" w:eastAsia="仿宋_GB2312" w:cs="仿宋_GB2312"/>
          <w:sz w:val="32"/>
          <w:szCs w:val="32"/>
          <w:lang w:val="en-US" w:eastAsia="zh-CN"/>
        </w:rPr>
        <w:t>160</w:t>
      </w:r>
      <w:r>
        <w:rPr>
          <w:rFonts w:hint="eastAsia" w:ascii="仿宋_GB2312" w:hAnsi="仿宋_GB2312" w:eastAsia="仿宋_GB2312" w:cs="仿宋_GB2312"/>
          <w:sz w:val="32"/>
          <w:szCs w:val="32"/>
        </w:rPr>
        <w:t>批次、配合市局抽检样品</w:t>
      </w:r>
      <w:r>
        <w:rPr>
          <w:rFonts w:hint="eastAsia" w:ascii="仿宋_GB2312" w:hAnsi="仿宋_GB2312" w:eastAsia="仿宋_GB2312" w:cs="仿宋_GB2312"/>
          <w:sz w:val="32"/>
          <w:szCs w:val="32"/>
          <w:lang w:val="en-US" w:eastAsia="zh-CN"/>
        </w:rPr>
        <w:t>60</w:t>
      </w:r>
      <w:r>
        <w:rPr>
          <w:rFonts w:hint="eastAsia" w:ascii="仿宋_GB2312" w:hAnsi="仿宋_GB2312" w:eastAsia="仿宋_GB2312" w:cs="仿宋_GB2312"/>
          <w:sz w:val="32"/>
          <w:szCs w:val="32"/>
        </w:rPr>
        <w:t>批次，合格率100%；</w:t>
      </w:r>
      <w:r>
        <w:rPr>
          <w:rFonts w:hint="eastAsia" w:ascii="仿宋_GB2312" w:hAnsi="仿宋_GB2312" w:eastAsia="仿宋_GB2312" w:cs="仿宋_GB2312"/>
          <w:color w:val="auto"/>
          <w:sz w:val="32"/>
          <w:szCs w:val="32"/>
        </w:rPr>
        <w:t>瘦肉精按检测合格率100%。</w:t>
      </w:r>
      <w:r>
        <w:rPr>
          <w:rFonts w:hint="eastAsia" w:ascii="仿宋_GB2312" w:hAnsi="仿宋_GB2312" w:eastAsia="仿宋_GB2312" w:cs="仿宋_GB2312"/>
          <w:b/>
          <w:bCs/>
          <w:sz w:val="32"/>
          <w:szCs w:val="32"/>
        </w:rPr>
        <w:t>二是</w:t>
      </w:r>
      <w:r>
        <w:rPr>
          <w:rFonts w:hint="eastAsia" w:ascii="仿宋_GB2312" w:hAnsi="仿宋_GB2312" w:eastAsia="仿宋_GB2312" w:cs="仿宋_GB2312"/>
          <w:sz w:val="32"/>
          <w:szCs w:val="32"/>
        </w:rPr>
        <w:t>继续推行食用农产品合格证制度，</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lang w:eastAsia="zh-CN"/>
        </w:rPr>
        <w:t>家农业企业实现网上电子可追溯，开具</w:t>
      </w:r>
      <w:r>
        <w:rPr>
          <w:rFonts w:hint="eastAsia" w:ascii="仿宋_GB2312" w:hAnsi="仿宋_GB2312" w:eastAsia="仿宋_GB2312" w:cs="仿宋_GB2312"/>
          <w:sz w:val="32"/>
          <w:szCs w:val="32"/>
          <w:highlight w:val="none"/>
          <w:lang w:val="en-US" w:eastAsia="zh-CN"/>
        </w:rPr>
        <w:t>480</w:t>
      </w:r>
      <w:r>
        <w:rPr>
          <w:rFonts w:hint="eastAsia" w:ascii="仿宋_GB2312" w:hAnsi="仿宋_GB2312" w:eastAsia="仿宋_GB2312" w:cs="仿宋_GB2312"/>
          <w:sz w:val="32"/>
          <w:szCs w:val="32"/>
          <w:lang w:val="en-US" w:eastAsia="zh-CN"/>
        </w:rPr>
        <w:t>批次电子合格证书</w:t>
      </w:r>
      <w:r>
        <w:rPr>
          <w:rFonts w:hint="eastAsia" w:ascii="仿宋_GB2312" w:hAnsi="仿宋_GB2312" w:eastAsia="仿宋_GB2312" w:cs="仿宋_GB2312"/>
          <w:sz w:val="32"/>
          <w:szCs w:val="32"/>
        </w:rPr>
        <w:t>。</w:t>
      </w:r>
      <w:r>
        <w:rPr>
          <w:rFonts w:hint="eastAsia" w:ascii="仿宋_GB2312" w:hAnsi="仿宋_GB2312" w:eastAsia="仿宋_GB2312" w:cs="仿宋_GB2312"/>
          <w:b/>
          <w:bCs/>
          <w:sz w:val="32"/>
          <w:szCs w:val="32"/>
        </w:rPr>
        <w:t>三是</w:t>
      </w:r>
      <w:r>
        <w:rPr>
          <w:rFonts w:hint="eastAsia" w:ascii="仿宋_GB2312" w:hAnsi="仿宋_GB2312" w:eastAsia="仿宋_GB2312" w:cs="仿宋_GB2312"/>
          <w:sz w:val="32"/>
          <w:szCs w:val="32"/>
        </w:rPr>
        <w:t>积极开展“</w:t>
      </w:r>
      <w:r>
        <w:rPr>
          <w:rFonts w:hint="eastAsia" w:ascii="仿宋_GB2312" w:hAnsi="仿宋_GB2312" w:eastAsia="仿宋_GB2312" w:cs="仿宋_GB2312"/>
          <w:sz w:val="32"/>
          <w:szCs w:val="32"/>
          <w:lang w:eastAsia="zh-CN"/>
        </w:rPr>
        <w:t>三</w:t>
      </w:r>
      <w:r>
        <w:rPr>
          <w:rFonts w:hint="eastAsia" w:ascii="仿宋_GB2312" w:hAnsi="仿宋_GB2312" w:eastAsia="仿宋_GB2312" w:cs="仿宋_GB2312"/>
          <w:sz w:val="32"/>
          <w:szCs w:val="32"/>
        </w:rPr>
        <w:t>品一标”创建工作，</w:t>
      </w:r>
      <w:r>
        <w:rPr>
          <w:rFonts w:hint="eastAsia" w:ascii="仿宋_GB2312" w:hAnsi="仿宋_GB2312" w:eastAsia="仿宋_GB2312" w:cs="仿宋_GB2312"/>
          <w:sz w:val="32"/>
          <w:szCs w:val="32"/>
          <w:lang w:eastAsia="zh-CN"/>
        </w:rPr>
        <w:t>成攻申报</w:t>
      </w:r>
      <w:r>
        <w:rPr>
          <w:rFonts w:hint="eastAsia" w:ascii="仿宋_GB2312" w:hAnsi="仿宋_GB2312" w:eastAsia="仿宋_GB2312" w:cs="仿宋_GB2312"/>
          <w:sz w:val="32"/>
          <w:szCs w:val="32"/>
        </w:rPr>
        <w:t>2个品种绿色认证</w:t>
      </w:r>
      <w:r>
        <w:rPr>
          <w:rFonts w:hint="eastAsia" w:ascii="仿宋_GB2312" w:hAnsi="仿宋_GB2312" w:eastAsia="仿宋_GB2312" w:cs="仿宋_GB2312"/>
          <w:sz w:val="32"/>
          <w:szCs w:val="32"/>
          <w:lang w:eastAsia="zh-CN"/>
        </w:rPr>
        <w:t>，我区“三品一标”数量达到</w:t>
      </w:r>
      <w:r>
        <w:rPr>
          <w:rFonts w:hint="eastAsia" w:ascii="仿宋_GB2312" w:hAnsi="仿宋_GB2312" w:eastAsia="仿宋_GB2312" w:cs="仿宋_GB2312"/>
          <w:sz w:val="32"/>
          <w:szCs w:val="32"/>
          <w:lang w:val="en-US" w:eastAsia="zh-CN"/>
        </w:rPr>
        <w:t>9个</w:t>
      </w:r>
      <w:r>
        <w:rPr>
          <w:rFonts w:hint="eastAsia" w:ascii="仿宋_GB2312" w:hAnsi="仿宋_GB2312" w:eastAsia="仿宋_GB2312" w:cs="仿宋_GB2312"/>
          <w:sz w:val="32"/>
          <w:szCs w:val="32"/>
        </w:rPr>
        <w:t>。</w:t>
      </w:r>
    </w:p>
    <w:p>
      <w:pPr>
        <w:keepNext w:val="0"/>
        <w:keepLines w:val="0"/>
        <w:pageBreakBefore w:val="0"/>
        <w:kinsoku/>
        <w:wordWrap/>
        <w:overflowPunct/>
        <w:topLinePunct w:val="0"/>
        <w:autoSpaceDE/>
        <w:autoSpaceDN/>
        <w:bidi w:val="0"/>
        <w:adjustRightInd/>
        <w:snapToGrid/>
        <w:spacing w:line="600" w:lineRule="exact"/>
        <w:ind w:firstLine="643" w:firstLineChars="200"/>
        <w:textAlignment w:val="auto"/>
        <w:rPr>
          <w:rFonts w:hint="eastAsia" w:ascii="仿宋_GB2312" w:eastAsia="仿宋_GB2312" w:cs="仿宋_GB2312"/>
          <w:sz w:val="32"/>
          <w:szCs w:val="32"/>
          <w:lang w:val="en-US" w:eastAsia="zh-CN" w:bidi="ar-SA"/>
        </w:rPr>
      </w:pPr>
      <w:r>
        <w:rPr>
          <w:rStyle w:val="13"/>
          <w:rFonts w:hint="eastAsia" w:ascii="仿宋_GB2312" w:hAnsi="仿宋_GB2312" w:eastAsia="仿宋_GB2312" w:cs="仿宋_GB2312"/>
          <w:bCs w:val="0"/>
          <w:kern w:val="2"/>
          <w:sz w:val="32"/>
          <w:szCs w:val="32"/>
          <w:lang w:val="en-US" w:eastAsia="zh-CN" w:bidi="ar-SA"/>
        </w:rPr>
        <w:t>7、水利基础设施建设持续增强。</w:t>
      </w:r>
      <w:r>
        <w:rPr>
          <w:rFonts w:hint="eastAsia" w:ascii="仿宋_GB2312" w:hAnsi="仿宋_GB2312" w:eastAsia="仿宋_GB2312" w:cs="仿宋_GB2312"/>
          <w:b/>
          <w:bCs/>
          <w:sz w:val="32"/>
          <w:szCs w:val="32"/>
          <w:lang w:val="en-US" w:eastAsia="zh-CN" w:bidi="ar-SA"/>
        </w:rPr>
        <w:t>一是</w:t>
      </w:r>
      <w:r>
        <w:rPr>
          <w:rFonts w:hint="eastAsia" w:ascii="仿宋_GB2312" w:hAnsi="仿宋_GB2312" w:eastAsia="仿宋_GB2312" w:cs="仿宋_GB2312"/>
          <w:sz w:val="32"/>
          <w:szCs w:val="32"/>
          <w:lang w:val="en-US" w:eastAsia="zh-CN" w:bidi="ar-SA"/>
        </w:rPr>
        <w:t>今年以来引进水利投资129.8万元，维修中型蓄水池一座，更换村庄供水管道1410米，全区4座小二型水库完成养护工作，更新两个自动雨量站、两个自动水位雨量站，对运行平台进行了维护，对全区16个村供水泵房及其它设施、设备维修更换，</w:t>
      </w:r>
      <w:r>
        <w:rPr>
          <w:rFonts w:hint="eastAsia" w:ascii="仿宋_GB2312" w:eastAsia="仿宋_GB2312" w:cs="仿宋_GB2312"/>
          <w:sz w:val="32"/>
          <w:szCs w:val="32"/>
          <w:lang w:val="en-US" w:eastAsia="zh-CN" w:bidi="ar-SA"/>
        </w:rPr>
        <w:t>投资500.25万元，对天户峪生态清洁小流域进行综合治理，投资40万元，治理红土坡北流域，保障了人民身命及财产安全。</w:t>
      </w:r>
      <w:r>
        <w:rPr>
          <w:rFonts w:hint="eastAsia" w:ascii="仿宋_GB2312" w:eastAsia="仿宋_GB2312" w:cs="仿宋_GB2312"/>
          <w:b/>
          <w:bCs/>
          <w:sz w:val="32"/>
          <w:szCs w:val="32"/>
          <w:lang w:val="en-US" w:eastAsia="zh-CN" w:bidi="ar-SA"/>
        </w:rPr>
        <w:t>二是</w:t>
      </w:r>
      <w:r>
        <w:rPr>
          <w:rFonts w:hint="eastAsia" w:ascii="仿宋_GB2312" w:eastAsia="仿宋_GB2312" w:cs="仿宋_GB2312"/>
          <w:bCs/>
          <w:sz w:val="32"/>
          <w:szCs w:val="32"/>
          <w:lang w:val="en-US" w:eastAsia="zh-CN" w:bidi="ar-SA"/>
        </w:rPr>
        <w:t>圆满完成全年防汛工作，按时开展汛前、汛中、汛后大检查，</w:t>
      </w:r>
      <w:r>
        <w:rPr>
          <w:rFonts w:hint="eastAsia" w:ascii="仿宋_GB2312" w:eastAsia="仿宋_GB2312" w:cs="仿宋_GB2312"/>
          <w:sz w:val="32"/>
          <w:szCs w:val="32"/>
          <w:lang w:val="en-US" w:eastAsia="zh-CN" w:bidi="ar-SA"/>
        </w:rPr>
        <w:t>完善各水库预案和调度方案，落实“三个责任人”责任，</w:t>
      </w:r>
      <w:r>
        <w:rPr>
          <w:rFonts w:hint="eastAsia" w:ascii="仿宋_GB2312" w:eastAsia="仿宋_GB2312" w:cs="仿宋_GB2312"/>
          <w:bCs/>
          <w:sz w:val="32"/>
          <w:szCs w:val="32"/>
          <w:lang w:val="en-US" w:eastAsia="zh-CN" w:bidi="ar-SA"/>
        </w:rPr>
        <w:t>应对强降雨3次，</w:t>
      </w:r>
      <w:r>
        <w:rPr>
          <w:rFonts w:hint="eastAsia" w:ascii="仿宋_GB2312" w:eastAsia="仿宋_GB2312" w:cs="仿宋_GB2312"/>
          <w:sz w:val="32"/>
          <w:szCs w:val="32"/>
          <w:lang w:val="en-US" w:eastAsia="zh-CN" w:bidi="ar-SA"/>
        </w:rPr>
        <w:t>组织乡镇进行防汛演练，确保了安全度汛。</w:t>
      </w:r>
    </w:p>
    <w:p>
      <w:pPr>
        <w:snapToGrid w:val="0"/>
        <w:spacing w:line="520" w:lineRule="exact"/>
        <w:ind w:firstLine="643" w:firstLineChars="200"/>
        <w:rPr>
          <w:rFonts w:hint="eastAsia" w:ascii="仿宋_GB2312" w:hAnsi="仿宋_GB2312" w:eastAsia="仿宋_GB2312" w:cs="仿宋_GB2312"/>
          <w:sz w:val="32"/>
          <w:szCs w:val="32"/>
          <w:lang w:eastAsia="zh-CN"/>
        </w:rPr>
      </w:pPr>
      <w:r>
        <w:rPr>
          <w:rStyle w:val="13"/>
          <w:rFonts w:hint="eastAsia" w:ascii="仿宋_GB2312" w:hAnsi="仿宋_GB2312" w:eastAsia="仿宋_GB2312" w:cs="仿宋_GB2312"/>
          <w:bCs w:val="0"/>
          <w:kern w:val="2"/>
          <w:sz w:val="32"/>
          <w:szCs w:val="32"/>
          <w:lang w:val="en-US" w:eastAsia="zh-CN" w:bidi="ar-SA"/>
        </w:rPr>
        <w:t>8、河长制工作有效落实。</w:t>
      </w:r>
      <w:r>
        <w:rPr>
          <w:rFonts w:hint="eastAsia" w:ascii="仿宋_GB2312" w:hAnsi="仿宋_GB2312" w:eastAsia="仿宋_GB2312" w:cs="仿宋_GB2312"/>
          <w:sz w:val="32"/>
          <w:szCs w:val="32"/>
        </w:rPr>
        <w:t>一是设立河长制公示牌7块，对区、乡、村级河长调整做到三及时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加大督导力度</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三级河长巡河率均达到100%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幸福河湖建设达到四星级幸福河湖标准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建设</w:t>
      </w:r>
      <w:r>
        <w:rPr>
          <w:rFonts w:hint="eastAsia" w:ascii="仿宋_GB2312" w:hAnsi="仿宋_GB2312" w:eastAsia="仿宋_GB2312" w:cs="仿宋_GB2312"/>
          <w:sz w:val="32"/>
          <w:szCs w:val="32"/>
          <w:lang w:eastAsia="zh-CN"/>
        </w:rPr>
        <w:t>完成了</w:t>
      </w:r>
      <w:r>
        <w:rPr>
          <w:rFonts w:hint="eastAsia" w:ascii="仿宋_GB2312" w:hAnsi="仿宋_GB2312" w:eastAsia="仿宋_GB2312" w:cs="仿宋_GB2312"/>
          <w:sz w:val="32"/>
          <w:szCs w:val="32"/>
        </w:rPr>
        <w:t>井陉矿区河长制主题公园</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争取各级资金1200余万元，实施了绵河（井陉矿区段）河道治理工程。</w:t>
      </w:r>
      <w:r>
        <w:rPr>
          <w:rFonts w:hint="eastAsia" w:ascii="仿宋_GB2312" w:hAnsi="仿宋_GB2312" w:eastAsia="仿宋_GB2312" w:cs="仿宋_GB2312"/>
          <w:sz w:val="32"/>
          <w:szCs w:val="32"/>
          <w:lang w:eastAsia="zh-CN"/>
        </w:rPr>
        <w:t>二是</w:t>
      </w:r>
      <w:r>
        <w:rPr>
          <w:rFonts w:hint="eastAsia" w:ascii="仿宋_GB2312" w:hAnsi="仿宋_GB2312" w:eastAsia="仿宋_GB2312" w:cs="仿宋_GB2312"/>
          <w:sz w:val="32"/>
          <w:szCs w:val="32"/>
        </w:rPr>
        <w:t>规上农村生活取水许可配套计量建设，15个取水许可证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36个站点，已</w:t>
      </w:r>
      <w:r>
        <w:rPr>
          <w:rFonts w:hint="eastAsia" w:ascii="仿宋_GB2312" w:hAnsi="仿宋_GB2312" w:eastAsia="仿宋_GB2312" w:cs="仿宋_GB2312"/>
          <w:sz w:val="32"/>
          <w:szCs w:val="32"/>
          <w:lang w:eastAsia="zh-CN"/>
        </w:rPr>
        <w:t>全部</w:t>
      </w:r>
      <w:r>
        <w:rPr>
          <w:rFonts w:hint="eastAsia" w:ascii="仿宋_GB2312" w:hAnsi="仿宋_GB2312" w:eastAsia="仿宋_GB2312" w:cs="仿宋_GB2312"/>
          <w:sz w:val="32"/>
          <w:szCs w:val="32"/>
        </w:rPr>
        <w:t>安装</w:t>
      </w:r>
      <w:r>
        <w:rPr>
          <w:rFonts w:hint="eastAsia" w:ascii="仿宋_GB2312" w:hAnsi="仿宋_GB2312" w:eastAsia="仿宋_GB2312" w:cs="仿宋_GB2312"/>
          <w:sz w:val="32"/>
          <w:szCs w:val="32"/>
          <w:lang w:eastAsia="zh-CN"/>
        </w:rPr>
        <w:t>完成，建设成攻</w:t>
      </w:r>
      <w:r>
        <w:rPr>
          <w:rFonts w:hint="eastAsia" w:ascii="仿宋_GB2312" w:hAnsi="仿宋_GB2312" w:eastAsia="仿宋_GB2312" w:cs="仿宋_GB2312"/>
          <w:sz w:val="32"/>
          <w:szCs w:val="32"/>
          <w:lang w:val="en-US" w:eastAsia="zh-CN"/>
        </w:rPr>
        <w:t>3个</w:t>
      </w:r>
      <w:r>
        <w:rPr>
          <w:rFonts w:hint="eastAsia" w:ascii="仿宋_GB2312" w:hAnsi="仿宋_GB2312" w:eastAsia="仿宋_GB2312" w:cs="仿宋_GB2312"/>
          <w:sz w:val="32"/>
          <w:szCs w:val="32"/>
        </w:rPr>
        <w:t>农业灌溉“以电折水”典型监测站点</w:t>
      </w:r>
      <w:r>
        <w:rPr>
          <w:rFonts w:hint="eastAsia" w:ascii="仿宋_GB2312" w:hAnsi="仿宋_GB2312" w:eastAsia="仿宋_GB2312" w:cs="仿宋_GB2312"/>
          <w:sz w:val="32"/>
          <w:szCs w:val="32"/>
          <w:lang w:eastAsia="zh-CN"/>
        </w:rPr>
        <w:t>。</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adjustRightInd w:val="0"/>
        <w:snapToGrid w:val="0"/>
        <w:spacing w:beforeLines="0" w:afterLines="0" w:line="560" w:lineRule="exact"/>
        <w:ind w:firstLine="640" w:firstLineChars="200"/>
        <w:rPr>
          <w:rFonts w:hint="eastAsia" w:ascii="仿宋_GB2312" w:hAnsi="仿宋_GB2312" w:eastAsia="仿宋_GB2312" w:cs="仿宋_GB2312"/>
          <w:color w:val="auto"/>
          <w:sz w:val="32"/>
          <w:szCs w:val="32"/>
          <w:highlight w:val="yellow"/>
          <w:shd w:val="clear" w:color="FFFFFF" w:fill="D9D9D9"/>
          <w:lang w:val="en-US" w:eastAsia="zh-CN" w:bidi="ar"/>
        </w:rPr>
      </w:pPr>
      <w:r>
        <w:rPr>
          <w:rFonts w:hint="eastAsia" w:ascii="仿宋_GB2312" w:hAnsi="仿宋_GB2312" w:eastAsia="仿宋_GB2312" w:cs="仿宋_GB2312"/>
          <w:color w:val="000000" w:themeColor="text1"/>
          <w:sz w:val="32"/>
          <w:szCs w:val="32"/>
          <w:highlight w:val="none"/>
          <w:shd w:val="clear" w:color="auto" w:fill="auto"/>
          <w:lang w:val="en-US" w:eastAsia="zh-CN" w:bidi="ar"/>
        </w:rPr>
        <w:t>我部门对20</w:t>
      </w:r>
      <w:r>
        <w:rPr>
          <w:rFonts w:hint="eastAsia" w:ascii="仿宋_GB2312" w:hAnsi="仿宋_GB2312" w:eastAsia="仿宋_GB2312" w:cs="仿宋_GB2312"/>
          <w:color w:val="000000" w:themeColor="text1"/>
          <w:sz w:val="32"/>
          <w:szCs w:val="32"/>
          <w:shd w:val="clear" w:color="auto" w:fill="auto"/>
          <w:lang w:val="en-US" w:eastAsia="zh-CN" w:bidi="ar"/>
        </w:rPr>
        <w:t>24</w:t>
      </w:r>
      <w:r>
        <w:rPr>
          <w:rFonts w:hint="eastAsia" w:ascii="仿宋_GB2312" w:hAnsi="仿宋_GB2312" w:eastAsia="仿宋_GB2312" w:cs="仿宋_GB2312"/>
          <w:color w:val="000000" w:themeColor="text1"/>
          <w:sz w:val="32"/>
          <w:szCs w:val="32"/>
          <w:highlight w:val="none"/>
          <w:shd w:val="clear" w:color="auto" w:fill="auto"/>
          <w:lang w:val="en-US" w:eastAsia="zh-CN" w:bidi="ar"/>
        </w:rPr>
        <w:t>年实施的52个</w:t>
      </w:r>
      <w:r>
        <w:rPr>
          <w:rFonts w:hint="eastAsia" w:ascii="仿宋_GB2312" w:hAnsi="仿宋_GB2312" w:eastAsia="仿宋_GB2312" w:cs="仿宋_GB2312"/>
          <w:b w:val="0"/>
          <w:color w:val="000000" w:themeColor="text1"/>
          <w:sz w:val="32"/>
          <w:szCs w:val="32"/>
          <w:highlight w:val="none"/>
          <w:shd w:val="clear" w:color="auto" w:fill="auto"/>
          <w:lang w:val="en-US" w:eastAsia="zh-CN" w:bidi="ar"/>
        </w:rPr>
        <w:t>项目</w:t>
      </w:r>
      <w:r>
        <w:rPr>
          <w:rFonts w:hint="eastAsia" w:ascii="仿宋_GB2312" w:hAnsi="仿宋_GB2312" w:eastAsia="仿宋_GB2312" w:cs="仿宋_GB2312"/>
          <w:color w:val="000000" w:themeColor="text1"/>
          <w:sz w:val="32"/>
          <w:szCs w:val="32"/>
          <w:highlight w:val="none"/>
          <w:shd w:val="clear" w:color="auto" w:fill="auto"/>
          <w:lang w:val="en-US" w:eastAsia="zh-CN" w:bidi="ar"/>
        </w:rPr>
        <w:t>开展了绩效自评工作，通过自评</w:t>
      </w:r>
      <w:r>
        <w:rPr>
          <w:rFonts w:hint="eastAsia" w:ascii="仿宋_GB2312" w:hAnsi="仿宋_GB2312" w:eastAsia="仿宋_GB2312" w:cs="仿宋_GB2312"/>
          <w:b w:val="0"/>
          <w:color w:val="000000" w:themeColor="text1"/>
          <w:sz w:val="32"/>
          <w:szCs w:val="32"/>
          <w:highlight w:val="none"/>
          <w:shd w:val="clear" w:color="auto" w:fill="auto"/>
          <w:lang w:val="en-US" w:eastAsia="zh-CN" w:bidi="ar"/>
        </w:rPr>
        <w:t>发现，已完成绩效目标的项目有52个，占比100%，全部项目无绩效目标</w:t>
      </w:r>
      <w:r>
        <w:rPr>
          <w:rFonts w:hint="eastAsia" w:ascii="仿宋_GB2312" w:hAnsi="仿宋_GB2312" w:eastAsia="仿宋_GB2312" w:cs="仿宋_GB2312"/>
          <w:b w:val="0"/>
          <w:i w:val="0"/>
          <w:color w:val="000000" w:themeColor="text1"/>
          <w:kern w:val="2"/>
          <w:sz w:val="32"/>
          <w:szCs w:val="32"/>
          <w:highlight w:val="none"/>
          <w:shd w:val="clear" w:color="auto" w:fill="auto"/>
          <w:lang w:val="en-US" w:eastAsia="zh-CN" w:bidi="ar"/>
        </w:rPr>
        <w:t>偏离较大的及未完成的，总体评价为优秀等级。具体</w:t>
      </w:r>
      <w:r>
        <w:rPr>
          <w:rFonts w:hint="eastAsia" w:ascii="仿宋_GB2312" w:hAnsi="仿宋_GB2312" w:eastAsia="仿宋_GB2312" w:cs="仿宋_GB2312"/>
          <w:color w:val="000000" w:themeColor="text1"/>
          <w:sz w:val="32"/>
          <w:szCs w:val="32"/>
          <w:highlight w:val="none"/>
          <w:shd w:val="clear" w:color="auto" w:fill="auto"/>
          <w:lang w:bidi="ar"/>
        </w:rPr>
        <w:t>项目绩效目标完成</w:t>
      </w:r>
      <w:r>
        <w:rPr>
          <w:rFonts w:hint="eastAsia" w:ascii="仿宋_GB2312" w:hAnsi="仿宋_GB2312" w:eastAsia="仿宋_GB2312" w:cs="仿宋_GB2312"/>
          <w:color w:val="000000" w:themeColor="text1"/>
          <w:sz w:val="32"/>
          <w:szCs w:val="32"/>
          <w:highlight w:val="none"/>
          <w:shd w:val="clear" w:color="auto" w:fill="auto"/>
          <w:lang w:eastAsia="zh-CN" w:bidi="ar"/>
        </w:rPr>
        <w:t>及自评情况</w:t>
      </w:r>
      <w:r>
        <w:rPr>
          <w:rFonts w:hint="eastAsia" w:ascii="仿宋_GB2312" w:hAnsi="仿宋_GB2312" w:eastAsia="仿宋_GB2312" w:cs="仿宋_GB2312"/>
          <w:color w:val="000000" w:themeColor="text1"/>
          <w:sz w:val="32"/>
          <w:szCs w:val="32"/>
          <w:highlight w:val="none"/>
          <w:shd w:val="clear" w:color="auto" w:fill="auto"/>
          <w:lang w:val="en-US" w:eastAsia="zh-CN" w:bidi="ar"/>
        </w:rPr>
        <w:t>详见下表：</w:t>
      </w:r>
    </w:p>
    <w:tbl>
      <w:tblPr>
        <w:tblW w:w="8790" w:type="dxa"/>
        <w:tblInd w:w="0" w:type="dxa"/>
        <w:shd w:val="clear"/>
        <w:tblLayout w:type="fixed"/>
        <w:tblCellMar>
          <w:top w:w="0" w:type="dxa"/>
          <w:left w:w="0" w:type="dxa"/>
          <w:bottom w:w="0" w:type="dxa"/>
          <w:right w:w="0" w:type="dxa"/>
        </w:tblCellMar>
      </w:tblPr>
      <w:tblGrid>
        <w:gridCol w:w="660"/>
        <w:gridCol w:w="2130"/>
        <w:gridCol w:w="840"/>
        <w:gridCol w:w="1035"/>
        <w:gridCol w:w="2670"/>
        <w:gridCol w:w="915"/>
        <w:gridCol w:w="540"/>
      </w:tblGrid>
      <w:tr>
        <w:tblPrEx>
          <w:shd w:val="clear"/>
          <w:tblLayout w:type="fixed"/>
          <w:tblCellMar>
            <w:top w:w="0" w:type="dxa"/>
            <w:left w:w="0" w:type="dxa"/>
            <w:bottom w:w="0" w:type="dxa"/>
            <w:right w:w="0" w:type="dxa"/>
          </w:tblCellMar>
        </w:tblPrEx>
        <w:trPr>
          <w:trHeight w:val="225" w:hRule="atLeast"/>
        </w:trPr>
        <w:tc>
          <w:tcPr>
            <w:tcW w:w="66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ascii="仿宋" w:hAnsi="仿宋" w:eastAsia="仿宋" w:cs="仿宋"/>
                <w:b/>
                <w:i w:val="0"/>
                <w:color w:val="000000"/>
                <w:sz w:val="18"/>
                <w:szCs w:val="18"/>
                <w:u w:val="none"/>
              </w:rPr>
            </w:pPr>
            <w:r>
              <w:rPr>
                <w:rFonts w:hint="default" w:ascii="仿宋" w:hAnsi="仿宋" w:eastAsia="仿宋" w:cs="仿宋"/>
                <w:b/>
                <w:i w:val="0"/>
                <w:color w:val="000000"/>
                <w:kern w:val="0"/>
                <w:sz w:val="18"/>
                <w:szCs w:val="18"/>
                <w:u w:val="none"/>
                <w:bdr w:val="none" w:color="auto" w:sz="0" w:space="0"/>
                <w:lang w:val="en-US" w:eastAsia="zh-CN" w:bidi="ar"/>
              </w:rPr>
              <w:t>序号</w:t>
            </w:r>
          </w:p>
        </w:tc>
        <w:tc>
          <w:tcPr>
            <w:tcW w:w="213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仿宋" w:hAnsi="仿宋" w:eastAsia="仿宋" w:cs="仿宋"/>
                <w:b/>
                <w:i w:val="0"/>
                <w:color w:val="000000"/>
                <w:sz w:val="18"/>
                <w:szCs w:val="18"/>
                <w:u w:val="none"/>
              </w:rPr>
            </w:pPr>
            <w:r>
              <w:rPr>
                <w:rFonts w:hint="default" w:ascii="仿宋" w:hAnsi="仿宋" w:eastAsia="仿宋" w:cs="仿宋"/>
                <w:b/>
                <w:i w:val="0"/>
                <w:color w:val="000000"/>
                <w:kern w:val="0"/>
                <w:sz w:val="18"/>
                <w:szCs w:val="18"/>
                <w:u w:val="none"/>
                <w:bdr w:val="none" w:color="auto" w:sz="0" w:space="0"/>
                <w:lang w:val="en-US" w:eastAsia="zh-CN" w:bidi="ar"/>
              </w:rPr>
              <w:t>项目名称</w:t>
            </w:r>
          </w:p>
        </w:tc>
        <w:tc>
          <w:tcPr>
            <w:tcW w:w="84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仿宋" w:hAnsi="仿宋" w:eastAsia="仿宋" w:cs="仿宋"/>
                <w:b/>
                <w:i w:val="0"/>
                <w:color w:val="000000"/>
                <w:sz w:val="18"/>
                <w:szCs w:val="18"/>
                <w:u w:val="none"/>
              </w:rPr>
            </w:pPr>
            <w:r>
              <w:rPr>
                <w:rFonts w:hint="default" w:ascii="仿宋" w:hAnsi="仿宋" w:eastAsia="仿宋" w:cs="仿宋"/>
                <w:b/>
                <w:i w:val="0"/>
                <w:color w:val="000000"/>
                <w:kern w:val="0"/>
                <w:sz w:val="18"/>
                <w:szCs w:val="18"/>
                <w:u w:val="none"/>
                <w:bdr w:val="none" w:color="auto" w:sz="0" w:space="0"/>
                <w:lang w:val="en-US" w:eastAsia="zh-CN" w:bidi="ar"/>
              </w:rPr>
              <w:t>绩效目标是否完成</w:t>
            </w:r>
          </w:p>
        </w:tc>
        <w:tc>
          <w:tcPr>
            <w:tcW w:w="1035"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仿宋" w:hAnsi="仿宋" w:eastAsia="仿宋" w:cs="仿宋"/>
                <w:b/>
                <w:i w:val="0"/>
                <w:color w:val="000000"/>
                <w:sz w:val="18"/>
                <w:szCs w:val="18"/>
                <w:u w:val="none"/>
              </w:rPr>
            </w:pPr>
            <w:r>
              <w:rPr>
                <w:rFonts w:hint="default" w:ascii="仿宋" w:hAnsi="仿宋" w:eastAsia="仿宋" w:cs="仿宋"/>
                <w:b/>
                <w:i w:val="0"/>
                <w:color w:val="000000"/>
                <w:kern w:val="0"/>
                <w:sz w:val="18"/>
                <w:szCs w:val="18"/>
                <w:u w:val="none"/>
                <w:bdr w:val="none" w:color="auto" w:sz="0" w:space="0"/>
                <w:lang w:val="en-US" w:eastAsia="zh-CN" w:bidi="ar"/>
              </w:rPr>
              <w:t>执行</w:t>
            </w:r>
            <w:r>
              <w:rPr>
                <w:rFonts w:hint="default" w:ascii="仿宋" w:hAnsi="仿宋" w:eastAsia="仿宋" w:cs="仿宋"/>
                <w:b/>
                <w:i w:val="0"/>
                <w:color w:val="000000"/>
                <w:kern w:val="0"/>
                <w:sz w:val="18"/>
                <w:szCs w:val="18"/>
                <w:u w:val="none"/>
                <w:bdr w:val="none" w:color="auto" w:sz="0" w:space="0"/>
                <w:lang w:val="en-US" w:eastAsia="zh-CN" w:bidi="ar"/>
              </w:rPr>
              <w:br w:type="textWrapping"/>
            </w:r>
            <w:r>
              <w:rPr>
                <w:rFonts w:hint="default" w:ascii="仿宋" w:hAnsi="仿宋" w:eastAsia="仿宋" w:cs="仿宋"/>
                <w:b/>
                <w:i w:val="0"/>
                <w:color w:val="000000"/>
                <w:kern w:val="0"/>
                <w:sz w:val="18"/>
                <w:szCs w:val="18"/>
                <w:u w:val="none"/>
                <w:bdr w:val="none" w:color="auto" w:sz="0" w:space="0"/>
                <w:lang w:val="en-US" w:eastAsia="zh-CN" w:bidi="ar"/>
              </w:rPr>
              <w:t>预算数</w:t>
            </w:r>
            <w:r>
              <w:rPr>
                <w:rFonts w:hint="eastAsia" w:ascii="仿宋" w:hAnsi="仿宋" w:eastAsia="仿宋" w:cs="仿宋"/>
                <w:b/>
                <w:i w:val="0"/>
                <w:color w:val="000000"/>
                <w:kern w:val="0"/>
                <w:sz w:val="18"/>
                <w:szCs w:val="18"/>
                <w:u w:val="none"/>
                <w:bdr w:val="none" w:color="auto" w:sz="0" w:space="0"/>
                <w:lang w:val="en-US" w:eastAsia="zh-CN" w:bidi="ar"/>
              </w:rPr>
              <w:t xml:space="preserve">   </w:t>
            </w:r>
            <w:r>
              <w:rPr>
                <w:rFonts w:hint="default" w:ascii="仿宋" w:hAnsi="仿宋" w:eastAsia="仿宋" w:cs="仿宋"/>
                <w:b/>
                <w:i w:val="0"/>
                <w:color w:val="000000"/>
                <w:kern w:val="0"/>
                <w:sz w:val="18"/>
                <w:szCs w:val="18"/>
                <w:u w:val="none"/>
                <w:bdr w:val="none" w:color="auto" w:sz="0" w:space="0"/>
                <w:lang w:val="en-US" w:eastAsia="zh-CN" w:bidi="ar"/>
              </w:rPr>
              <w:t>（万元）</w:t>
            </w:r>
          </w:p>
        </w:tc>
        <w:tc>
          <w:tcPr>
            <w:tcW w:w="267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仿宋" w:hAnsi="仿宋" w:eastAsia="仿宋" w:cs="仿宋"/>
                <w:b/>
                <w:i w:val="0"/>
                <w:color w:val="000000"/>
                <w:sz w:val="18"/>
                <w:szCs w:val="18"/>
                <w:u w:val="none"/>
              </w:rPr>
            </w:pPr>
            <w:r>
              <w:rPr>
                <w:rFonts w:hint="default" w:ascii="仿宋" w:hAnsi="仿宋" w:eastAsia="仿宋" w:cs="仿宋"/>
                <w:b/>
                <w:i w:val="0"/>
                <w:color w:val="000000"/>
                <w:kern w:val="0"/>
                <w:sz w:val="18"/>
                <w:szCs w:val="18"/>
                <w:u w:val="none"/>
                <w:bdr w:val="none" w:color="auto" w:sz="0" w:space="0"/>
                <w:lang w:val="en-US" w:eastAsia="zh-CN" w:bidi="ar"/>
              </w:rPr>
              <w:t>具体指标完成情况</w:t>
            </w:r>
          </w:p>
        </w:tc>
        <w:tc>
          <w:tcPr>
            <w:tcW w:w="915"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仿宋" w:hAnsi="仿宋" w:eastAsia="仿宋" w:cs="仿宋"/>
                <w:b/>
                <w:i w:val="0"/>
                <w:color w:val="000000"/>
                <w:sz w:val="18"/>
                <w:szCs w:val="18"/>
                <w:u w:val="none"/>
              </w:rPr>
            </w:pPr>
            <w:r>
              <w:rPr>
                <w:rFonts w:hint="default" w:ascii="仿宋" w:hAnsi="仿宋" w:eastAsia="仿宋" w:cs="仿宋"/>
                <w:b/>
                <w:i w:val="0"/>
                <w:color w:val="000000"/>
                <w:kern w:val="0"/>
                <w:sz w:val="18"/>
                <w:szCs w:val="18"/>
                <w:u w:val="none"/>
                <w:bdr w:val="none" w:color="auto" w:sz="0" w:space="0"/>
                <w:lang w:val="en-US" w:eastAsia="zh-CN" w:bidi="ar"/>
              </w:rPr>
              <w:t>自评得分</w:t>
            </w:r>
          </w:p>
        </w:tc>
        <w:tc>
          <w:tcPr>
            <w:tcW w:w="54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仿宋" w:hAnsi="仿宋" w:eastAsia="仿宋" w:cs="仿宋"/>
                <w:b/>
                <w:i w:val="0"/>
                <w:color w:val="000000"/>
                <w:sz w:val="18"/>
                <w:szCs w:val="18"/>
                <w:u w:val="none"/>
              </w:rPr>
            </w:pPr>
            <w:r>
              <w:rPr>
                <w:rFonts w:hint="default" w:ascii="仿宋" w:hAnsi="仿宋" w:eastAsia="仿宋" w:cs="仿宋"/>
                <w:b/>
                <w:i w:val="0"/>
                <w:color w:val="000000"/>
                <w:kern w:val="0"/>
                <w:sz w:val="18"/>
                <w:szCs w:val="18"/>
                <w:u w:val="none"/>
                <w:bdr w:val="none" w:color="auto" w:sz="0" w:space="0"/>
                <w:lang w:val="en-US" w:eastAsia="zh-CN" w:bidi="ar"/>
              </w:rPr>
              <w:t>评价等级</w:t>
            </w:r>
          </w:p>
        </w:tc>
      </w:tr>
      <w:tr>
        <w:tblPrEx>
          <w:tblLayout w:type="fixed"/>
          <w:tblCellMar>
            <w:top w:w="0" w:type="dxa"/>
            <w:left w:w="0" w:type="dxa"/>
            <w:bottom w:w="0" w:type="dxa"/>
            <w:right w:w="0" w:type="dxa"/>
          </w:tblCellMar>
        </w:tblPrEx>
        <w:trPr>
          <w:trHeight w:val="50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仿宋" w:hAnsi="仿宋" w:eastAsia="仿宋" w:cs="仿宋"/>
                <w:b/>
                <w:i w:val="0"/>
                <w:color w:val="000000"/>
                <w:sz w:val="18"/>
                <w:szCs w:val="18"/>
                <w:u w:val="none"/>
              </w:rPr>
            </w:pPr>
          </w:p>
        </w:tc>
        <w:tc>
          <w:tcPr>
            <w:tcW w:w="213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仿宋" w:hAnsi="仿宋" w:eastAsia="仿宋" w:cs="仿宋"/>
                <w:b/>
                <w:i w:val="0"/>
                <w:color w:val="000000"/>
                <w:sz w:val="18"/>
                <w:szCs w:val="18"/>
                <w:u w:val="none"/>
              </w:rPr>
            </w:pPr>
          </w:p>
        </w:tc>
        <w:tc>
          <w:tcPr>
            <w:tcW w:w="84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仿宋" w:hAnsi="仿宋" w:eastAsia="仿宋" w:cs="仿宋"/>
                <w:b/>
                <w:i w:val="0"/>
                <w:color w:val="000000"/>
                <w:sz w:val="18"/>
                <w:szCs w:val="18"/>
                <w:u w:val="none"/>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仿宋" w:hAnsi="仿宋" w:eastAsia="仿宋" w:cs="仿宋"/>
                <w:b/>
                <w:i w:val="0"/>
                <w:color w:val="000000"/>
                <w:sz w:val="18"/>
                <w:szCs w:val="18"/>
                <w:u w:val="none"/>
              </w:rPr>
            </w:pPr>
          </w:p>
        </w:tc>
        <w:tc>
          <w:tcPr>
            <w:tcW w:w="267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仿宋" w:hAnsi="仿宋" w:eastAsia="仿宋" w:cs="仿宋"/>
                <w:b/>
                <w:i w:val="0"/>
                <w:color w:val="000000"/>
                <w:sz w:val="18"/>
                <w:szCs w:val="18"/>
                <w:u w:val="none"/>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仿宋" w:hAnsi="仿宋" w:eastAsia="仿宋" w:cs="仿宋"/>
                <w:b/>
                <w:i w:val="0"/>
                <w:color w:val="000000"/>
                <w:sz w:val="18"/>
                <w:szCs w:val="18"/>
                <w:u w:val="none"/>
              </w:rPr>
            </w:pPr>
          </w:p>
        </w:tc>
        <w:tc>
          <w:tcPr>
            <w:tcW w:w="54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仿宋" w:hAnsi="仿宋" w:eastAsia="仿宋" w:cs="仿宋"/>
                <w:b/>
                <w:i w:val="0"/>
                <w:color w:val="000000"/>
                <w:sz w:val="18"/>
                <w:szCs w:val="18"/>
                <w:u w:val="none"/>
              </w:rPr>
            </w:pPr>
          </w:p>
        </w:tc>
      </w:tr>
      <w:tr>
        <w:tblPrEx>
          <w:tblLayout w:type="fixed"/>
          <w:tblCellMar>
            <w:top w:w="0" w:type="dxa"/>
            <w:left w:w="0" w:type="dxa"/>
            <w:bottom w:w="0" w:type="dxa"/>
            <w:right w:w="0" w:type="dxa"/>
          </w:tblCellMar>
        </w:tblPrEx>
        <w:trPr>
          <w:trHeight w:val="120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1</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提前下达2024年市级农业转移支付预算-稳定生猪生产补助项目资金</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25.00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2024年底存栏6300头，新增后备种猪399头，完成省级口蹄疫病净化场验收，保证猪群健康稳定，实现稳产保供目标。</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100</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94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2</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提前下达2023年市级农业转移支付资金-农业基层推广体系建设[创新驿站项目]</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20.00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开展技术指导培训3次，推广优良品种321头，规划种猪测定流程，参加省市各种种猪推介会。</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98</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140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3</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提前下达2023年市级农业专项转移支付资金-农村新能源开发利用示范及农业清洁生产示范项目</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15.00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项目购买粉碎机 1台、太阳能杀虫灯10台、粘虫板2000张，购买有机肥128.2吨,生物农药127.5万毫升。开展农业洁生产，同时开展了有机肥替代化肥试验示范工作，实现了农业清洁生产。</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98</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102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4</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提前下达2023年市级农业转移支付资金-村级农业技术员补助</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1.80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对30个村级农业技术员开展农业调查、品种推广、农产品质量安全监管、宣传等农业工作进行补贴.每人补贴600元。</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98</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100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5</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提前下达2024年市级农业转移支付预算-村级农业技术员补助项目资金</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1.80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对30个村级农业技术员开展农业调查、品种推广、农产品质量安全监管、宣传等农业工作进行补贴.每人补贴600元。</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98</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96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6</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调整2024年省级农业防灾减灾和水利救灾（农产品质量安全监测与控制能力提升）资金</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1.25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完成1个绿色认证企业补助工作，提高农产品质量，提升绿色品牌知名度，提高企业经济效益。</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98</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108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7</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提前下达2024年市级农业转移支付预算-农产品质量安全监管资金（绿色食品认证补助）</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4.00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完成2个企业绿色认证，共创建5个绿色食品品牌。进一步提升农产品质量，提升品牌知名度，提高经济效益</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99</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98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8</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提前下达2024年中央耕地建设与利用资金-耕地地力保护补贴</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42.00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完成全区5265.34亩耕地地力保护补贴发放，共补贴资金42.12272万元，支持耕地地力提升。</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100</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96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提前下达2024年中央粮油生产保障资金（小麦“一喷三防”）</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0.40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对全区1000亩小麦及时进行了“一喷三防”减轻了病虫害发生程度，延长灌浆时间，提高粒重，小麦获得了较高产量</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98</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144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10</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受污染耕地治理经费</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2.00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对我区48亩安全利用类耕地进行科学治理，并对200亩优先保护类耕地跟踪调查，抽取15个农产品样品进行检测，检测结果全部合格。治理效果经专家评估为优秀。</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100</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88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11</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农机员、农技员、基层兽医生活补助</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4.344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对所有符合补助条件人员进行核实，并全部按时足额进行资金拨付。</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100</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102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12</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提前下达2023年市级农业转移支付资金-乡村振兴村企合作及乡村振兴示范区创建项目</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60.00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通过支持乡村振兴联农带农村企合作项目建设进行奖补，有效带动农村农村产业发展。</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100</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114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13</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提前下达2023年农业转移支付资金-菜篮子示范工程项目</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20.00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创建1个区域优势突出，具有一定规模，生产管理和技术措施规范，在增加产品产量和提高产品质量上有示范带动作用的市级优质水果示范园。</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100</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84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14</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提前下达2023年市级农业转移支付资金-国家现代农业示范区建设</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50.00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通过提升1个现代农业园区，落实农业园区提升建设任务，全面提升农业园区品质。</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98</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86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15</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提前下达2024年省级农业科技成果转化及推广专项资金-农业品牌建设项目</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42.454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顺利召开井陉矿区特色农产品博览会，组织区内50个农产品进行参展宣传</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100</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154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16</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提前下达2024年省级农业产业发展资金预算-农业产业化项目</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60.00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通过资金拨付，支持2023年度农业签约引资额1.5亿元以上且完成投资500万元的招商引资项目，用于在2024年项目建设过程中生产设施建设、加工设施建设以及技术装备提升等。</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100</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88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17</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提前下达2024年省级财政衔接推进乡村振兴补助资金</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44.00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支持1个产业项目、1个基础设施项目</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96</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62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18</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2023年中央农业经营主体能力提升资金</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46.00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完成支持1家合作社，2家家庭农场</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91</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88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19</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农村厕所改造后续管护经费</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9.63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完成日常维护改造后的农村厕所，提高了农村居民生活质量，进一步补齐了农村基础设施短板。</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97</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88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20</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应急基础设施项目资金</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10.00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设立应急基础设施项目，保障了水利基础设施建设工作及汛期防护工作</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98</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88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21</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提前下达2022年中央土地指标跨省域调剂收入安排的支出预算</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1.11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建设了农村厕所后续管护平台，改善了农村人居环境，提升了居民生活质量。</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97</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104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22</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提前下达2023年省级乡村振兴（农村人居环境整治提升）专项资金—省级美丽乡村精品村奖补项目</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100.00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完成了美丽乡村和精品村环境整治、游园建设、道路硬化等项目，进一步提升了美丽乡村建设水平。</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98</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88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23</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提前下达2024年市级农业转移支付预算-农村厕所革命资金</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10.00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农村户厕改造完成率90%</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99</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110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24</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提前下达2024年省级乡村振兴（农村人居环境整治）专项资金（政府债券）-农村厕所改造项目</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20.2828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改造户厕473座，建设公厕4座，修复重建厕所粪污收储和处理设施2座。</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98</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108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25</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提前下达2023年省级乡村振兴（农村人居环境整治提升）专项资金（政府债券）—农村厕所改造项目</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45.0695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对农村厕所后续管护平台提升及农村厕所改造提升，改善了农村人居环境，提升了居民生活品质。</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98</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84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26</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提前下达2023年市级农业转移支付资金-动物疫病防疫补助</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0.47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全区完成了口蹄疫、高致病性禽流感、小反刍兽疫、布病等动物疫病强制免疫100%。</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96</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84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27</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提前下达2023年省级农产品质量安全及疫病防治资金-动物强制免疫经费</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3.26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全区完成了口蹄疫、高致病性禽流感、小反刍兽疫、布病等动物疫病强制免疫100%。</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96</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84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28</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提前下达2023年市级农业转移支付资金-养殖环节病死猪无害化处理及疫病净化补助项目</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20.00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养殖环节收集的病死猪无害化处理率100%。</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100</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116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29</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提前下达2023年省级农产品质量安全及疫病防治资金—动物疫情监测与防控（非洲猪瘟防控—动物疫病净化补助）</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10.00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提升动物疫病净化场的建设工作.</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99</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84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30</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2023年中央动物防疫补助—养殖环节无害化处理补助</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8.74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养殖环节收集的病死猪无害化处理率100%。</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100</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102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31</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提前下达2024年中央农业防灾减灾和水利救灾资金（动物防疫补助预算）-中央强制免疫补助</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1.83298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全区完成了口蹄疫、高致病性禽流感、小反刍兽疫、布病等动物疫病强制免疫100%。</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96</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84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32</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提前下达2024年市级农业转移支付预算-病死畜禽无害化处理全覆盖资金</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0.0856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没有发生重大动物疫情，无食品安全事件。</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97</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84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33</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2024年养殖环节病死猪集中无害化处理补助资金43.475万元</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43.475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养殖环节收集的病死猪无害化处理率100%。</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100</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84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34</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2024年上半年农业保险保费项目补贴资金24.153792万元</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24.153792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完成农业保险补助。</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99</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110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35</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提前下达2024年中央水库移民后期扶持资金预算</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0.54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实际按时完成补助发放，切实增加了移民收入，有效改善了移民生产生活条件，维持移民群体稳定。</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98</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84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36</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提前下达2024年省级水利发展资金-水土保持工程</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271.295843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工程已完工，促进了小流域生态恢复，减少了水土流失。</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96</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84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37</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提前下达2023年市级水利发展资金-防汛及物资储备经费</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0.70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完成汛期值班值守及防汛相关工作，保障安全度汛工作</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90</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102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38</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关于下达2022年中央农业生产和水利救灾资金的通知-凤山排洪沟修复工程（北凤山段）</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22.50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程已完工，有效提高了北凤山村防洪、行洪能力。</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98</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84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39</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提前下达2024年市级水利发展资金-防汛及物资储备经费</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0.70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完成汛期值班值守及防汛相关工作，保障安全度汛工作</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90</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84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40</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2021年省级地下水超采综合治理专项资金</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27.03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工程已完工，完善补充了农村灌溉水源置换项目附属配套设施。</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97</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84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41</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提前下达2024年省级水利发展资金-山洪灾害防治</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3.835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完成保障防汛工作顺利开展，保障安全度汛工作</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90</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102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42</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提前下达2023年省级农业生产救灾及特大防汛抗旱补助资金—南寨水库溢洪道修复工程</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25.00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工程已完工，提高了水库防洪能力，确保水库泄洪通畅。</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96</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130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43</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防汛业务经费</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10.00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及时提供了气象灾害防御、天气预报及预警信息发布、雨情汛情（区域气象站）实时监控及设备维护服务，确保全区安全度汛，保障了人民群众生命安全</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92</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84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44</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农村饮水安全水质检测中心运行经费</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1.00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及时支出费用，有效保障用电需求，保障全局工作正常开展。</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94</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84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45</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绵右渠水费</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10.00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实际供水量，保障农林业及生态全年用水量，促进农林业健康发展。</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96</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84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46</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河湖智能视频监控系统</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6.06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实现防洪减灾辅助决策、监测预警功能，监控全区河道垃圾情况，及时发现及时清理。</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97</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84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47</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提前下达2024年市级水利发展资金-村级河长巡河护河补助</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0.84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实际每周巡河两次以上，完成巡河巡查工作内容，有效保障了河道全年畅通、行洪安全。</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97</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84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48</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提前下达2023年市级水利发展资金-村级河长巡河护河补助</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0.8498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实际每周巡河两次以上，完成巡河巡查工作内容，有效保障了河道全年畅通、行洪安全。</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97</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104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49</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农业农村及水利工作经费</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2.4687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实际完成2024年度瘦肉精检测试剂费用、疫苗款和相关专用仪器设备和功能室电费支出，保障了各项业务工作正常开展。</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97</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88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50</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专项业务用车运行维护费</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2.00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专项业务用车保险及运行费用得到了有效保障，全年车辆平稳运行，专项业务得以顺利开展。</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98</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112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51</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劳务派遣人员经费</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30.523515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通过拨付劳务派遣人员工资及保险，保障了派遣人员合法权益，相关人员工作积极性及工作效率显著提高，降低了单位用人成本。</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100</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880" w:hRule="atLeast"/>
        </w:trPr>
        <w:tc>
          <w:tcPr>
            <w:tcW w:w="66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52</w:t>
            </w:r>
          </w:p>
        </w:tc>
        <w:tc>
          <w:tcPr>
            <w:tcW w:w="213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网络运行经费</w:t>
            </w:r>
          </w:p>
        </w:tc>
        <w:tc>
          <w:tcPr>
            <w:tcW w:w="8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是</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 xml:space="preserve">2.78 </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通过相关费用及时支付，有效保障了全局各业务股室互联网、视频会议、防汛平台等正常运行。</w:t>
            </w: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98</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r>
        <w:tblPrEx>
          <w:tblLayout w:type="fixed"/>
          <w:tblCellMar>
            <w:top w:w="0" w:type="dxa"/>
            <w:left w:w="0" w:type="dxa"/>
            <w:bottom w:w="0" w:type="dxa"/>
            <w:right w:w="0" w:type="dxa"/>
          </w:tblCellMar>
        </w:tblPrEx>
        <w:trPr>
          <w:trHeight w:val="840" w:hRule="atLeast"/>
        </w:trPr>
        <w:tc>
          <w:tcPr>
            <w:tcW w:w="3630" w:type="dxa"/>
            <w:gridSpan w:val="3"/>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bdr w:val="none" w:color="auto" w:sz="0" w:space="0"/>
                <w:lang w:val="en-US" w:eastAsia="zh-CN" w:bidi="ar"/>
              </w:rPr>
              <w:t>合计</w:t>
            </w:r>
          </w:p>
        </w:tc>
        <w:tc>
          <w:tcPr>
            <w:tcW w:w="103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1166.28053</w:t>
            </w:r>
          </w:p>
        </w:tc>
        <w:tc>
          <w:tcPr>
            <w:tcW w:w="26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91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97</w:t>
            </w:r>
          </w:p>
        </w:tc>
        <w:tc>
          <w:tcPr>
            <w:tcW w:w="54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优秀</w:t>
            </w:r>
          </w:p>
        </w:tc>
      </w:tr>
    </w:tbl>
    <w:p>
      <w:pPr>
        <w:pStyle w:val="2"/>
        <w:rPr>
          <w:rFonts w:hint="eastAsia"/>
          <w:lang w:val="en-US" w:eastAsia="zh-CN"/>
        </w:rPr>
      </w:pPr>
    </w:p>
    <w:p>
      <w:pPr>
        <w:pStyle w:val="2"/>
        <w:rPr>
          <w:rFonts w:hint="eastAsia"/>
          <w:lang w:val="en-US" w:eastAsia="zh-CN"/>
        </w:rPr>
      </w:pP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keepNext w:val="0"/>
        <w:keepLines w:val="0"/>
        <w:pageBreakBefore w:val="0"/>
        <w:widowControl w:val="0"/>
        <w:kinsoku/>
        <w:wordWrap/>
        <w:overflowPunct/>
        <w:topLinePunct w:val="0"/>
        <w:autoSpaceDE/>
        <w:autoSpaceDN/>
        <w:bidi w:val="0"/>
        <w:spacing w:line="540" w:lineRule="exact"/>
        <w:ind w:firstLine="640" w:firstLineChars="200"/>
        <w:textAlignment w:val="auto"/>
        <w:outlineLvl w:val="9"/>
        <w:rPr>
          <w:rFonts w:hint="eastAsia" w:ascii="仿宋_GB2312" w:hAnsi="仿宋_GB2312" w:eastAsia="仿宋_GB2312" w:cs="仿宋_GB2312"/>
          <w:b w:val="0"/>
          <w:bCs w:val="0"/>
          <w:color w:val="000000" w:themeColor="text1"/>
          <w:sz w:val="32"/>
          <w:szCs w:val="32"/>
          <w:highlight w:val="none"/>
          <w:shd w:val="clear" w:color="auto" w:fill="auto"/>
        </w:rPr>
      </w:pPr>
      <w:r>
        <w:rPr>
          <w:rFonts w:hint="eastAsia" w:ascii="仿宋_GB2312" w:hAnsi="仿宋_GB2312" w:eastAsia="仿宋_GB2312" w:cs="仿宋_GB2312"/>
          <w:b w:val="0"/>
          <w:bCs w:val="0"/>
          <w:color w:val="000000" w:themeColor="text1"/>
          <w:sz w:val="32"/>
          <w:szCs w:val="32"/>
          <w:highlight w:val="none"/>
          <w:shd w:val="clear" w:color="auto" w:fill="auto"/>
        </w:rPr>
        <w:t>根据</w:t>
      </w:r>
      <w:r>
        <w:rPr>
          <w:rFonts w:hint="eastAsia" w:ascii="仿宋_GB2312" w:hAnsi="仿宋_GB2312" w:eastAsia="仿宋_GB2312" w:cs="仿宋_GB2312"/>
          <w:b w:val="0"/>
          <w:bCs w:val="0"/>
          <w:color w:val="000000" w:themeColor="text1"/>
          <w:sz w:val="32"/>
          <w:szCs w:val="32"/>
          <w:highlight w:val="none"/>
          <w:shd w:val="clear" w:color="auto" w:fill="auto"/>
          <w:lang w:eastAsia="zh-CN"/>
        </w:rPr>
        <w:t>我</w:t>
      </w:r>
      <w:r>
        <w:rPr>
          <w:rFonts w:hint="eastAsia" w:ascii="仿宋_GB2312" w:hAnsi="仿宋_GB2312" w:eastAsia="仿宋_GB2312" w:cs="仿宋_GB2312"/>
          <w:b w:val="0"/>
          <w:bCs w:val="0"/>
          <w:color w:val="000000" w:themeColor="text1"/>
          <w:sz w:val="32"/>
          <w:szCs w:val="32"/>
          <w:highlight w:val="none"/>
          <w:shd w:val="clear" w:color="auto" w:fill="auto"/>
        </w:rPr>
        <w:t>部门职责定位和各项工作履职情况进行综合评价，给出总得分</w:t>
      </w:r>
      <w:r>
        <w:rPr>
          <w:rFonts w:hint="eastAsia" w:ascii="仿宋_GB2312" w:hAnsi="仿宋_GB2312" w:eastAsia="仿宋_GB2312" w:cs="仿宋_GB2312"/>
          <w:b w:val="0"/>
          <w:bCs w:val="0"/>
          <w:color w:val="000000" w:themeColor="text1"/>
          <w:sz w:val="32"/>
          <w:szCs w:val="32"/>
          <w:highlight w:val="none"/>
          <w:shd w:val="clear" w:color="auto" w:fill="auto"/>
          <w:lang w:val="en-US" w:eastAsia="zh-CN"/>
        </w:rPr>
        <w:t>97分</w:t>
      </w:r>
      <w:r>
        <w:rPr>
          <w:rFonts w:hint="eastAsia" w:ascii="仿宋_GB2312" w:hAnsi="仿宋_GB2312" w:eastAsia="仿宋_GB2312" w:cs="仿宋_GB2312"/>
          <w:b w:val="0"/>
          <w:bCs w:val="0"/>
          <w:color w:val="000000" w:themeColor="text1"/>
          <w:sz w:val="32"/>
          <w:szCs w:val="32"/>
          <w:highlight w:val="none"/>
          <w:shd w:val="clear" w:color="auto" w:fill="auto"/>
        </w:rPr>
        <w:t>，满分100分，得出综合绩效评价</w:t>
      </w:r>
      <w:r>
        <w:rPr>
          <w:rFonts w:hint="eastAsia" w:ascii="仿宋_GB2312" w:hAnsi="仿宋_GB2312" w:eastAsia="仿宋_GB2312" w:cs="仿宋_GB2312"/>
          <w:b w:val="0"/>
          <w:bCs w:val="0"/>
          <w:color w:val="000000" w:themeColor="text1"/>
          <w:sz w:val="32"/>
          <w:szCs w:val="32"/>
          <w:highlight w:val="none"/>
          <w:shd w:val="clear" w:color="auto" w:fill="auto"/>
          <w:lang w:eastAsia="zh-CN"/>
        </w:rPr>
        <w:t>为优秀</w:t>
      </w:r>
      <w:r>
        <w:rPr>
          <w:rFonts w:hint="eastAsia" w:ascii="仿宋_GB2312" w:hAnsi="仿宋_GB2312" w:eastAsia="仿宋_GB2312" w:cs="仿宋_GB2312"/>
          <w:b w:val="0"/>
          <w:bCs w:val="0"/>
          <w:color w:val="000000" w:themeColor="text1"/>
          <w:sz w:val="32"/>
          <w:szCs w:val="32"/>
          <w:highlight w:val="none"/>
          <w:shd w:val="clear" w:color="auto" w:fill="auto"/>
        </w:rPr>
        <w:t>。部门整体支出综合绩效评价</w:t>
      </w:r>
      <w:r>
        <w:rPr>
          <w:rFonts w:hint="eastAsia" w:ascii="仿宋_GB2312" w:hAnsi="仿宋_GB2312" w:eastAsia="仿宋_GB2312" w:cs="仿宋_GB2312"/>
          <w:b w:val="0"/>
          <w:bCs w:val="0"/>
          <w:color w:val="000000" w:themeColor="text1"/>
          <w:sz w:val="32"/>
          <w:szCs w:val="32"/>
          <w:highlight w:val="none"/>
          <w:shd w:val="clear" w:color="auto" w:fill="auto"/>
          <w:lang w:eastAsia="zh-CN"/>
        </w:rPr>
        <w:t>得分</w:t>
      </w:r>
      <w:r>
        <w:rPr>
          <w:rFonts w:hint="eastAsia" w:ascii="仿宋_GB2312" w:hAnsi="仿宋_GB2312" w:eastAsia="仿宋_GB2312" w:cs="仿宋_GB2312"/>
          <w:b w:val="0"/>
          <w:bCs w:val="0"/>
          <w:color w:val="000000" w:themeColor="text1"/>
          <w:sz w:val="32"/>
          <w:szCs w:val="32"/>
          <w:highlight w:val="none"/>
          <w:shd w:val="clear" w:color="auto" w:fill="auto"/>
          <w:lang w:val="en-US" w:eastAsia="zh-CN"/>
        </w:rPr>
        <w:t>97</w:t>
      </w:r>
      <w:r>
        <w:rPr>
          <w:rFonts w:hint="eastAsia" w:ascii="仿宋_GB2312" w:hAnsi="仿宋_GB2312" w:eastAsia="仿宋_GB2312" w:cs="仿宋_GB2312"/>
          <w:b w:val="0"/>
          <w:bCs w:val="0"/>
          <w:color w:val="000000" w:themeColor="text1"/>
          <w:sz w:val="32"/>
          <w:szCs w:val="32"/>
          <w:highlight w:val="none"/>
          <w:shd w:val="clear" w:color="auto" w:fill="auto"/>
        </w:rPr>
        <w:t>分</w:t>
      </w:r>
      <w:r>
        <w:rPr>
          <w:rFonts w:hint="eastAsia" w:ascii="仿宋_GB2312" w:hAnsi="仿宋_GB2312" w:eastAsia="仿宋_GB2312" w:cs="仿宋_GB2312"/>
          <w:b w:val="0"/>
          <w:bCs w:val="0"/>
          <w:color w:val="000000" w:themeColor="text1"/>
          <w:sz w:val="32"/>
          <w:szCs w:val="32"/>
          <w:highlight w:val="none"/>
          <w:shd w:val="clear" w:color="auto" w:fill="auto"/>
          <w:lang w:eastAsia="zh-CN"/>
        </w:rPr>
        <w:t>，</w:t>
      </w:r>
      <w:r>
        <w:rPr>
          <w:rFonts w:hint="eastAsia" w:ascii="仿宋_GB2312" w:hAnsi="仿宋_GB2312" w:eastAsia="仿宋_GB2312" w:cs="仿宋_GB2312"/>
          <w:b w:val="0"/>
          <w:bCs w:val="0"/>
          <w:color w:val="000000" w:themeColor="text1"/>
          <w:sz w:val="32"/>
          <w:szCs w:val="32"/>
          <w:highlight w:val="none"/>
          <w:shd w:val="clear" w:color="auto" w:fill="auto"/>
        </w:rPr>
        <w:t>为优秀</w:t>
      </w:r>
      <w:r>
        <w:rPr>
          <w:rFonts w:hint="eastAsia" w:ascii="仿宋_GB2312" w:hAnsi="仿宋_GB2312" w:eastAsia="仿宋_GB2312" w:cs="仿宋_GB2312"/>
          <w:b w:val="0"/>
          <w:bCs w:val="0"/>
          <w:color w:val="000000" w:themeColor="text1"/>
          <w:sz w:val="32"/>
          <w:szCs w:val="32"/>
          <w:highlight w:val="none"/>
          <w:shd w:val="clear" w:color="auto" w:fill="auto"/>
          <w:lang w:eastAsia="zh-CN"/>
        </w:rPr>
        <w:t>等级</w:t>
      </w:r>
      <w:r>
        <w:rPr>
          <w:rFonts w:hint="eastAsia" w:ascii="仿宋_GB2312" w:hAnsi="仿宋_GB2312" w:eastAsia="仿宋_GB2312" w:cs="仿宋_GB2312"/>
          <w:b w:val="0"/>
          <w:bCs w:val="0"/>
          <w:color w:val="000000" w:themeColor="text1"/>
          <w:sz w:val="32"/>
          <w:szCs w:val="32"/>
          <w:highlight w:val="none"/>
          <w:shd w:val="clear" w:color="auto" w:fill="auto"/>
        </w:rPr>
        <w:t>。</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通过本次绩效自评</w:t>
      </w:r>
      <w:r>
        <w:rPr>
          <w:rFonts w:hint="eastAsia" w:ascii="仿宋_GB2312" w:hAnsi="仿宋_GB2312" w:eastAsia="仿宋_GB2312" w:cs="仿宋_GB2312"/>
          <w:sz w:val="32"/>
          <w:szCs w:val="32"/>
          <w:highlight w:val="none"/>
          <w:lang w:val="en-US" w:eastAsia="zh-CN"/>
        </w:rPr>
        <w:t>,预算绩效评价工作在不断完善，</w:t>
      </w:r>
      <w:r>
        <w:rPr>
          <w:rFonts w:hint="eastAsia" w:ascii="仿宋_GB2312" w:hAnsi="仿宋_GB2312" w:eastAsia="仿宋_GB2312" w:cs="仿宋_GB2312"/>
          <w:sz w:val="32"/>
          <w:szCs w:val="32"/>
          <w:highlight w:val="none"/>
          <w:lang w:eastAsia="zh-CN"/>
        </w:rPr>
        <w:t>但也存在一些不足：一是评价与预算以及与结果应用联系不够紧密，评价指标的设定与实际目标脱节，评价指标多为通用模板，缺乏项目专属的核心成效指标；二是绩效目标设定不够清晰，缺少量化，导致评价无明确依据，无法衡量成效。</w:t>
      </w:r>
    </w:p>
    <w:p>
      <w:pPr>
        <w:keepNext w:val="0"/>
        <w:keepLines w:val="0"/>
        <w:pageBreakBefore w:val="0"/>
        <w:widowControl w:val="0"/>
        <w:numPr>
          <w:ilvl w:val="0"/>
          <w:numId w:val="3"/>
        </w:numPr>
        <w:kinsoku/>
        <w:wordWrap/>
        <w:overflowPunct/>
        <w:topLinePunct w:val="0"/>
        <w:autoSpaceDE/>
        <w:autoSpaceDN/>
        <w:bidi w:val="0"/>
        <w:adjustRightInd w:val="0"/>
        <w:snapToGrid w:val="0"/>
        <w:spacing w:line="540" w:lineRule="exact"/>
        <w:ind w:left="0" w:leftChars="0" w:firstLine="640" w:firstLineChars="200"/>
        <w:textAlignment w:val="auto"/>
        <w:outlineLvl w:val="9"/>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keepNext w:val="0"/>
        <w:keepLines w:val="0"/>
        <w:pageBreakBefore w:val="0"/>
        <w:widowControl w:val="0"/>
        <w:numPr>
          <w:ilvl w:val="0"/>
          <w:numId w:val="0"/>
        </w:numPr>
        <w:kinsoku/>
        <w:wordWrap/>
        <w:overflowPunct/>
        <w:topLinePunct w:val="0"/>
        <w:autoSpaceDE/>
        <w:autoSpaceDN/>
        <w:bidi w:val="0"/>
        <w:adjustRightInd w:val="0"/>
        <w:snapToGrid w:val="0"/>
        <w:spacing w:line="540" w:lineRule="exact"/>
        <w:ind w:firstLine="640" w:firstLineChars="200"/>
        <w:textAlignment w:val="auto"/>
        <w:outlineLvl w:val="9"/>
        <w:rPr>
          <w:rFonts w:hint="eastAsia" w:ascii="仿宋_GB2312" w:hAnsi="仿宋_GB2312" w:eastAsia="仿宋_GB2312" w:cs="仿宋_GB2312"/>
          <w:highlight w:val="none"/>
        </w:rPr>
      </w:pPr>
      <w:r>
        <w:rPr>
          <w:rFonts w:hint="eastAsia" w:ascii="仿宋_GB2312" w:hAnsi="仿宋_GB2312" w:eastAsia="仿宋_GB2312" w:cs="仿宋_GB2312"/>
          <w:sz w:val="32"/>
          <w:szCs w:val="32"/>
          <w:highlight w:val="none"/>
        </w:rPr>
        <w:t>针对绩效指标设定中存在的问题，从实际出发，在项目绩效目标填报中增强指标的可评价性和可量化性，合理如实的反映资金使用的绩效成果，审核实现绩效目标所需资金的合理性以及填报的规范性、完整性，提高财政支出产生的社会效益和经济效益，重点考虑项目的外界因素对年度任务的影响。</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w:t>
      </w:r>
    </w:p>
    <w:tbl>
      <w:tblPr>
        <w:tblStyle w:val="18"/>
        <w:tblpPr w:leftFromText="180" w:rightFromText="180" w:vertAnchor="text" w:horzAnchor="page" w:tblpX="1792" w:tblpY="206"/>
        <w:tblOverlap w:val="never"/>
        <w:tblW w:w="88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88"/>
        <w:gridCol w:w="1890"/>
        <w:gridCol w:w="3750"/>
        <w:gridCol w:w="16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8" w:hRule="atLeast"/>
        </w:trPr>
        <w:tc>
          <w:tcPr>
            <w:tcW w:w="1488" w:type="dxa"/>
            <w:vAlign w:val="center"/>
          </w:tcPr>
          <w:p>
            <w:pPr>
              <w:spacing w:line="560" w:lineRule="exact"/>
              <w:jc w:val="center"/>
              <w:rPr>
                <w:rFonts w:hint="eastAsia" w:ascii="仿宋_GB2312" w:hAnsi="仿宋_GB2312" w:eastAsia="仿宋_GB2312" w:cs="仿宋_GB2312"/>
                <w:b/>
                <w:bCs/>
                <w:sz w:val="32"/>
                <w:szCs w:val="32"/>
                <w:highlight w:val="none"/>
              </w:rPr>
            </w:pPr>
            <w:r>
              <w:rPr>
                <w:rFonts w:hint="eastAsia" w:ascii="仿宋_GB2312" w:hAnsi="仿宋_GB2312" w:eastAsia="仿宋_GB2312" w:cs="仿宋_GB2312"/>
                <w:b/>
                <w:bCs/>
                <w:sz w:val="32"/>
                <w:szCs w:val="32"/>
                <w:highlight w:val="none"/>
              </w:rPr>
              <w:t>姓名</w:t>
            </w:r>
          </w:p>
        </w:tc>
        <w:tc>
          <w:tcPr>
            <w:tcW w:w="1890" w:type="dxa"/>
            <w:vAlign w:val="center"/>
          </w:tcPr>
          <w:p>
            <w:pPr>
              <w:spacing w:line="560" w:lineRule="exact"/>
              <w:jc w:val="center"/>
              <w:rPr>
                <w:rFonts w:hint="eastAsia" w:ascii="仿宋_GB2312" w:hAnsi="仿宋_GB2312" w:eastAsia="仿宋_GB2312" w:cs="仿宋_GB2312"/>
                <w:b/>
                <w:bCs/>
                <w:sz w:val="32"/>
                <w:szCs w:val="32"/>
                <w:highlight w:val="none"/>
              </w:rPr>
            </w:pPr>
            <w:r>
              <w:rPr>
                <w:rFonts w:hint="eastAsia" w:ascii="仿宋_GB2312" w:hAnsi="仿宋_GB2312" w:eastAsia="仿宋_GB2312" w:cs="仿宋_GB2312"/>
                <w:b/>
                <w:bCs/>
                <w:sz w:val="32"/>
                <w:szCs w:val="32"/>
                <w:highlight w:val="none"/>
              </w:rPr>
              <w:t>工作单位</w:t>
            </w:r>
          </w:p>
        </w:tc>
        <w:tc>
          <w:tcPr>
            <w:tcW w:w="3750" w:type="dxa"/>
            <w:vAlign w:val="center"/>
          </w:tcPr>
          <w:p>
            <w:pPr>
              <w:spacing w:line="560" w:lineRule="exact"/>
              <w:jc w:val="center"/>
              <w:rPr>
                <w:rFonts w:hint="eastAsia" w:ascii="仿宋_GB2312" w:hAnsi="仿宋_GB2312" w:eastAsia="仿宋_GB2312" w:cs="仿宋_GB2312"/>
                <w:b/>
                <w:bCs/>
                <w:sz w:val="32"/>
                <w:szCs w:val="32"/>
                <w:highlight w:val="none"/>
              </w:rPr>
            </w:pPr>
            <w:r>
              <w:rPr>
                <w:rFonts w:hint="eastAsia" w:ascii="仿宋_GB2312" w:hAnsi="仿宋_GB2312" w:eastAsia="仿宋_GB2312" w:cs="仿宋_GB2312"/>
                <w:b/>
                <w:bCs/>
                <w:sz w:val="32"/>
                <w:szCs w:val="32"/>
                <w:highlight w:val="none"/>
              </w:rPr>
              <w:t>职</w:t>
            </w:r>
            <w:r>
              <w:rPr>
                <w:rFonts w:hint="eastAsia" w:ascii="仿宋_GB2312" w:hAnsi="仿宋_GB2312" w:eastAsia="仿宋_GB2312" w:cs="仿宋_GB2312"/>
                <w:b/>
                <w:bCs/>
                <w:sz w:val="32"/>
                <w:szCs w:val="32"/>
                <w:highlight w:val="none"/>
                <w:lang w:val="en-US" w:eastAsia="zh-CN"/>
              </w:rPr>
              <w:t xml:space="preserve">  </w:t>
            </w:r>
            <w:r>
              <w:rPr>
                <w:rFonts w:hint="eastAsia" w:ascii="仿宋_GB2312" w:hAnsi="仿宋_GB2312" w:eastAsia="仿宋_GB2312" w:cs="仿宋_GB2312"/>
                <w:b/>
                <w:bCs/>
                <w:sz w:val="32"/>
                <w:szCs w:val="32"/>
                <w:highlight w:val="none"/>
              </w:rPr>
              <w:t>务</w:t>
            </w:r>
          </w:p>
        </w:tc>
        <w:tc>
          <w:tcPr>
            <w:tcW w:w="1672" w:type="dxa"/>
            <w:vAlign w:val="center"/>
          </w:tcPr>
          <w:p>
            <w:pPr>
              <w:spacing w:line="560" w:lineRule="exact"/>
              <w:jc w:val="center"/>
              <w:rPr>
                <w:rFonts w:hint="eastAsia" w:ascii="仿宋_GB2312" w:hAnsi="仿宋_GB2312" w:eastAsia="仿宋_GB2312" w:cs="仿宋_GB2312"/>
                <w:b/>
                <w:bCs/>
                <w:sz w:val="32"/>
                <w:szCs w:val="32"/>
                <w:highlight w:val="none"/>
              </w:rPr>
            </w:pPr>
            <w:r>
              <w:rPr>
                <w:rFonts w:hint="eastAsia" w:ascii="仿宋_GB2312" w:hAnsi="仿宋_GB2312" w:eastAsia="仿宋_GB2312" w:cs="仿宋_GB2312"/>
                <w:b/>
                <w:bCs/>
                <w:sz w:val="32"/>
                <w:szCs w:val="32"/>
                <w:highlight w:val="none"/>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1" w:hRule="atLeast"/>
        </w:trPr>
        <w:tc>
          <w:tcPr>
            <w:tcW w:w="1488"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许利平</w:t>
            </w:r>
          </w:p>
        </w:tc>
        <w:tc>
          <w:tcPr>
            <w:tcW w:w="1890" w:type="dxa"/>
            <w:vAlign w:val="center"/>
          </w:tcPr>
          <w:p>
            <w:pPr>
              <w:spacing w:line="560" w:lineRule="exact"/>
              <w:jc w:val="center"/>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农业农村</w:t>
            </w:r>
            <w:r>
              <w:rPr>
                <w:rFonts w:hint="eastAsia" w:ascii="仿宋_GB2312" w:hAnsi="仿宋_GB2312" w:eastAsia="仿宋_GB2312" w:cs="仿宋_GB2312"/>
                <w:sz w:val="32"/>
                <w:szCs w:val="32"/>
                <w:highlight w:val="none"/>
              </w:rPr>
              <w:t>局</w:t>
            </w:r>
          </w:p>
        </w:tc>
        <w:tc>
          <w:tcPr>
            <w:tcW w:w="3750" w:type="dxa"/>
            <w:vAlign w:val="center"/>
          </w:tcPr>
          <w:p>
            <w:pPr>
              <w:spacing w:line="560" w:lineRule="exact"/>
              <w:jc w:val="center"/>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局</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长</w:t>
            </w:r>
          </w:p>
        </w:tc>
        <w:tc>
          <w:tcPr>
            <w:tcW w:w="1672" w:type="dxa"/>
            <w:vAlign w:val="center"/>
          </w:tcPr>
          <w:p>
            <w:pPr>
              <w:spacing w:line="560" w:lineRule="exact"/>
              <w:jc w:val="center"/>
              <w:rPr>
                <w:rFonts w:hint="eastAsia" w:ascii="仿宋_GB2312" w:hAnsi="仿宋_GB2312" w:eastAsia="仿宋_GB2312" w:cs="仿宋_GB2312"/>
                <w:sz w:val="32"/>
                <w:szCs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1" w:hRule="atLeast"/>
        </w:trPr>
        <w:tc>
          <w:tcPr>
            <w:tcW w:w="1488"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苏振涛</w:t>
            </w:r>
          </w:p>
        </w:tc>
        <w:tc>
          <w:tcPr>
            <w:tcW w:w="1890"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农业农村局</w:t>
            </w:r>
          </w:p>
        </w:tc>
        <w:tc>
          <w:tcPr>
            <w:tcW w:w="3750"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副局长</w:t>
            </w:r>
          </w:p>
        </w:tc>
        <w:tc>
          <w:tcPr>
            <w:tcW w:w="1672" w:type="dxa"/>
            <w:vAlign w:val="center"/>
          </w:tcPr>
          <w:p>
            <w:pPr>
              <w:spacing w:line="560" w:lineRule="exact"/>
              <w:jc w:val="center"/>
              <w:rPr>
                <w:rFonts w:hint="eastAsia" w:ascii="仿宋_GB2312" w:hAnsi="仿宋_GB2312" w:eastAsia="仿宋_GB2312" w:cs="仿宋_GB2312"/>
                <w:sz w:val="32"/>
                <w:szCs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6" w:hRule="atLeast"/>
        </w:trPr>
        <w:tc>
          <w:tcPr>
            <w:tcW w:w="1488"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段倩倩</w:t>
            </w:r>
          </w:p>
        </w:tc>
        <w:tc>
          <w:tcPr>
            <w:tcW w:w="1890"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农业农村局</w:t>
            </w:r>
          </w:p>
        </w:tc>
        <w:tc>
          <w:tcPr>
            <w:tcW w:w="3750"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副局长</w:t>
            </w:r>
          </w:p>
        </w:tc>
        <w:tc>
          <w:tcPr>
            <w:tcW w:w="1672" w:type="dxa"/>
            <w:vAlign w:val="center"/>
          </w:tcPr>
          <w:p>
            <w:pPr>
              <w:spacing w:line="560" w:lineRule="exact"/>
              <w:jc w:val="center"/>
              <w:rPr>
                <w:rFonts w:hint="eastAsia" w:ascii="仿宋_GB2312" w:hAnsi="仿宋_GB2312" w:eastAsia="仿宋_GB2312" w:cs="仿宋_GB2312"/>
                <w:sz w:val="32"/>
                <w:szCs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6" w:hRule="atLeast"/>
        </w:trPr>
        <w:tc>
          <w:tcPr>
            <w:tcW w:w="1488"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樊占军</w:t>
            </w:r>
          </w:p>
        </w:tc>
        <w:tc>
          <w:tcPr>
            <w:tcW w:w="1890"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农业农村局</w:t>
            </w:r>
          </w:p>
        </w:tc>
        <w:tc>
          <w:tcPr>
            <w:tcW w:w="3750"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副科级干部</w:t>
            </w:r>
          </w:p>
        </w:tc>
        <w:tc>
          <w:tcPr>
            <w:tcW w:w="1672" w:type="dxa"/>
            <w:vAlign w:val="center"/>
          </w:tcPr>
          <w:p>
            <w:pPr>
              <w:spacing w:line="560" w:lineRule="exact"/>
              <w:jc w:val="center"/>
              <w:rPr>
                <w:rFonts w:hint="eastAsia" w:ascii="仿宋_GB2312" w:hAnsi="仿宋_GB2312" w:eastAsia="仿宋_GB2312" w:cs="仿宋_GB2312"/>
                <w:sz w:val="32"/>
                <w:szCs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90" w:hRule="atLeast"/>
        </w:trPr>
        <w:tc>
          <w:tcPr>
            <w:tcW w:w="1488"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冯丽娟</w:t>
            </w:r>
          </w:p>
        </w:tc>
        <w:tc>
          <w:tcPr>
            <w:tcW w:w="1890"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农业农村局</w:t>
            </w:r>
          </w:p>
        </w:tc>
        <w:tc>
          <w:tcPr>
            <w:tcW w:w="3750"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办公室负责人</w:t>
            </w:r>
          </w:p>
        </w:tc>
        <w:tc>
          <w:tcPr>
            <w:tcW w:w="1672" w:type="dxa"/>
            <w:vAlign w:val="center"/>
          </w:tcPr>
          <w:p>
            <w:pPr>
              <w:spacing w:line="560" w:lineRule="exact"/>
              <w:jc w:val="center"/>
              <w:rPr>
                <w:rFonts w:hint="eastAsia" w:ascii="仿宋_GB2312" w:hAnsi="仿宋_GB2312" w:eastAsia="仿宋_GB2312" w:cs="仿宋_GB2312"/>
                <w:sz w:val="32"/>
                <w:szCs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1488"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梅雪娟</w:t>
            </w:r>
          </w:p>
        </w:tc>
        <w:tc>
          <w:tcPr>
            <w:tcW w:w="1890"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农业农村局</w:t>
            </w:r>
          </w:p>
        </w:tc>
        <w:tc>
          <w:tcPr>
            <w:tcW w:w="3750"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人事财务股负责人</w:t>
            </w:r>
          </w:p>
        </w:tc>
        <w:tc>
          <w:tcPr>
            <w:tcW w:w="1672" w:type="dxa"/>
            <w:vAlign w:val="center"/>
          </w:tcPr>
          <w:p>
            <w:pPr>
              <w:spacing w:line="560" w:lineRule="exact"/>
              <w:jc w:val="center"/>
              <w:rPr>
                <w:rFonts w:hint="eastAsia" w:ascii="仿宋_GB2312" w:hAnsi="仿宋_GB2312" w:eastAsia="仿宋_GB2312" w:cs="仿宋_GB2312"/>
                <w:sz w:val="32"/>
                <w:szCs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8" w:hRule="atLeast"/>
        </w:trPr>
        <w:tc>
          <w:tcPr>
            <w:tcW w:w="1488"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马彦辉</w:t>
            </w:r>
          </w:p>
        </w:tc>
        <w:tc>
          <w:tcPr>
            <w:tcW w:w="1890"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农业农村局</w:t>
            </w:r>
          </w:p>
        </w:tc>
        <w:tc>
          <w:tcPr>
            <w:tcW w:w="3750"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畜牧办负责人</w:t>
            </w:r>
          </w:p>
        </w:tc>
        <w:tc>
          <w:tcPr>
            <w:tcW w:w="1672" w:type="dxa"/>
            <w:vAlign w:val="center"/>
          </w:tcPr>
          <w:p>
            <w:pPr>
              <w:spacing w:line="560" w:lineRule="exact"/>
              <w:jc w:val="center"/>
              <w:rPr>
                <w:rFonts w:hint="eastAsia" w:ascii="仿宋_GB2312" w:hAnsi="仿宋_GB2312" w:eastAsia="仿宋_GB2312" w:cs="仿宋_GB2312"/>
                <w:sz w:val="32"/>
                <w:szCs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1488"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高瑞红</w:t>
            </w:r>
          </w:p>
        </w:tc>
        <w:tc>
          <w:tcPr>
            <w:tcW w:w="1890"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农业农村局</w:t>
            </w:r>
          </w:p>
        </w:tc>
        <w:tc>
          <w:tcPr>
            <w:tcW w:w="3750"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动物卫生监督所负责人</w:t>
            </w:r>
          </w:p>
        </w:tc>
        <w:tc>
          <w:tcPr>
            <w:tcW w:w="1672" w:type="dxa"/>
            <w:vAlign w:val="center"/>
          </w:tcPr>
          <w:p>
            <w:pPr>
              <w:spacing w:line="560" w:lineRule="exact"/>
              <w:jc w:val="center"/>
              <w:rPr>
                <w:rFonts w:hint="eastAsia" w:ascii="仿宋_GB2312" w:hAnsi="仿宋_GB2312" w:eastAsia="仿宋_GB2312" w:cs="仿宋_GB2312"/>
                <w:sz w:val="32"/>
                <w:szCs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3" w:hRule="atLeast"/>
        </w:trPr>
        <w:tc>
          <w:tcPr>
            <w:tcW w:w="1488"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周建忠</w:t>
            </w:r>
          </w:p>
        </w:tc>
        <w:tc>
          <w:tcPr>
            <w:tcW w:w="1890"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农业农村局</w:t>
            </w:r>
          </w:p>
        </w:tc>
        <w:tc>
          <w:tcPr>
            <w:tcW w:w="3750"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农业工作办公室负责人</w:t>
            </w:r>
          </w:p>
        </w:tc>
        <w:tc>
          <w:tcPr>
            <w:tcW w:w="1672" w:type="dxa"/>
            <w:vAlign w:val="center"/>
          </w:tcPr>
          <w:p>
            <w:pPr>
              <w:spacing w:line="560" w:lineRule="exact"/>
              <w:jc w:val="center"/>
              <w:rPr>
                <w:rFonts w:hint="eastAsia" w:ascii="仿宋_GB2312" w:hAnsi="仿宋_GB2312" w:eastAsia="仿宋_GB2312" w:cs="仿宋_GB2312"/>
                <w:sz w:val="32"/>
                <w:szCs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0" w:hRule="atLeast"/>
        </w:trPr>
        <w:tc>
          <w:tcPr>
            <w:tcW w:w="1488"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冯海生</w:t>
            </w:r>
          </w:p>
        </w:tc>
        <w:tc>
          <w:tcPr>
            <w:tcW w:w="1890"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农业农村局</w:t>
            </w:r>
          </w:p>
        </w:tc>
        <w:tc>
          <w:tcPr>
            <w:tcW w:w="3750"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水利一科负责人</w:t>
            </w:r>
          </w:p>
        </w:tc>
        <w:tc>
          <w:tcPr>
            <w:tcW w:w="1672" w:type="dxa"/>
            <w:vAlign w:val="center"/>
          </w:tcPr>
          <w:p>
            <w:pPr>
              <w:spacing w:line="560" w:lineRule="exact"/>
              <w:jc w:val="center"/>
              <w:rPr>
                <w:rFonts w:hint="eastAsia" w:ascii="仿宋_GB2312" w:hAnsi="仿宋_GB2312" w:eastAsia="仿宋_GB2312" w:cs="仿宋_GB2312"/>
                <w:sz w:val="32"/>
                <w:szCs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505" w:hRule="atLeast"/>
        </w:trPr>
        <w:tc>
          <w:tcPr>
            <w:tcW w:w="1488"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高</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lang w:eastAsia="zh-CN"/>
              </w:rPr>
              <w:t>峰</w:t>
            </w:r>
          </w:p>
        </w:tc>
        <w:tc>
          <w:tcPr>
            <w:tcW w:w="1890"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农业农村局</w:t>
            </w:r>
          </w:p>
        </w:tc>
        <w:tc>
          <w:tcPr>
            <w:tcW w:w="3750"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水利二科负责人</w:t>
            </w:r>
          </w:p>
        </w:tc>
        <w:tc>
          <w:tcPr>
            <w:tcW w:w="1672" w:type="dxa"/>
            <w:vAlign w:val="center"/>
          </w:tcPr>
          <w:p>
            <w:pPr>
              <w:spacing w:line="560" w:lineRule="exact"/>
              <w:jc w:val="center"/>
              <w:rPr>
                <w:rFonts w:hint="eastAsia" w:ascii="仿宋_GB2312" w:hAnsi="仿宋_GB2312" w:eastAsia="仿宋_GB2312" w:cs="仿宋_GB2312"/>
                <w:sz w:val="32"/>
                <w:szCs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5" w:hRule="atLeast"/>
        </w:trPr>
        <w:tc>
          <w:tcPr>
            <w:tcW w:w="1488"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张利辉</w:t>
            </w:r>
          </w:p>
        </w:tc>
        <w:tc>
          <w:tcPr>
            <w:tcW w:w="1890"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农业农村局</w:t>
            </w:r>
          </w:p>
        </w:tc>
        <w:tc>
          <w:tcPr>
            <w:tcW w:w="3750"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水资源中心负责人</w:t>
            </w:r>
          </w:p>
        </w:tc>
        <w:tc>
          <w:tcPr>
            <w:tcW w:w="1672" w:type="dxa"/>
            <w:vAlign w:val="center"/>
          </w:tcPr>
          <w:p>
            <w:pPr>
              <w:spacing w:line="560" w:lineRule="exact"/>
              <w:jc w:val="center"/>
              <w:rPr>
                <w:rFonts w:hint="eastAsia" w:ascii="仿宋_GB2312" w:hAnsi="仿宋_GB2312" w:eastAsia="仿宋_GB2312" w:cs="仿宋_GB2312"/>
                <w:sz w:val="32"/>
                <w:szCs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3" w:hRule="atLeast"/>
        </w:trPr>
        <w:tc>
          <w:tcPr>
            <w:tcW w:w="1488"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张</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lang w:eastAsia="zh-CN"/>
              </w:rPr>
              <w:t>贺</w:t>
            </w:r>
          </w:p>
        </w:tc>
        <w:tc>
          <w:tcPr>
            <w:tcW w:w="1890"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农业农村局</w:t>
            </w:r>
          </w:p>
        </w:tc>
        <w:tc>
          <w:tcPr>
            <w:tcW w:w="3750"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乡村振兴办负责人</w:t>
            </w:r>
          </w:p>
        </w:tc>
        <w:tc>
          <w:tcPr>
            <w:tcW w:w="1672" w:type="dxa"/>
            <w:vAlign w:val="center"/>
          </w:tcPr>
          <w:p>
            <w:pPr>
              <w:spacing w:line="560" w:lineRule="exact"/>
              <w:jc w:val="center"/>
              <w:rPr>
                <w:rFonts w:hint="eastAsia" w:ascii="仿宋_GB2312" w:hAnsi="仿宋_GB2312" w:eastAsia="仿宋_GB2312" w:cs="仿宋_GB2312"/>
                <w:sz w:val="32"/>
                <w:szCs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8" w:hRule="atLeast"/>
        </w:trPr>
        <w:tc>
          <w:tcPr>
            <w:tcW w:w="1488"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刘利军</w:t>
            </w:r>
          </w:p>
        </w:tc>
        <w:tc>
          <w:tcPr>
            <w:tcW w:w="1890"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农业农村局</w:t>
            </w:r>
          </w:p>
        </w:tc>
        <w:tc>
          <w:tcPr>
            <w:tcW w:w="3750"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农村办负责人</w:t>
            </w:r>
          </w:p>
        </w:tc>
        <w:tc>
          <w:tcPr>
            <w:tcW w:w="1672" w:type="dxa"/>
            <w:vAlign w:val="center"/>
          </w:tcPr>
          <w:p>
            <w:pPr>
              <w:spacing w:line="560" w:lineRule="exact"/>
              <w:jc w:val="center"/>
              <w:rPr>
                <w:rFonts w:hint="eastAsia" w:ascii="仿宋_GB2312" w:hAnsi="仿宋_GB2312" w:eastAsia="仿宋_GB2312" w:cs="仿宋_GB2312"/>
                <w:sz w:val="32"/>
                <w:szCs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8" w:hRule="atLeast"/>
        </w:trPr>
        <w:tc>
          <w:tcPr>
            <w:tcW w:w="1488"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李</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lang w:eastAsia="zh-CN"/>
              </w:rPr>
              <w:t>茜</w:t>
            </w:r>
          </w:p>
        </w:tc>
        <w:tc>
          <w:tcPr>
            <w:tcW w:w="1890"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农业农村局</w:t>
            </w:r>
          </w:p>
        </w:tc>
        <w:tc>
          <w:tcPr>
            <w:tcW w:w="3750" w:type="dxa"/>
            <w:vAlign w:val="center"/>
          </w:tcPr>
          <w:p>
            <w:pPr>
              <w:spacing w:line="560" w:lineRule="exact"/>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农经办工作人员</w:t>
            </w:r>
          </w:p>
        </w:tc>
        <w:tc>
          <w:tcPr>
            <w:tcW w:w="1672" w:type="dxa"/>
            <w:vAlign w:val="center"/>
          </w:tcPr>
          <w:p>
            <w:pPr>
              <w:spacing w:line="560" w:lineRule="exact"/>
              <w:jc w:val="center"/>
              <w:rPr>
                <w:rFonts w:hint="eastAsia" w:ascii="仿宋_GB2312" w:hAnsi="仿宋_GB2312" w:eastAsia="仿宋_GB2312" w:cs="仿宋_GB2312"/>
                <w:sz w:val="32"/>
                <w:szCs w:val="32"/>
                <w:highlight w:val="none"/>
              </w:rPr>
            </w:pPr>
          </w:p>
        </w:tc>
      </w:tr>
    </w:tbl>
    <w:p>
      <w:pPr>
        <w:pStyle w:val="6"/>
        <w:ind w:firstLine="0" w:firstLineChars="0"/>
        <w:rPr>
          <w:rFonts w:hint="eastAsia" w:ascii="仿宋_GB2312" w:hAnsi="仿宋_GB2312" w:eastAsia="仿宋_GB2312" w:cs="仿宋_GB2312"/>
        </w:rPr>
      </w:pPr>
      <w:bookmarkStart w:id="0" w:name="_GoBack"/>
      <w:bookmarkEnd w:id="0"/>
    </w:p>
    <w:sectPr>
      <w:footerReference r:id="rId3" w:type="default"/>
      <w:pgSz w:w="11906" w:h="16838"/>
      <w:pgMar w:top="1440" w:right="1417" w:bottom="1440" w:left="1417" w:header="851" w:footer="992" w:gutter="0"/>
      <w:pgNumType w:fmt="numberInDash"/>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00007A87" w:usb1="80000000" w:usb2="00000008" w:usb3="00000000" w:csb0="400001FF" w:csb1="FFFF0000"/>
  </w:font>
  <w:font w:name="宋体">
    <w:panose1 w:val="02010600030101010101"/>
    <w:charset w:val="7A"/>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仿宋_GB2312">
    <w:panose1 w:val="02010609030101010101"/>
    <w:charset w:val="86"/>
    <w:family w:val="auto"/>
    <w:pitch w:val="default"/>
    <w:sig w:usb0="00000001" w:usb1="080E0000" w:usb2="00000000" w:usb3="00000000" w:csb0="00040000" w:csb1="00000000"/>
  </w:font>
  <w:font w:name="方正小标宋简体">
    <w:altName w:val="宋体-方正超大字符集"/>
    <w:panose1 w:val="02010601030101010101"/>
    <w:charset w:val="86"/>
    <w:family w:val="auto"/>
    <w:pitch w:val="default"/>
    <w:sig w:usb0="00000000" w:usb1="00000000" w:usb2="00000000" w:usb3="00000000" w:csb0="00040000" w:csb1="00000000"/>
  </w:font>
  <w:font w:name="方正仿宋_GBK">
    <w:altName w:val="宋体"/>
    <w:panose1 w:val="00000000000000000000"/>
    <w:charset w:val="00"/>
    <w:family w:val="auto"/>
    <w:pitch w:val="default"/>
    <w:sig w:usb0="00000000" w:usb1="00000000" w:usb2="00000000" w:usb3="00000000" w:csb0="00000000" w:csb1="00000000"/>
  </w:font>
  <w:font w:name="华文楷体">
    <w:altName w:val="楷体_GB2312"/>
    <w:panose1 w:val="02010600040101010101"/>
    <w:charset w:val="86"/>
    <w:family w:val="auto"/>
    <w:pitch w:val="default"/>
    <w:sig w:usb0="00000000" w:usb1="00000000" w:usb2="00000000" w:usb3="00000000" w:csb0="0004009F" w:csb1="DFD70000"/>
  </w:font>
  <w:font w:name="楷体">
    <w:altName w:val="楷体_GB2312"/>
    <w:panose1 w:val="02010609060101010101"/>
    <w:charset w:val="86"/>
    <w:family w:val="modern"/>
    <w:pitch w:val="default"/>
    <w:sig w:usb0="00000000" w:usb1="00000000"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
    <w:altName w:val="宋体"/>
    <w:panose1 w:val="02010609060101010101"/>
    <w:charset w:val="86"/>
    <w:family w:val="modern"/>
    <w:pitch w:val="default"/>
    <w:sig w:usb0="00000000" w:usb1="00000000" w:usb2="00000016"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 w:name="宋体-方正超大字符集">
    <w:panose1 w:val="03000509000000000000"/>
    <w:charset w:val="86"/>
    <w:family w:val="auto"/>
    <w:pitch w:val="default"/>
    <w:sig w:usb0="00000001" w:usb1="080E0000" w:usb2="00000000" w:usb3="00000000" w:csb0="00040000" w:csb1="00000000"/>
  </w:font>
  <w:font w:name="仿宋">
    <w:altName w:val="宋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mc:AlternateContent>
        <mc:Choice Requires="wps">
          <w:drawing>
            <wp:anchor distT="0" distB="0" distL="90805" distR="90805" simplePos="0" relativeHeight="1024" behindDoc="0" locked="0" layoutInCell="1" allowOverlap="1">
              <wp:simplePos x="0" y="0"/>
              <wp:positionH relativeFrom="margin">
                <wp:align>center</wp:align>
              </wp:positionH>
              <wp:positionV relativeFrom="paragraph">
                <wp:posOffset>0</wp:posOffset>
              </wp:positionV>
              <wp:extent cx="209550" cy="162560"/>
              <wp:effectExtent l="0" t="0" r="0" b="0"/>
              <wp:wrapNone/>
              <wp:docPr id="1" name="Quad Arrow 3073"/>
              <wp:cNvGraphicFramePr/>
              <a:graphic xmlns:a="http://schemas.openxmlformats.org/drawingml/2006/main">
                <a:graphicData uri="http://schemas.microsoft.com/office/word/2010/wordprocessingShape">
                  <wps:wsp>
                    <wps:cNvSpPr/>
                    <wps:spPr>
                      <a:xfrm>
                        <a:off x="0" y="0"/>
                        <a:ext cx="209492" cy="162820"/>
                      </a:xfrm>
                      <a:prstGeom prst="rect">
                        <a:avLst/>
                      </a:prstGeom>
                      <a:noFill/>
                      <a:ln w="9525" cap="flat" cmpd="sng">
                        <a:noFill/>
                        <a:prstDash val="solid"/>
                        <a:miter/>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8pt;width:16.5pt;mso-position-horizontal:center;mso-position-horizontal-relative:margin;mso-wrap-style:none;z-index:1024;mso-width-relative:page;mso-height-relative:page;" filled="f" stroked="f" coordsize="21600,21600" o:gfxdata="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C1qUiZ0QAAAAMBAAAPAAAAAAAA&#10;AAEAIAAAACIAAABkcnMvZG93bnJldi54bWxQSwECFAAUAAAACACHTuJA8TEkzeABAACqAwAADgAA&#10;AAAAAAABACAAAAAgAQAAZHJzL2Uyb0RvYy54bWxQSwUGAAAAAAYABgBZAQAAcgUAAAAA&#10;">
              <v:fill on="f" focussize="0,0"/>
              <v:stroke on="f" joinstyle="miter"/>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2F51B11"/>
    <w:multiLevelType w:val="singleLevel"/>
    <w:tmpl w:val="82F51B11"/>
    <w:lvl w:ilvl="0" w:tentative="0">
      <w:start w:val="2"/>
      <w:numFmt w:val="chineseCounting"/>
      <w:suff w:val="nothing"/>
      <w:lvlText w:val="（%1）"/>
      <w:lvlJc w:val="left"/>
      <w:rPr>
        <w:rFonts w:hint="eastAsia"/>
      </w:rPr>
    </w:lvl>
  </w:abstractNum>
  <w:abstractNum w:abstractNumId="1">
    <w:nsid w:val="5E68489B"/>
    <w:multiLevelType w:val="singleLevel"/>
    <w:tmpl w:val="5E68489B"/>
    <w:lvl w:ilvl="0" w:tentative="0">
      <w:start w:val="1"/>
      <w:numFmt w:val="chineseCounting"/>
      <w:suff w:val="nothing"/>
      <w:lvlText w:val="（%1）"/>
      <w:lvlJc w:val="left"/>
      <w:pPr>
        <w:ind w:left="0" w:firstLine="0"/>
      </w:pPr>
      <w:rPr>
        <w:rFonts w:ascii="楷体" w:hAnsi="楷体" w:eastAsia="楷体"/>
      </w:rPr>
    </w:lvl>
  </w:abstractNum>
  <w:abstractNum w:abstractNumId="2">
    <w:nsid w:val="6FD8A4A3"/>
    <w:multiLevelType w:val="singleLevel"/>
    <w:tmpl w:val="6FD8A4A3"/>
    <w:lvl w:ilvl="0" w:tentative="0">
      <w:start w:val="2"/>
      <w:numFmt w:val="decimal"/>
      <w:suff w:val="nothing"/>
      <w:lvlText w:val="%1．"/>
      <w:lvlJc w:val="left"/>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dit="readOnly"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ulTrailSpace/>
    <w:doNotExpandShiftReturn/>
    <w:adjustLineHeightInTable/>
    <w:doNotWrapTextWithPunct/>
    <w:doNotUseEastAsianBreakRules/>
    <w:useFELayout/>
    <w:doNotUseIndentAsNumberingTabStop/>
    <w:useAltKinsokuLineBreakRules/>
    <w:doNotSuppressIndentation/>
    <w:splitPgBreakAndParaMark/>
    <w:compatSetting w:name="compatibilityMode" w:uri="http://schemas.microsoft.com/office/word" w:val="11"/>
  </w:compat>
  <w:docVars>
    <w:docVar w:name="commondata" w:val="eyJoZGlkIjoiYzgxMzVhZTBlNDUyZWUxNDVhMjNkN2E1NjFlOTE5NDcifQ=="/>
  </w:docVars>
  <w:rsids>
    <w:rsidRoot w:val="00000000"/>
    <w:rsid w:val="00236FF8"/>
    <w:rsid w:val="00EA18C5"/>
    <w:rsid w:val="0E7E5833"/>
    <w:rsid w:val="0FEC1729"/>
    <w:rsid w:val="112423C5"/>
    <w:rsid w:val="13E65E9F"/>
    <w:rsid w:val="1BA82A5E"/>
    <w:rsid w:val="1E0F75E5"/>
    <w:rsid w:val="1FF04534"/>
    <w:rsid w:val="21CD1766"/>
    <w:rsid w:val="229C1254"/>
    <w:rsid w:val="22C924DB"/>
    <w:rsid w:val="237A4E0C"/>
    <w:rsid w:val="26A53107"/>
    <w:rsid w:val="27754ECD"/>
    <w:rsid w:val="2B2F7592"/>
    <w:rsid w:val="2ECF369D"/>
    <w:rsid w:val="35C26CBC"/>
    <w:rsid w:val="38E247B8"/>
    <w:rsid w:val="392B0F7D"/>
    <w:rsid w:val="39542562"/>
    <w:rsid w:val="3A4927DB"/>
    <w:rsid w:val="3C6D76D8"/>
    <w:rsid w:val="3C7F3A99"/>
    <w:rsid w:val="3D4A0990"/>
    <w:rsid w:val="401D7529"/>
    <w:rsid w:val="40D024B3"/>
    <w:rsid w:val="435374B7"/>
    <w:rsid w:val="443C1344"/>
    <w:rsid w:val="466B6BDA"/>
    <w:rsid w:val="478211F7"/>
    <w:rsid w:val="48EB58C1"/>
    <w:rsid w:val="490206C8"/>
    <w:rsid w:val="49D429E0"/>
    <w:rsid w:val="4AB72D9F"/>
    <w:rsid w:val="4C430C46"/>
    <w:rsid w:val="4F7F5DEA"/>
    <w:rsid w:val="503E2AF0"/>
    <w:rsid w:val="520E0F84"/>
    <w:rsid w:val="57424617"/>
    <w:rsid w:val="57A1430E"/>
    <w:rsid w:val="603F2D60"/>
    <w:rsid w:val="60DB7F53"/>
    <w:rsid w:val="62AC2E25"/>
    <w:rsid w:val="68052AC3"/>
    <w:rsid w:val="68F77B05"/>
    <w:rsid w:val="6AEC4936"/>
    <w:rsid w:val="6DF51EC8"/>
    <w:rsid w:val="75A77660"/>
    <w:rsid w:val="77A65378"/>
    <w:rsid w:val="794E3F82"/>
    <w:rsid w:val="7DD21A5A"/>
    <w:rsid w:val="7FFA1FB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iPriority w:val="0"/>
    <w:pPr>
      <w:widowControl w:val="0"/>
      <w:jc w:val="both"/>
    </w:pPr>
    <w:rPr>
      <w:rFonts w:ascii="Calibri" w:hAnsi="Calibri" w:eastAsia="宋体" w:cs="黑体"/>
      <w:kern w:val="2"/>
      <w:sz w:val="21"/>
      <w:szCs w:val="22"/>
      <w:lang w:val="en-US" w:eastAsia="zh-CN" w:bidi="ar-SA"/>
    </w:rPr>
  </w:style>
  <w:style w:type="paragraph" w:styleId="3">
    <w:name w:val="heading 1"/>
    <w:basedOn w:val="1"/>
    <w:next w:val="1"/>
    <w:qFormat/>
    <w:uiPriority w:val="0"/>
    <w:pPr>
      <w:keepNext/>
      <w:keepLines/>
      <w:widowControl w:val="0"/>
      <w:spacing w:before="340" w:after="330" w:line="578" w:lineRule="auto"/>
      <w:outlineLvl w:val="0"/>
    </w:pPr>
    <w:rPr>
      <w:b/>
      <w:bCs/>
      <w:kern w:val="44"/>
      <w:sz w:val="44"/>
      <w:szCs w:val="44"/>
    </w:rPr>
  </w:style>
  <w:style w:type="paragraph" w:styleId="4">
    <w:name w:val="heading 2"/>
    <w:basedOn w:val="1"/>
    <w:next w:val="1"/>
    <w:qFormat/>
    <w:uiPriority w:val="0"/>
    <w:pPr>
      <w:keepNext/>
      <w:keepLines/>
      <w:widowControl w:val="0"/>
      <w:spacing w:before="260" w:after="260" w:line="415" w:lineRule="auto"/>
      <w:outlineLvl w:val="1"/>
    </w:pPr>
    <w:rPr>
      <w:rFonts w:ascii="Times New Roman" w:hAnsi="Times New Roman" w:eastAsia="黑体"/>
      <w:b/>
      <w:bCs/>
      <w:sz w:val="32"/>
      <w:szCs w:val="32"/>
    </w:rPr>
  </w:style>
  <w:style w:type="paragraph" w:styleId="5">
    <w:name w:val="heading 3"/>
    <w:basedOn w:val="1"/>
    <w:next w:val="1"/>
    <w:qFormat/>
    <w:uiPriority w:val="0"/>
    <w:pPr>
      <w:keepNext/>
      <w:keepLines/>
      <w:widowControl w:val="0"/>
      <w:spacing w:before="260" w:after="260" w:line="415" w:lineRule="auto"/>
      <w:outlineLvl w:val="2"/>
    </w:pPr>
    <w:rPr>
      <w:b/>
      <w:bCs/>
      <w:sz w:val="32"/>
      <w:szCs w:val="32"/>
    </w:rPr>
  </w:style>
  <w:style w:type="character" w:default="1" w:styleId="12">
    <w:name w:val="Default Paragraph Font"/>
    <w:qFormat/>
    <w:uiPriority w:val="0"/>
  </w:style>
  <w:style w:type="table" w:default="1" w:styleId="11">
    <w:name w:val="Normal Table"/>
    <w:semiHidden/>
    <w:qFormat/>
    <w:uiPriority w:val="0"/>
    <w:tblPr>
      <w:tblLayout w:type="fixed"/>
      <w:tblCellMar>
        <w:top w:w="0" w:type="dxa"/>
        <w:left w:w="108" w:type="dxa"/>
        <w:bottom w:w="0" w:type="dxa"/>
        <w:right w:w="108" w:type="dxa"/>
      </w:tblCellMar>
    </w:tblPr>
  </w:style>
  <w:style w:type="paragraph" w:customStyle="1" w:styleId="2">
    <w:name w:val="Normal Indent1"/>
    <w:basedOn w:val="1"/>
    <w:qFormat/>
    <w:uiPriority w:val="0"/>
    <w:pPr>
      <w:ind w:firstLine="420" w:firstLineChars="200"/>
    </w:pPr>
  </w:style>
  <w:style w:type="paragraph" w:styleId="6">
    <w:name w:val="Normal Indent"/>
    <w:basedOn w:val="1"/>
    <w:next w:val="7"/>
    <w:qFormat/>
    <w:uiPriority w:val="0"/>
    <w:pPr>
      <w:ind w:firstLine="420" w:firstLineChars="200"/>
    </w:pPr>
    <w:rPr>
      <w:rFonts w:eastAsia="仿宋_GB2312"/>
      <w:sz w:val="30"/>
    </w:rPr>
  </w:style>
  <w:style w:type="paragraph" w:styleId="7">
    <w:name w:val="Subtitle"/>
    <w:basedOn w:val="1"/>
    <w:qFormat/>
    <w:uiPriority w:val="0"/>
    <w:pPr>
      <w:spacing w:line="700" w:lineRule="exact"/>
      <w:jc w:val="center"/>
      <w:outlineLvl w:val="1"/>
    </w:pPr>
    <w:rPr>
      <w:rFonts w:ascii="Arial" w:hAnsi="Arial" w:eastAsia="方正小标宋简体" w:cs="Arial"/>
      <w:b/>
      <w:bCs/>
      <w:kern w:val="28"/>
      <w:sz w:val="44"/>
      <w:szCs w:val="44"/>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pPr>
    <w:rPr>
      <w:rFonts w:ascii="Times New Roman" w:hAnsi="Times New Roman"/>
      <w:sz w:val="18"/>
    </w:rPr>
  </w:style>
  <w:style w:type="paragraph" w:styleId="10">
    <w:name w:val="Normal (Web)"/>
    <w:basedOn w:val="1"/>
    <w:qFormat/>
    <w:uiPriority w:val="0"/>
    <w:pPr>
      <w:spacing w:before="100" w:beforeAutospacing="1" w:after="100" w:afterAutospacing="1"/>
      <w:ind w:left="0" w:right="0"/>
      <w:jc w:val="left"/>
    </w:pPr>
    <w:rPr>
      <w:kern w:val="0"/>
      <w:sz w:val="24"/>
      <w:lang w:val="en-US" w:eastAsia="zh-CN" w:bidi="ar"/>
    </w:rPr>
  </w:style>
  <w:style w:type="character" w:styleId="13">
    <w:name w:val="Strong"/>
    <w:basedOn w:val="12"/>
    <w:qFormat/>
    <w:uiPriority w:val="0"/>
    <w:rPr>
      <w:b/>
    </w:rPr>
  </w:style>
  <w:style w:type="paragraph" w:customStyle="1" w:styleId="1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character" w:customStyle="1" w:styleId="16">
    <w:name w:val="UserStyle_2 Char"/>
    <w:basedOn w:val="12"/>
    <w:link w:val="17"/>
    <w:qFormat/>
    <w:uiPriority w:val="0"/>
    <w:rPr>
      <w:rFonts w:ascii="宋体" w:hAnsi="宋体" w:eastAsia="宋体" w:cs="Times New Roman"/>
      <w:sz w:val="24"/>
      <w:szCs w:val="36"/>
      <w:lang w:val="en-US" w:eastAsia="zh-CN" w:bidi="ar-SA"/>
    </w:rPr>
  </w:style>
  <w:style w:type="paragraph" w:customStyle="1" w:styleId="17">
    <w:name w:val="UserStyle_2"/>
    <w:link w:val="16"/>
    <w:qFormat/>
    <w:uiPriority w:val="0"/>
    <w:pPr>
      <w:spacing w:after="120" w:line="480" w:lineRule="auto"/>
      <w:ind w:left="200" w:leftChars="200" w:firstLine="200" w:firstLineChars="200"/>
      <w:jc w:val="both"/>
      <w:textAlignment w:val="baseline"/>
    </w:pPr>
    <w:rPr>
      <w:rFonts w:ascii="宋体" w:hAnsi="宋体" w:eastAsia="宋体" w:cs="Times New Roman"/>
      <w:sz w:val="24"/>
      <w:szCs w:val="36"/>
      <w:lang w:val="en-US" w:eastAsia="zh-CN" w:bidi="ar-SA"/>
    </w:rPr>
  </w:style>
  <w:style w:type="table" w:customStyle="1" w:styleId="18">
    <w:name w:val="网格型1"/>
    <w:basedOn w:val="11"/>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CFF0AC5-597A-436C-8052-6BABDDFA8FAA}">
  <ds:schemaRefs/>
</ds:datastoreItem>
</file>

<file path=docProps/app.xml><?xml version="1.0" encoding="utf-8"?>
<Properties xmlns="http://schemas.openxmlformats.org/officeDocument/2006/extended-properties" xmlns:vt="http://schemas.openxmlformats.org/officeDocument/2006/docPropsVTypes">
  <Template>Normal.eit</Template>
  <Pages>2</Pages>
  <Words>0</Words>
  <Characters>502</Characters>
  <Lines>0</Lines>
  <Paragraphs>29</Paragraphs>
  <TotalTime>1</TotalTime>
  <ScaleCrop>false</ScaleCrop>
  <LinksUpToDate>false</LinksUpToDate>
  <CharactersWithSpaces>670</CharactersWithSpaces>
  <Application>WPS Office_11.1.0.8799_F1E327BC-269C-435d-A152-05C5408002CA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2025-10-21T07:08:06Z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2052-11.1.0.8799</vt:lpwstr>
  </property>
  <property fmtid="{D5CDD505-2E9C-101B-9397-08002B2CF9AE}" pid="3" name="ICV">
    <vt:lpwstr>96934721B1514D3FBAA28020338CE855_12</vt:lpwstr>
  </property>
</Properties>
</file>