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矿区住建局</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pPr>
        <w:spacing w:line="560" w:lineRule="exact"/>
        <w:jc w:val="center"/>
        <w:rPr>
          <w:rFonts w:hint="eastAsia" w:ascii="宋体" w:hAnsi="宋体" w:cs="宋体"/>
          <w:sz w:val="32"/>
          <w:szCs w:val="32"/>
        </w:rPr>
      </w:pP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矿区住建局</w:t>
      </w:r>
      <w:r>
        <w:rPr>
          <w:rFonts w:hint="eastAsia" w:ascii="仿宋" w:hAnsi="仿宋" w:eastAsia="仿宋"/>
          <w:sz w:val="32"/>
          <w:szCs w:val="32"/>
        </w:rPr>
        <w:t>部门202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3" w:firstLineChars="200"/>
        <w:jc w:val="both"/>
        <w:textAlignment w:val="auto"/>
        <w:outlineLvl w:val="9"/>
        <w:rPr>
          <w:rFonts w:ascii="Times New Roman" w:hAnsi="Times New Roman" w:eastAsia="仿宋" w:cs="Times New Roman"/>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sz w:val="32"/>
          <w:szCs w:val="32"/>
        </w:rPr>
        <w:t>根据《矿区住房和城乡建设局职能配置、内设机构和人员编制规定》， 矿区住房和城乡建设局的主要职责是：</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1、</w:t>
      </w:r>
      <w:r>
        <w:rPr>
          <w:rFonts w:ascii="仿宋" w:hAnsi="仿宋" w:eastAsia="仿宋"/>
          <w:sz w:val="32"/>
          <w:szCs w:val="32"/>
        </w:rPr>
        <w:t>贯彻执行国家和省、市住房城乡建设工作的方针、政策和法律、法规,起草住房城乡建设方面规范性文件；拟订全区城乡和建设发展规划并组织实施；研究提出住房和城乡建设领域重大问题的政策建议；负责住房和城乡建设行业安全生产监管。</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2、</w:t>
      </w:r>
      <w:r>
        <w:rPr>
          <w:rFonts w:ascii="仿宋" w:hAnsi="仿宋" w:eastAsia="仿宋"/>
          <w:sz w:val="32"/>
          <w:szCs w:val="32"/>
        </w:rPr>
        <w:t>拟订城镇住房保障相关规范性文件并组织实施；组织编制、实施城镇住房保障发展规划和年度计划；负责房改房、经济适用住房出售工作；会同有关部门做好中央和省、市、区保障性安居工程资金安排并监督实施。</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3、</w:t>
      </w:r>
      <w:r>
        <w:rPr>
          <w:rFonts w:ascii="仿宋" w:hAnsi="仿宋" w:eastAsia="仿宋"/>
          <w:sz w:val="32"/>
          <w:szCs w:val="32"/>
        </w:rPr>
        <w:t>负责推进住房制度改革。结合市住房政策拟订符合区情的住房政策，指导住房建设，推动住房制度改革；拟订住房建设发展规划并组织实施。</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4、</w:t>
      </w:r>
      <w:r>
        <w:rPr>
          <w:rFonts w:ascii="仿宋" w:hAnsi="仿宋" w:eastAsia="仿宋"/>
          <w:sz w:val="32"/>
          <w:szCs w:val="32"/>
        </w:rPr>
        <w:t>负责全区房地产市场的监督管理。会同有关部门拟订房地产市场调控规范性文件并监督执行；拟订房地产业行业发展规划、产业规范性文件，制定房地产开发、房屋交易、房屋租赁、房地产估价与经纪管理的规章制度并监督实施。</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5、</w:t>
      </w:r>
      <w:r>
        <w:rPr>
          <w:rFonts w:ascii="仿宋" w:hAnsi="仿宋" w:eastAsia="仿宋"/>
          <w:sz w:val="32"/>
          <w:szCs w:val="32"/>
        </w:rPr>
        <w:t>负责建筑市场的监督管理。拟订建筑市场发展规划和管理制度并监督实施；负责建筑劳务市场管理；负责建筑业企业、勘察设计企业、造价咨询企业、施工图设计文件审查机构、监理机构、检测机构和招投标代理机构的监督指导；负责施工图审查机构的监督管理；负责建设工程消防、人防设计相关工作的监督管理；参与编制地方建设工程量计量规范，收集发布工程材料、人工、机械设备使用等市场价格信息。</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6、</w:t>
      </w:r>
      <w:r>
        <w:rPr>
          <w:rFonts w:ascii="仿宋" w:hAnsi="仿宋" w:eastAsia="仿宋"/>
          <w:sz w:val="32"/>
          <w:szCs w:val="32"/>
        </w:rPr>
        <w:t>统筹编制城区市政基础设施建设中长期发展规划，会同有关部门拟订本级城建计划并组织实施；负责组织实施区政府安排的市政基础设施建设工作（包括城市路网的新建、改建、扩建工程）。</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7、</w:t>
      </w:r>
      <w:r>
        <w:rPr>
          <w:rFonts w:ascii="仿宋" w:hAnsi="仿宋" w:eastAsia="仿宋"/>
          <w:sz w:val="32"/>
          <w:szCs w:val="32"/>
        </w:rPr>
        <w:t>指导推进新型城镇化（国家新型城镇化综合试点）和县城建设工作。</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8、</w:t>
      </w:r>
      <w:r>
        <w:rPr>
          <w:rFonts w:ascii="仿宋" w:hAnsi="仿宋" w:eastAsia="仿宋"/>
          <w:sz w:val="32"/>
          <w:szCs w:val="32"/>
        </w:rPr>
        <w:t>指导村镇建设工作。指导各乡镇和村庄建设，指导乡村建筑风貌管控；指导农村住房建设、住房安全及危房改造；指导重点镇和特色小城镇建设工作；指导历史文化名城（镇、村）保护工作。</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9、</w:t>
      </w:r>
      <w:r>
        <w:rPr>
          <w:rFonts w:ascii="仿宋" w:hAnsi="仿宋" w:eastAsia="仿宋"/>
          <w:sz w:val="32"/>
          <w:szCs w:val="32"/>
        </w:rPr>
        <w:t>负责建筑工程质量安全监督。监督实施建筑工程质量、施工安全、竣工验收政策和规章制度；组织实施工程建设实施阶段的国家标准及国家统一的行业标准；组织或参与工程质量、安全事故的调查处理。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10、</w:t>
      </w:r>
      <w:r>
        <w:rPr>
          <w:rFonts w:ascii="仿宋" w:hAnsi="仿宋" w:eastAsia="仿宋"/>
          <w:sz w:val="32"/>
          <w:szCs w:val="32"/>
        </w:rPr>
        <w:t>负责推进建筑节能工作。贯彻落实建设行业科技、装配式建筑、绿色建筑发展规划和建筑节能管理制度；负责全区建筑节能减排、绿色建筑发展、墙体材料革新、既有居住建筑节能改造、可再生能源利用等工作。</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11、</w:t>
      </w:r>
      <w:r>
        <w:rPr>
          <w:rFonts w:ascii="仿宋" w:hAnsi="仿宋" w:eastAsia="仿宋"/>
          <w:sz w:val="32"/>
          <w:szCs w:val="32"/>
        </w:rPr>
        <w:t>拟订物业行业发展规划并组织实施;拟订物业行业管理办法，负责监督管理住宅专项维修资金的归集、使用工作；负责前期物业管理招投标备案及过程监管工作；负责全区老旧住宅小区整治工作和住宅室内装饰装修工作。</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12、</w:t>
      </w:r>
      <w:r>
        <w:rPr>
          <w:rFonts w:ascii="仿宋" w:hAnsi="仿宋" w:eastAsia="仿宋"/>
          <w:sz w:val="32"/>
          <w:szCs w:val="32"/>
        </w:rPr>
        <w:t>负责贯彻落实国有土地上房屋征收、城市危房管理政策并组织实施；拟订区国有土地上房屋征收计划，负责区级房屋征收工作；负责城市危房管理和城市危房鉴定工作；负责拟订区棚户区改造规划、年度计划，制定区棚户区改造方案并贯彻实施；完成区政府交办的“城中村”改造相关工作。</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13、</w:t>
      </w:r>
      <w:r>
        <w:rPr>
          <w:rFonts w:ascii="仿宋" w:hAnsi="仿宋" w:eastAsia="仿宋"/>
          <w:sz w:val="32"/>
          <w:szCs w:val="32"/>
        </w:rPr>
        <w:t>拟订地下综合管廊中长期建设计划，制定地下综合管廊运营、维护管理办法和配套政策；监督综合管廊运营和维护管理工作。</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14、</w:t>
      </w:r>
      <w:r>
        <w:rPr>
          <w:rFonts w:ascii="仿宋" w:hAnsi="仿宋" w:eastAsia="仿宋"/>
          <w:sz w:val="32"/>
          <w:szCs w:val="32"/>
        </w:rPr>
        <w:t>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15、</w:t>
      </w:r>
      <w:r>
        <w:rPr>
          <w:rFonts w:ascii="仿宋" w:hAnsi="仿宋" w:eastAsia="仿宋"/>
          <w:sz w:val="32"/>
          <w:szCs w:val="32"/>
        </w:rPr>
        <w:t>负责住房和城乡建设行业人才队伍建设。</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16、</w:t>
      </w:r>
      <w:r>
        <w:rPr>
          <w:rFonts w:ascii="仿宋" w:hAnsi="仿宋" w:eastAsia="仿宋"/>
          <w:sz w:val="32"/>
          <w:szCs w:val="32"/>
        </w:rPr>
        <w:t>负责各类房屋建筑及其附属设施和城市市政设施建设工程的抗震设防监督管理。</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17、</w:t>
      </w:r>
      <w:r>
        <w:rPr>
          <w:rFonts w:ascii="仿宋" w:hAnsi="仿宋" w:eastAsia="仿宋"/>
          <w:sz w:val="32"/>
          <w:szCs w:val="32"/>
        </w:rPr>
        <w:t>负责城市建设档案监督管理工作。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18、</w:t>
      </w:r>
      <w:r>
        <w:rPr>
          <w:rFonts w:ascii="仿宋" w:hAnsi="仿宋" w:eastAsia="仿宋"/>
          <w:sz w:val="32"/>
          <w:szCs w:val="32"/>
        </w:rPr>
        <w:t>会同有关部门做好支油、支铁建设协调工作。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19、</w:t>
      </w:r>
      <w:r>
        <w:rPr>
          <w:rFonts w:ascii="仿宋" w:hAnsi="仿宋" w:eastAsia="仿宋"/>
          <w:sz w:val="32"/>
          <w:szCs w:val="32"/>
        </w:rPr>
        <w:t>负责直管公有住房的资产、售房款和售后维修资金的管理工作。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20、</w:t>
      </w:r>
      <w:r>
        <w:rPr>
          <w:rFonts w:ascii="仿宋" w:hAnsi="仿宋" w:eastAsia="仿宋"/>
          <w:sz w:val="32"/>
          <w:szCs w:val="32"/>
        </w:rPr>
        <w:t>会同有关部门，做好城市建设行业涉及本部门的相关专业规划的编制和实施工作。</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21、</w:t>
      </w:r>
      <w:r>
        <w:rPr>
          <w:rFonts w:ascii="仿宋" w:hAnsi="仿宋" w:eastAsia="仿宋"/>
          <w:sz w:val="32"/>
          <w:szCs w:val="32"/>
        </w:rPr>
        <w:t>负责住房城乡建设行业信息采集、整理、统计、分析、发布等工作。</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ascii="仿宋" w:hAnsi="仿宋" w:eastAsia="仿宋"/>
          <w:sz w:val="32"/>
          <w:szCs w:val="32"/>
        </w:rPr>
      </w:pPr>
      <w:r>
        <w:rPr>
          <w:rFonts w:hint="eastAsia" w:ascii="仿宋" w:hAnsi="仿宋" w:eastAsia="仿宋"/>
          <w:sz w:val="32"/>
          <w:szCs w:val="32"/>
          <w:lang w:val="en-US" w:eastAsia="zh-CN"/>
        </w:rPr>
        <w:t>22、</w:t>
      </w:r>
      <w:r>
        <w:rPr>
          <w:rFonts w:ascii="仿宋" w:hAnsi="仿宋" w:eastAsia="仿宋"/>
          <w:sz w:val="32"/>
          <w:szCs w:val="32"/>
        </w:rPr>
        <w:t>完成区委、区政府交办的其他任务。</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r>
        <w:rPr>
          <w:rFonts w:hint="eastAsia" w:ascii="仿宋" w:hAnsi="仿宋" w:eastAsia="仿宋" w:cs="Times New Roman"/>
          <w:b/>
          <w:sz w:val="32"/>
          <w:szCs w:val="32"/>
          <w:lang w:eastAsia="zh-CN"/>
        </w:rPr>
        <w:t>及人员情况</w:t>
      </w:r>
      <w:r>
        <w:rPr>
          <w:rFonts w:hint="eastAsia" w:ascii="仿宋" w:hAnsi="仿宋" w:eastAsia="仿宋" w:cs="Times New Roman"/>
          <w:b/>
          <w:sz w:val="32"/>
          <w:szCs w:val="32"/>
        </w:rPr>
        <w:t>：</w:t>
      </w:r>
    </w:p>
    <w:tbl>
      <w:tblPr>
        <w:tblStyle w:val="9"/>
        <w:tblW w:w="930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8"/>
        <w:gridCol w:w="572"/>
        <w:gridCol w:w="1256"/>
        <w:gridCol w:w="1005"/>
        <w:gridCol w:w="874"/>
        <w:gridCol w:w="576"/>
        <w:gridCol w:w="552"/>
        <w:gridCol w:w="576"/>
        <w:gridCol w:w="636"/>
        <w:gridCol w:w="528"/>
        <w:gridCol w:w="672"/>
        <w:gridCol w:w="8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1258" w:type="dxa"/>
            <w:vMerge w:val="restart"/>
            <w:vAlign w:val="center"/>
          </w:tcPr>
          <w:p>
            <w:pPr>
              <w:pStyle w:val="11"/>
              <w:rPr>
                <w:rFonts w:hint="eastAsia" w:ascii="宋体" w:hAnsi="宋体" w:eastAsia="宋体" w:cs="宋体"/>
                <w:sz w:val="21"/>
                <w:szCs w:val="21"/>
              </w:rPr>
            </w:pPr>
            <w:r>
              <w:rPr>
                <w:rFonts w:hint="eastAsia" w:ascii="宋体" w:hAnsi="宋体" w:eastAsia="宋体" w:cs="宋体"/>
                <w:sz w:val="21"/>
                <w:szCs w:val="21"/>
              </w:rPr>
              <w:t>单位名称</w:t>
            </w:r>
          </w:p>
        </w:tc>
        <w:tc>
          <w:tcPr>
            <w:tcW w:w="572" w:type="dxa"/>
            <w:vMerge w:val="restart"/>
            <w:vAlign w:val="center"/>
          </w:tcPr>
          <w:p>
            <w:pPr>
              <w:pStyle w:val="11"/>
              <w:rPr>
                <w:rFonts w:hint="eastAsia" w:ascii="宋体" w:hAnsi="宋体" w:eastAsia="宋体" w:cs="宋体"/>
                <w:sz w:val="21"/>
                <w:szCs w:val="21"/>
              </w:rPr>
            </w:pPr>
            <w:r>
              <w:rPr>
                <w:rFonts w:hint="eastAsia" w:ascii="宋体" w:hAnsi="宋体" w:eastAsia="宋体" w:cs="宋体"/>
                <w:sz w:val="21"/>
                <w:szCs w:val="21"/>
              </w:rPr>
              <w:t>单位性质</w:t>
            </w:r>
          </w:p>
        </w:tc>
        <w:tc>
          <w:tcPr>
            <w:tcW w:w="1256" w:type="dxa"/>
            <w:vMerge w:val="restart"/>
            <w:vAlign w:val="center"/>
          </w:tcPr>
          <w:p>
            <w:pPr>
              <w:pStyle w:val="11"/>
              <w:rPr>
                <w:rFonts w:hint="eastAsia" w:ascii="宋体" w:hAnsi="宋体" w:eastAsia="宋体" w:cs="宋体"/>
                <w:sz w:val="21"/>
                <w:szCs w:val="21"/>
              </w:rPr>
            </w:pPr>
            <w:r>
              <w:rPr>
                <w:rFonts w:hint="eastAsia" w:ascii="宋体" w:hAnsi="宋体" w:eastAsia="宋体" w:cs="宋体"/>
                <w:sz w:val="21"/>
                <w:szCs w:val="21"/>
              </w:rPr>
              <w:t>单位规格</w:t>
            </w:r>
          </w:p>
        </w:tc>
        <w:tc>
          <w:tcPr>
            <w:tcW w:w="1005" w:type="dxa"/>
            <w:vMerge w:val="restart"/>
            <w:vAlign w:val="center"/>
          </w:tcPr>
          <w:p>
            <w:pPr>
              <w:pStyle w:val="11"/>
              <w:rPr>
                <w:rFonts w:hint="eastAsia" w:ascii="宋体" w:hAnsi="宋体" w:eastAsia="宋体" w:cs="宋体"/>
                <w:sz w:val="21"/>
                <w:szCs w:val="21"/>
              </w:rPr>
            </w:pPr>
            <w:r>
              <w:rPr>
                <w:rFonts w:hint="eastAsia" w:ascii="宋体" w:hAnsi="宋体" w:eastAsia="宋体" w:cs="宋体"/>
                <w:sz w:val="21"/>
                <w:szCs w:val="21"/>
              </w:rPr>
              <w:t>经费保障形式</w:t>
            </w:r>
          </w:p>
        </w:tc>
        <w:tc>
          <w:tcPr>
            <w:tcW w:w="874" w:type="dxa"/>
            <w:vMerge w:val="restart"/>
            <w:vAlign w:val="center"/>
          </w:tcPr>
          <w:p>
            <w:pPr>
              <w:pStyle w:val="11"/>
              <w:rPr>
                <w:rFonts w:hint="eastAsia" w:ascii="宋体" w:hAnsi="宋体" w:eastAsia="宋体" w:cs="宋体"/>
                <w:sz w:val="21"/>
                <w:szCs w:val="21"/>
              </w:rPr>
            </w:pPr>
            <w:r>
              <w:rPr>
                <w:rFonts w:hint="eastAsia" w:ascii="宋体" w:hAnsi="宋体" w:eastAsia="宋体" w:cs="宋体"/>
                <w:sz w:val="21"/>
                <w:szCs w:val="21"/>
              </w:rPr>
              <w:t>车辆实有数</w:t>
            </w:r>
          </w:p>
        </w:tc>
        <w:tc>
          <w:tcPr>
            <w:tcW w:w="1128" w:type="dxa"/>
            <w:gridSpan w:val="2"/>
            <w:vAlign w:val="center"/>
          </w:tcPr>
          <w:p>
            <w:pPr>
              <w:pStyle w:val="11"/>
              <w:rPr>
                <w:rFonts w:hint="eastAsia" w:ascii="宋体" w:hAnsi="宋体" w:eastAsia="宋体" w:cs="宋体"/>
                <w:sz w:val="21"/>
                <w:szCs w:val="21"/>
              </w:rPr>
            </w:pPr>
            <w:r>
              <w:rPr>
                <w:rFonts w:hint="eastAsia" w:ascii="宋体" w:hAnsi="宋体" w:eastAsia="宋体" w:cs="宋体"/>
                <w:sz w:val="21"/>
                <w:szCs w:val="21"/>
              </w:rPr>
              <w:t>编制人数</w:t>
            </w:r>
          </w:p>
        </w:tc>
        <w:tc>
          <w:tcPr>
            <w:tcW w:w="1212" w:type="dxa"/>
            <w:gridSpan w:val="2"/>
            <w:vAlign w:val="center"/>
          </w:tcPr>
          <w:p>
            <w:pPr>
              <w:pStyle w:val="11"/>
              <w:rPr>
                <w:rFonts w:hint="eastAsia" w:ascii="宋体" w:hAnsi="宋体" w:eastAsia="宋体" w:cs="宋体"/>
                <w:sz w:val="21"/>
                <w:szCs w:val="21"/>
              </w:rPr>
            </w:pPr>
            <w:r>
              <w:rPr>
                <w:rFonts w:hint="eastAsia" w:ascii="宋体" w:hAnsi="宋体" w:eastAsia="宋体" w:cs="宋体"/>
                <w:sz w:val="21"/>
                <w:szCs w:val="21"/>
              </w:rPr>
              <w:t>在职人数</w:t>
            </w:r>
          </w:p>
        </w:tc>
        <w:tc>
          <w:tcPr>
            <w:tcW w:w="2000" w:type="dxa"/>
            <w:gridSpan w:val="3"/>
            <w:vAlign w:val="center"/>
          </w:tcPr>
          <w:p>
            <w:pPr>
              <w:pStyle w:val="11"/>
              <w:rPr>
                <w:rFonts w:hint="eastAsia" w:ascii="宋体" w:hAnsi="宋体" w:eastAsia="宋体" w:cs="宋体"/>
                <w:sz w:val="21"/>
                <w:szCs w:val="21"/>
              </w:rPr>
            </w:pPr>
            <w:r>
              <w:rPr>
                <w:rFonts w:hint="eastAsia" w:ascii="宋体" w:hAnsi="宋体" w:eastAsia="宋体" w:cs="宋体"/>
                <w:sz w:val="21"/>
                <w:szCs w:val="21"/>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479" w:hRule="atLeast"/>
          <w:tblHeader/>
          <w:jc w:val="center"/>
        </w:trPr>
        <w:tc>
          <w:tcPr>
            <w:tcW w:w="1258" w:type="dxa"/>
            <w:vMerge w:val="continue"/>
          </w:tcPr>
          <w:p>
            <w:pPr>
              <w:rPr>
                <w:rFonts w:hint="eastAsia" w:ascii="宋体" w:hAnsi="宋体" w:eastAsia="宋体" w:cs="宋体"/>
                <w:sz w:val="21"/>
                <w:szCs w:val="21"/>
              </w:rPr>
            </w:pPr>
          </w:p>
        </w:tc>
        <w:tc>
          <w:tcPr>
            <w:tcW w:w="572" w:type="dxa"/>
            <w:vMerge w:val="continue"/>
          </w:tcPr>
          <w:p>
            <w:pPr>
              <w:rPr>
                <w:rFonts w:hint="eastAsia" w:ascii="宋体" w:hAnsi="宋体" w:eastAsia="宋体" w:cs="宋体"/>
                <w:sz w:val="21"/>
                <w:szCs w:val="21"/>
              </w:rPr>
            </w:pPr>
          </w:p>
        </w:tc>
        <w:tc>
          <w:tcPr>
            <w:tcW w:w="1256" w:type="dxa"/>
            <w:vMerge w:val="continue"/>
          </w:tcPr>
          <w:p>
            <w:pPr>
              <w:rPr>
                <w:rFonts w:hint="eastAsia" w:ascii="宋体" w:hAnsi="宋体" w:eastAsia="宋体" w:cs="宋体"/>
                <w:sz w:val="21"/>
                <w:szCs w:val="21"/>
              </w:rPr>
            </w:pPr>
          </w:p>
        </w:tc>
        <w:tc>
          <w:tcPr>
            <w:tcW w:w="1005" w:type="dxa"/>
            <w:vMerge w:val="continue"/>
          </w:tcPr>
          <w:p>
            <w:pPr>
              <w:rPr>
                <w:rFonts w:hint="eastAsia" w:ascii="宋体" w:hAnsi="宋体" w:eastAsia="宋体" w:cs="宋体"/>
                <w:sz w:val="21"/>
                <w:szCs w:val="21"/>
              </w:rPr>
            </w:pPr>
          </w:p>
        </w:tc>
        <w:tc>
          <w:tcPr>
            <w:tcW w:w="874" w:type="dxa"/>
            <w:vMerge w:val="continue"/>
          </w:tcPr>
          <w:p>
            <w:pPr>
              <w:rPr>
                <w:rFonts w:hint="eastAsia" w:ascii="宋体" w:hAnsi="宋体" w:eastAsia="宋体" w:cs="宋体"/>
                <w:sz w:val="21"/>
                <w:szCs w:val="21"/>
              </w:rPr>
            </w:pPr>
          </w:p>
        </w:tc>
        <w:tc>
          <w:tcPr>
            <w:tcW w:w="576" w:type="dxa"/>
            <w:vAlign w:val="center"/>
          </w:tcPr>
          <w:p>
            <w:pPr>
              <w:pStyle w:val="11"/>
              <w:rPr>
                <w:rFonts w:hint="eastAsia" w:ascii="宋体" w:hAnsi="宋体" w:eastAsia="宋体" w:cs="宋体"/>
                <w:sz w:val="21"/>
                <w:szCs w:val="21"/>
              </w:rPr>
            </w:pPr>
            <w:r>
              <w:rPr>
                <w:rFonts w:hint="eastAsia" w:ascii="宋体" w:hAnsi="宋体" w:eastAsia="宋体" w:cs="宋体"/>
                <w:sz w:val="21"/>
                <w:szCs w:val="21"/>
              </w:rPr>
              <w:t>行政</w:t>
            </w:r>
          </w:p>
        </w:tc>
        <w:tc>
          <w:tcPr>
            <w:tcW w:w="552" w:type="dxa"/>
            <w:vAlign w:val="center"/>
          </w:tcPr>
          <w:p>
            <w:pPr>
              <w:pStyle w:val="11"/>
              <w:rPr>
                <w:rFonts w:hint="eastAsia" w:ascii="宋体" w:hAnsi="宋体" w:eastAsia="宋体" w:cs="宋体"/>
                <w:sz w:val="21"/>
                <w:szCs w:val="21"/>
              </w:rPr>
            </w:pPr>
            <w:r>
              <w:rPr>
                <w:rFonts w:hint="eastAsia" w:ascii="宋体" w:hAnsi="宋体" w:eastAsia="宋体" w:cs="宋体"/>
                <w:sz w:val="21"/>
                <w:szCs w:val="21"/>
              </w:rPr>
              <w:t>事业</w:t>
            </w:r>
          </w:p>
        </w:tc>
        <w:tc>
          <w:tcPr>
            <w:tcW w:w="576" w:type="dxa"/>
            <w:vAlign w:val="center"/>
          </w:tcPr>
          <w:p>
            <w:pPr>
              <w:pStyle w:val="11"/>
              <w:rPr>
                <w:rFonts w:hint="eastAsia" w:ascii="宋体" w:hAnsi="宋体" w:eastAsia="宋体" w:cs="宋体"/>
                <w:sz w:val="21"/>
                <w:szCs w:val="21"/>
              </w:rPr>
            </w:pPr>
            <w:r>
              <w:rPr>
                <w:rFonts w:hint="eastAsia" w:ascii="宋体" w:hAnsi="宋体" w:eastAsia="宋体" w:cs="宋体"/>
                <w:sz w:val="21"/>
                <w:szCs w:val="21"/>
              </w:rPr>
              <w:t>行政</w:t>
            </w:r>
          </w:p>
        </w:tc>
        <w:tc>
          <w:tcPr>
            <w:tcW w:w="636" w:type="dxa"/>
            <w:vAlign w:val="center"/>
          </w:tcPr>
          <w:p>
            <w:pPr>
              <w:pStyle w:val="11"/>
              <w:rPr>
                <w:rFonts w:hint="eastAsia" w:ascii="宋体" w:hAnsi="宋体" w:eastAsia="宋体" w:cs="宋体"/>
                <w:sz w:val="21"/>
                <w:szCs w:val="21"/>
              </w:rPr>
            </w:pPr>
            <w:r>
              <w:rPr>
                <w:rFonts w:hint="eastAsia" w:ascii="宋体" w:hAnsi="宋体" w:eastAsia="宋体" w:cs="宋体"/>
                <w:sz w:val="21"/>
                <w:szCs w:val="21"/>
              </w:rPr>
              <w:t>事业</w:t>
            </w:r>
          </w:p>
        </w:tc>
        <w:tc>
          <w:tcPr>
            <w:tcW w:w="528" w:type="dxa"/>
            <w:vAlign w:val="center"/>
          </w:tcPr>
          <w:p>
            <w:pPr>
              <w:pStyle w:val="11"/>
              <w:rPr>
                <w:rFonts w:hint="eastAsia" w:ascii="宋体" w:hAnsi="宋体" w:eastAsia="宋体" w:cs="宋体"/>
                <w:sz w:val="21"/>
                <w:szCs w:val="21"/>
              </w:rPr>
            </w:pPr>
            <w:r>
              <w:rPr>
                <w:rFonts w:hint="eastAsia" w:ascii="宋体" w:hAnsi="宋体" w:eastAsia="宋体" w:cs="宋体"/>
                <w:sz w:val="21"/>
                <w:szCs w:val="21"/>
              </w:rPr>
              <w:t>离休</w:t>
            </w:r>
          </w:p>
        </w:tc>
        <w:tc>
          <w:tcPr>
            <w:tcW w:w="672" w:type="dxa"/>
            <w:vAlign w:val="center"/>
          </w:tcPr>
          <w:p>
            <w:pPr>
              <w:pStyle w:val="11"/>
              <w:rPr>
                <w:rFonts w:hint="eastAsia" w:ascii="宋体" w:hAnsi="宋体" w:eastAsia="宋体" w:cs="宋体"/>
                <w:sz w:val="21"/>
                <w:szCs w:val="21"/>
              </w:rPr>
            </w:pPr>
            <w:r>
              <w:rPr>
                <w:rFonts w:hint="eastAsia" w:ascii="宋体" w:hAnsi="宋体" w:eastAsia="宋体" w:cs="宋体"/>
                <w:sz w:val="21"/>
                <w:szCs w:val="21"/>
              </w:rPr>
              <w:t>退休</w:t>
            </w:r>
          </w:p>
        </w:tc>
        <w:tc>
          <w:tcPr>
            <w:tcW w:w="800" w:type="dxa"/>
            <w:vAlign w:val="center"/>
          </w:tcPr>
          <w:p>
            <w:pPr>
              <w:pStyle w:val="11"/>
              <w:rPr>
                <w:rFonts w:hint="eastAsia" w:ascii="宋体" w:hAnsi="宋体" w:eastAsia="宋体" w:cs="宋体"/>
                <w:sz w:val="21"/>
                <w:szCs w:val="21"/>
              </w:rPr>
            </w:pPr>
            <w:r>
              <w:rPr>
                <w:rFonts w:hint="eastAsia" w:ascii="宋体" w:hAnsi="宋体" w:eastAsia="宋体" w:cs="宋体"/>
                <w:sz w:val="21"/>
                <w:szCs w:val="21"/>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1258" w:type="dxa"/>
            <w:vAlign w:val="center"/>
          </w:tcPr>
          <w:p>
            <w:pPr>
              <w:pStyle w:val="12"/>
              <w:rPr>
                <w:rFonts w:hint="eastAsia" w:ascii="宋体" w:hAnsi="宋体" w:eastAsia="宋体" w:cs="宋体"/>
                <w:sz w:val="21"/>
                <w:szCs w:val="21"/>
              </w:rPr>
            </w:pPr>
            <w:r>
              <w:rPr>
                <w:rFonts w:hint="eastAsia" w:ascii="宋体" w:hAnsi="宋体" w:eastAsia="宋体" w:cs="宋体"/>
                <w:sz w:val="21"/>
                <w:szCs w:val="21"/>
              </w:rPr>
              <w:t>合    计</w:t>
            </w:r>
          </w:p>
        </w:tc>
        <w:tc>
          <w:tcPr>
            <w:tcW w:w="572" w:type="dxa"/>
            <w:vAlign w:val="center"/>
          </w:tcPr>
          <w:p>
            <w:pPr>
              <w:pStyle w:val="12"/>
              <w:rPr>
                <w:rFonts w:hint="eastAsia" w:ascii="宋体" w:hAnsi="宋体" w:eastAsia="宋体" w:cs="宋体"/>
                <w:sz w:val="21"/>
                <w:szCs w:val="21"/>
              </w:rPr>
            </w:pPr>
          </w:p>
        </w:tc>
        <w:tc>
          <w:tcPr>
            <w:tcW w:w="1256" w:type="dxa"/>
            <w:vAlign w:val="center"/>
          </w:tcPr>
          <w:p>
            <w:pPr>
              <w:pStyle w:val="12"/>
              <w:rPr>
                <w:rFonts w:hint="eastAsia" w:ascii="宋体" w:hAnsi="宋体" w:eastAsia="宋体" w:cs="宋体"/>
                <w:sz w:val="21"/>
                <w:szCs w:val="21"/>
              </w:rPr>
            </w:pPr>
          </w:p>
        </w:tc>
        <w:tc>
          <w:tcPr>
            <w:tcW w:w="1005" w:type="dxa"/>
            <w:vAlign w:val="center"/>
          </w:tcPr>
          <w:p>
            <w:pPr>
              <w:pStyle w:val="12"/>
              <w:rPr>
                <w:rFonts w:hint="eastAsia" w:ascii="宋体" w:hAnsi="宋体" w:eastAsia="宋体" w:cs="宋体"/>
                <w:sz w:val="21"/>
                <w:szCs w:val="21"/>
              </w:rPr>
            </w:pPr>
          </w:p>
        </w:tc>
        <w:tc>
          <w:tcPr>
            <w:tcW w:w="874" w:type="dxa"/>
            <w:vAlign w:val="center"/>
          </w:tcPr>
          <w:p>
            <w:pPr>
              <w:pStyle w:val="12"/>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576" w:type="dxa"/>
            <w:vAlign w:val="center"/>
          </w:tcPr>
          <w:p>
            <w:pPr>
              <w:pStyle w:val="12"/>
              <w:rPr>
                <w:rFonts w:hint="eastAsia" w:ascii="宋体" w:hAnsi="宋体" w:eastAsia="宋体" w:cs="宋体"/>
                <w:sz w:val="21"/>
                <w:szCs w:val="21"/>
                <w:lang w:eastAsia="zh-CN"/>
              </w:rPr>
            </w:pPr>
            <w:r>
              <w:rPr>
                <w:rFonts w:hint="eastAsia" w:ascii="宋体" w:hAnsi="宋体" w:eastAsia="宋体" w:cs="宋体"/>
                <w:sz w:val="21"/>
                <w:szCs w:val="21"/>
                <w:lang w:val="en-US" w:eastAsia="zh-CN"/>
              </w:rPr>
              <w:t>6</w:t>
            </w:r>
          </w:p>
        </w:tc>
        <w:tc>
          <w:tcPr>
            <w:tcW w:w="552" w:type="dxa"/>
            <w:vAlign w:val="center"/>
          </w:tcPr>
          <w:p>
            <w:pPr>
              <w:pStyle w:val="12"/>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36</w:t>
            </w:r>
          </w:p>
        </w:tc>
        <w:tc>
          <w:tcPr>
            <w:tcW w:w="576" w:type="dxa"/>
            <w:vAlign w:val="center"/>
          </w:tcPr>
          <w:p>
            <w:pPr>
              <w:pStyle w:val="12"/>
              <w:rPr>
                <w:rFonts w:hint="eastAsia" w:ascii="宋体" w:hAnsi="宋体" w:eastAsia="宋体" w:cs="宋体"/>
                <w:sz w:val="21"/>
                <w:szCs w:val="21"/>
                <w:lang w:eastAsia="zh-CN"/>
              </w:rPr>
            </w:pPr>
            <w:r>
              <w:rPr>
                <w:rFonts w:hint="eastAsia" w:ascii="宋体" w:hAnsi="宋体" w:eastAsia="宋体" w:cs="宋体"/>
                <w:sz w:val="21"/>
                <w:szCs w:val="21"/>
                <w:lang w:val="en-US" w:eastAsia="zh-CN"/>
              </w:rPr>
              <w:t>4</w:t>
            </w:r>
          </w:p>
        </w:tc>
        <w:tc>
          <w:tcPr>
            <w:tcW w:w="636" w:type="dxa"/>
            <w:vAlign w:val="center"/>
          </w:tcPr>
          <w:p>
            <w:pPr>
              <w:pStyle w:val="12"/>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26</w:t>
            </w:r>
          </w:p>
        </w:tc>
        <w:tc>
          <w:tcPr>
            <w:tcW w:w="528" w:type="dxa"/>
            <w:vAlign w:val="center"/>
          </w:tcPr>
          <w:p>
            <w:pPr>
              <w:pStyle w:val="12"/>
              <w:rPr>
                <w:rFonts w:hint="eastAsia" w:ascii="宋体" w:hAnsi="宋体" w:eastAsia="宋体" w:cs="宋体"/>
                <w:sz w:val="21"/>
                <w:szCs w:val="21"/>
              </w:rPr>
            </w:pPr>
          </w:p>
        </w:tc>
        <w:tc>
          <w:tcPr>
            <w:tcW w:w="672" w:type="dxa"/>
            <w:vAlign w:val="center"/>
          </w:tcPr>
          <w:p>
            <w:pPr>
              <w:pStyle w:val="12"/>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66</w:t>
            </w:r>
          </w:p>
        </w:tc>
        <w:tc>
          <w:tcPr>
            <w:tcW w:w="800" w:type="dxa"/>
            <w:vAlign w:val="center"/>
          </w:tcPr>
          <w:p>
            <w:pPr>
              <w:pStyle w:val="12"/>
              <w:rPr>
                <w:rFonts w:hint="eastAsia" w:ascii="宋体" w:hAnsi="宋体" w:eastAsia="宋体" w:cs="宋体"/>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1258" w:type="dxa"/>
            <w:vAlign w:val="center"/>
          </w:tcPr>
          <w:p>
            <w:pPr>
              <w:pStyle w:val="13"/>
              <w:rPr>
                <w:rFonts w:hint="eastAsia" w:ascii="宋体" w:hAnsi="宋体" w:eastAsia="宋体" w:cs="宋体"/>
                <w:sz w:val="21"/>
                <w:szCs w:val="21"/>
              </w:rPr>
            </w:pPr>
            <w:r>
              <w:rPr>
                <w:rFonts w:hint="eastAsia" w:ascii="宋体" w:hAnsi="宋体" w:eastAsia="宋体" w:cs="宋体"/>
                <w:sz w:val="21"/>
                <w:szCs w:val="21"/>
              </w:rPr>
              <w:t>矿区住建局本级</w:t>
            </w:r>
          </w:p>
        </w:tc>
        <w:tc>
          <w:tcPr>
            <w:tcW w:w="572" w:type="dxa"/>
            <w:vAlign w:val="center"/>
          </w:tcPr>
          <w:p>
            <w:pPr>
              <w:pStyle w:val="14"/>
              <w:rPr>
                <w:rFonts w:hint="eastAsia" w:ascii="宋体" w:hAnsi="宋体" w:eastAsia="宋体" w:cs="宋体"/>
                <w:sz w:val="21"/>
                <w:szCs w:val="21"/>
              </w:rPr>
            </w:pPr>
            <w:r>
              <w:rPr>
                <w:rFonts w:hint="eastAsia" w:ascii="宋体" w:hAnsi="宋体" w:eastAsia="宋体" w:cs="宋体"/>
                <w:sz w:val="21"/>
                <w:szCs w:val="21"/>
              </w:rPr>
              <w:t>行政</w:t>
            </w:r>
          </w:p>
        </w:tc>
        <w:tc>
          <w:tcPr>
            <w:tcW w:w="1256" w:type="dxa"/>
            <w:vAlign w:val="center"/>
          </w:tcPr>
          <w:p>
            <w:pPr>
              <w:pStyle w:val="14"/>
              <w:rPr>
                <w:rFonts w:hint="eastAsia" w:ascii="宋体" w:hAnsi="宋体" w:eastAsia="宋体" w:cs="宋体"/>
                <w:sz w:val="21"/>
                <w:szCs w:val="21"/>
              </w:rPr>
            </w:pPr>
            <w:r>
              <w:rPr>
                <w:rFonts w:hint="eastAsia" w:ascii="宋体" w:hAnsi="宋体" w:eastAsia="宋体" w:cs="宋体"/>
                <w:sz w:val="21"/>
                <w:szCs w:val="21"/>
              </w:rPr>
              <w:t>正科级</w:t>
            </w:r>
          </w:p>
        </w:tc>
        <w:tc>
          <w:tcPr>
            <w:tcW w:w="1005" w:type="dxa"/>
            <w:vAlign w:val="center"/>
          </w:tcPr>
          <w:p>
            <w:pPr>
              <w:pStyle w:val="14"/>
              <w:rPr>
                <w:rFonts w:hint="eastAsia" w:ascii="宋体" w:hAnsi="宋体" w:eastAsia="宋体" w:cs="宋体"/>
                <w:sz w:val="21"/>
                <w:szCs w:val="21"/>
              </w:rPr>
            </w:pPr>
            <w:r>
              <w:rPr>
                <w:rFonts w:hint="eastAsia" w:ascii="宋体" w:hAnsi="宋体" w:eastAsia="宋体" w:cs="宋体"/>
                <w:sz w:val="21"/>
                <w:szCs w:val="21"/>
              </w:rPr>
              <w:t>财政拨款</w:t>
            </w:r>
          </w:p>
        </w:tc>
        <w:tc>
          <w:tcPr>
            <w:tcW w:w="874" w:type="dxa"/>
            <w:vAlign w:val="center"/>
          </w:tcPr>
          <w:p>
            <w:pPr>
              <w:pStyle w:val="14"/>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p>
        </w:tc>
        <w:tc>
          <w:tcPr>
            <w:tcW w:w="576" w:type="dxa"/>
            <w:vAlign w:val="center"/>
          </w:tcPr>
          <w:p>
            <w:pPr>
              <w:pStyle w:val="14"/>
              <w:rPr>
                <w:rFonts w:hint="eastAsia" w:ascii="宋体" w:hAnsi="宋体" w:eastAsia="宋体" w:cs="宋体"/>
                <w:sz w:val="21"/>
                <w:szCs w:val="21"/>
                <w:lang w:eastAsia="zh-CN"/>
              </w:rPr>
            </w:pPr>
            <w:r>
              <w:rPr>
                <w:rFonts w:hint="eastAsia" w:ascii="宋体" w:hAnsi="宋体" w:eastAsia="宋体" w:cs="宋体"/>
                <w:sz w:val="21"/>
                <w:szCs w:val="21"/>
                <w:lang w:val="en-US" w:eastAsia="zh-CN"/>
              </w:rPr>
              <w:t>6</w:t>
            </w:r>
          </w:p>
        </w:tc>
        <w:tc>
          <w:tcPr>
            <w:tcW w:w="552" w:type="dxa"/>
            <w:vAlign w:val="center"/>
          </w:tcPr>
          <w:p>
            <w:pPr>
              <w:pStyle w:val="14"/>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29</w:t>
            </w:r>
          </w:p>
        </w:tc>
        <w:tc>
          <w:tcPr>
            <w:tcW w:w="576" w:type="dxa"/>
            <w:vAlign w:val="center"/>
          </w:tcPr>
          <w:p>
            <w:pPr>
              <w:pStyle w:val="14"/>
              <w:rPr>
                <w:rFonts w:hint="eastAsia" w:ascii="宋体" w:hAnsi="宋体" w:eastAsia="宋体" w:cs="宋体"/>
                <w:sz w:val="21"/>
                <w:szCs w:val="21"/>
                <w:lang w:eastAsia="zh-CN"/>
              </w:rPr>
            </w:pPr>
            <w:r>
              <w:rPr>
                <w:rFonts w:hint="eastAsia" w:ascii="宋体" w:hAnsi="宋体" w:eastAsia="宋体" w:cs="宋体"/>
                <w:sz w:val="21"/>
                <w:szCs w:val="21"/>
                <w:lang w:val="en-US" w:eastAsia="zh-CN"/>
              </w:rPr>
              <w:t>4</w:t>
            </w:r>
          </w:p>
        </w:tc>
        <w:tc>
          <w:tcPr>
            <w:tcW w:w="636" w:type="dxa"/>
            <w:vAlign w:val="center"/>
          </w:tcPr>
          <w:p>
            <w:pPr>
              <w:pStyle w:val="14"/>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20</w:t>
            </w:r>
          </w:p>
        </w:tc>
        <w:tc>
          <w:tcPr>
            <w:tcW w:w="528" w:type="dxa"/>
            <w:vAlign w:val="center"/>
          </w:tcPr>
          <w:p>
            <w:pPr>
              <w:pStyle w:val="14"/>
              <w:rPr>
                <w:rFonts w:hint="eastAsia" w:ascii="宋体" w:hAnsi="宋体" w:eastAsia="宋体" w:cs="宋体"/>
                <w:sz w:val="21"/>
                <w:szCs w:val="21"/>
              </w:rPr>
            </w:pPr>
          </w:p>
        </w:tc>
        <w:tc>
          <w:tcPr>
            <w:tcW w:w="672" w:type="dxa"/>
            <w:vAlign w:val="center"/>
          </w:tcPr>
          <w:p>
            <w:pPr>
              <w:pStyle w:val="14"/>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62</w:t>
            </w:r>
          </w:p>
        </w:tc>
        <w:tc>
          <w:tcPr>
            <w:tcW w:w="800" w:type="dxa"/>
            <w:vAlign w:val="center"/>
          </w:tcPr>
          <w:p>
            <w:pPr>
              <w:pStyle w:val="14"/>
              <w:rPr>
                <w:rFonts w:hint="eastAsia" w:ascii="宋体" w:hAnsi="宋体" w:eastAsia="宋体" w:cs="宋体"/>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1258" w:type="dxa"/>
            <w:vAlign w:val="center"/>
          </w:tcPr>
          <w:p>
            <w:pPr>
              <w:pStyle w:val="13"/>
              <w:rPr>
                <w:rFonts w:hint="eastAsia" w:ascii="宋体" w:hAnsi="宋体" w:eastAsia="宋体" w:cs="宋体"/>
                <w:sz w:val="21"/>
                <w:szCs w:val="21"/>
              </w:rPr>
            </w:pPr>
            <w:r>
              <w:rPr>
                <w:rFonts w:hint="eastAsia" w:ascii="宋体" w:hAnsi="宋体" w:eastAsia="宋体" w:cs="宋体"/>
                <w:sz w:val="21"/>
                <w:szCs w:val="21"/>
              </w:rPr>
              <w:t>矿区房管所</w:t>
            </w:r>
          </w:p>
        </w:tc>
        <w:tc>
          <w:tcPr>
            <w:tcW w:w="572" w:type="dxa"/>
            <w:vAlign w:val="center"/>
          </w:tcPr>
          <w:p>
            <w:pPr>
              <w:pStyle w:val="14"/>
              <w:rPr>
                <w:rFonts w:hint="eastAsia" w:ascii="宋体" w:hAnsi="宋体" w:eastAsia="宋体" w:cs="宋体"/>
                <w:sz w:val="21"/>
                <w:szCs w:val="21"/>
              </w:rPr>
            </w:pPr>
            <w:r>
              <w:rPr>
                <w:rFonts w:hint="eastAsia" w:ascii="宋体" w:hAnsi="宋体" w:eastAsia="宋体" w:cs="宋体"/>
                <w:sz w:val="21"/>
                <w:szCs w:val="21"/>
              </w:rPr>
              <w:t>事业</w:t>
            </w:r>
          </w:p>
        </w:tc>
        <w:tc>
          <w:tcPr>
            <w:tcW w:w="1256" w:type="dxa"/>
            <w:vAlign w:val="center"/>
          </w:tcPr>
          <w:p>
            <w:pPr>
              <w:pStyle w:val="14"/>
              <w:rPr>
                <w:rFonts w:hint="eastAsia" w:ascii="宋体" w:hAnsi="宋体" w:eastAsia="宋体" w:cs="宋体"/>
                <w:sz w:val="21"/>
                <w:szCs w:val="21"/>
              </w:rPr>
            </w:pPr>
            <w:r>
              <w:rPr>
                <w:rFonts w:hint="eastAsia" w:ascii="宋体" w:hAnsi="宋体" w:eastAsia="宋体" w:cs="宋体"/>
                <w:sz w:val="21"/>
                <w:szCs w:val="21"/>
              </w:rPr>
              <w:t>股级</w:t>
            </w:r>
          </w:p>
        </w:tc>
        <w:tc>
          <w:tcPr>
            <w:tcW w:w="1005" w:type="dxa"/>
            <w:vAlign w:val="center"/>
          </w:tcPr>
          <w:p>
            <w:pPr>
              <w:pStyle w:val="14"/>
              <w:rPr>
                <w:rFonts w:hint="eastAsia" w:ascii="宋体" w:hAnsi="宋体" w:eastAsia="宋体" w:cs="宋体"/>
                <w:sz w:val="21"/>
                <w:szCs w:val="21"/>
              </w:rPr>
            </w:pPr>
            <w:r>
              <w:rPr>
                <w:rFonts w:hint="eastAsia" w:ascii="宋体" w:hAnsi="宋体" w:eastAsia="宋体" w:cs="宋体"/>
                <w:sz w:val="21"/>
                <w:szCs w:val="21"/>
              </w:rPr>
              <w:t>财政性资金定额或定项补助</w:t>
            </w:r>
          </w:p>
        </w:tc>
        <w:tc>
          <w:tcPr>
            <w:tcW w:w="874" w:type="dxa"/>
            <w:vAlign w:val="center"/>
          </w:tcPr>
          <w:p>
            <w:pPr>
              <w:pStyle w:val="14"/>
              <w:rPr>
                <w:rFonts w:hint="eastAsia" w:ascii="宋体" w:hAnsi="宋体" w:eastAsia="宋体" w:cs="宋体"/>
                <w:sz w:val="21"/>
                <w:szCs w:val="21"/>
              </w:rPr>
            </w:pPr>
          </w:p>
        </w:tc>
        <w:tc>
          <w:tcPr>
            <w:tcW w:w="576" w:type="dxa"/>
            <w:vAlign w:val="center"/>
          </w:tcPr>
          <w:p>
            <w:pPr>
              <w:pStyle w:val="14"/>
              <w:rPr>
                <w:rFonts w:hint="eastAsia" w:ascii="宋体" w:hAnsi="宋体" w:eastAsia="宋体" w:cs="宋体"/>
                <w:sz w:val="21"/>
                <w:szCs w:val="21"/>
              </w:rPr>
            </w:pPr>
          </w:p>
        </w:tc>
        <w:tc>
          <w:tcPr>
            <w:tcW w:w="552" w:type="dxa"/>
            <w:vAlign w:val="center"/>
          </w:tcPr>
          <w:p>
            <w:pPr>
              <w:pStyle w:val="14"/>
              <w:rPr>
                <w:rFonts w:hint="eastAsia" w:ascii="宋体" w:hAnsi="宋体" w:eastAsia="宋体" w:cs="宋体"/>
                <w:sz w:val="21"/>
                <w:szCs w:val="21"/>
              </w:rPr>
            </w:pPr>
            <w:r>
              <w:rPr>
                <w:rFonts w:hint="eastAsia" w:ascii="宋体" w:hAnsi="宋体" w:eastAsia="宋体" w:cs="宋体"/>
                <w:sz w:val="21"/>
                <w:szCs w:val="21"/>
              </w:rPr>
              <w:t>7</w:t>
            </w:r>
          </w:p>
        </w:tc>
        <w:tc>
          <w:tcPr>
            <w:tcW w:w="576" w:type="dxa"/>
            <w:vAlign w:val="center"/>
          </w:tcPr>
          <w:p>
            <w:pPr>
              <w:pStyle w:val="14"/>
              <w:rPr>
                <w:rFonts w:hint="eastAsia" w:ascii="宋体" w:hAnsi="宋体" w:eastAsia="宋体" w:cs="宋体"/>
                <w:sz w:val="21"/>
                <w:szCs w:val="21"/>
              </w:rPr>
            </w:pPr>
          </w:p>
        </w:tc>
        <w:tc>
          <w:tcPr>
            <w:tcW w:w="636" w:type="dxa"/>
            <w:vAlign w:val="center"/>
          </w:tcPr>
          <w:p>
            <w:pPr>
              <w:pStyle w:val="14"/>
              <w:rPr>
                <w:rFonts w:hint="eastAsia" w:ascii="宋体" w:hAnsi="宋体" w:eastAsia="宋体" w:cs="宋体"/>
                <w:sz w:val="21"/>
                <w:szCs w:val="21"/>
                <w:lang w:eastAsia="zh-CN"/>
              </w:rPr>
            </w:pPr>
            <w:r>
              <w:rPr>
                <w:rFonts w:hint="eastAsia" w:ascii="宋体" w:hAnsi="宋体" w:eastAsia="宋体" w:cs="宋体"/>
                <w:sz w:val="21"/>
                <w:szCs w:val="21"/>
                <w:lang w:val="en-US" w:eastAsia="zh-CN"/>
              </w:rPr>
              <w:t>6</w:t>
            </w:r>
          </w:p>
        </w:tc>
        <w:tc>
          <w:tcPr>
            <w:tcW w:w="528" w:type="dxa"/>
            <w:vAlign w:val="center"/>
          </w:tcPr>
          <w:p>
            <w:pPr>
              <w:pStyle w:val="14"/>
              <w:rPr>
                <w:rFonts w:hint="eastAsia" w:ascii="宋体" w:hAnsi="宋体" w:eastAsia="宋体" w:cs="宋体"/>
                <w:sz w:val="21"/>
                <w:szCs w:val="21"/>
              </w:rPr>
            </w:pPr>
          </w:p>
        </w:tc>
        <w:tc>
          <w:tcPr>
            <w:tcW w:w="672" w:type="dxa"/>
            <w:vAlign w:val="center"/>
          </w:tcPr>
          <w:p>
            <w:pPr>
              <w:pStyle w:val="14"/>
              <w:rPr>
                <w:rFonts w:hint="eastAsia" w:ascii="宋体" w:hAnsi="宋体" w:eastAsia="宋体" w:cs="宋体"/>
                <w:sz w:val="21"/>
                <w:szCs w:val="21"/>
                <w:lang w:eastAsia="zh-CN"/>
              </w:rPr>
            </w:pPr>
            <w:r>
              <w:rPr>
                <w:rFonts w:hint="eastAsia" w:ascii="宋体" w:hAnsi="宋体" w:eastAsia="宋体" w:cs="宋体"/>
                <w:sz w:val="21"/>
                <w:szCs w:val="21"/>
                <w:lang w:val="en-US" w:eastAsia="zh-CN"/>
              </w:rPr>
              <w:t>4</w:t>
            </w:r>
          </w:p>
        </w:tc>
        <w:tc>
          <w:tcPr>
            <w:tcW w:w="800" w:type="dxa"/>
            <w:vAlign w:val="center"/>
          </w:tcPr>
          <w:p>
            <w:pPr>
              <w:pStyle w:val="14"/>
              <w:rPr>
                <w:rFonts w:hint="eastAsia" w:ascii="宋体" w:hAnsi="宋体" w:eastAsia="宋体" w:cs="宋体"/>
                <w:sz w:val="21"/>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1258" w:type="dxa"/>
            <w:vAlign w:val="center"/>
          </w:tcPr>
          <w:p>
            <w:pPr>
              <w:pStyle w:val="13"/>
              <w:rPr>
                <w:rFonts w:hint="eastAsia" w:ascii="宋体" w:hAnsi="宋体" w:eastAsia="宋体" w:cs="宋体"/>
                <w:sz w:val="21"/>
                <w:szCs w:val="21"/>
              </w:rPr>
            </w:pPr>
            <w:r>
              <w:rPr>
                <w:rFonts w:hint="eastAsia" w:ascii="宋体" w:hAnsi="宋体" w:eastAsia="宋体" w:cs="宋体"/>
                <w:sz w:val="21"/>
                <w:szCs w:val="21"/>
              </w:rPr>
              <w:t>矿区建筑工程质量监督站</w:t>
            </w:r>
          </w:p>
        </w:tc>
        <w:tc>
          <w:tcPr>
            <w:tcW w:w="572" w:type="dxa"/>
            <w:vAlign w:val="center"/>
          </w:tcPr>
          <w:p>
            <w:pPr>
              <w:pStyle w:val="14"/>
              <w:rPr>
                <w:rFonts w:hint="eastAsia" w:ascii="宋体" w:hAnsi="宋体" w:eastAsia="宋体" w:cs="宋体"/>
                <w:sz w:val="21"/>
                <w:szCs w:val="21"/>
              </w:rPr>
            </w:pPr>
            <w:r>
              <w:rPr>
                <w:rFonts w:hint="eastAsia" w:ascii="宋体" w:hAnsi="宋体" w:eastAsia="宋体" w:cs="宋体"/>
                <w:sz w:val="21"/>
                <w:szCs w:val="21"/>
              </w:rPr>
              <w:t>事业</w:t>
            </w:r>
          </w:p>
        </w:tc>
        <w:tc>
          <w:tcPr>
            <w:tcW w:w="1256" w:type="dxa"/>
            <w:vAlign w:val="center"/>
          </w:tcPr>
          <w:p>
            <w:pPr>
              <w:pStyle w:val="14"/>
              <w:rPr>
                <w:rFonts w:hint="eastAsia" w:ascii="宋体" w:hAnsi="宋体" w:eastAsia="宋体" w:cs="宋体"/>
                <w:sz w:val="21"/>
                <w:szCs w:val="21"/>
              </w:rPr>
            </w:pPr>
            <w:r>
              <w:rPr>
                <w:rFonts w:hint="eastAsia" w:ascii="宋体" w:hAnsi="宋体" w:eastAsia="宋体" w:cs="宋体"/>
                <w:sz w:val="21"/>
                <w:szCs w:val="21"/>
              </w:rPr>
              <w:t>股级</w:t>
            </w:r>
          </w:p>
        </w:tc>
        <w:tc>
          <w:tcPr>
            <w:tcW w:w="1005" w:type="dxa"/>
            <w:vAlign w:val="center"/>
          </w:tcPr>
          <w:p>
            <w:pPr>
              <w:pStyle w:val="14"/>
              <w:rPr>
                <w:rFonts w:hint="eastAsia" w:ascii="宋体" w:hAnsi="宋体" w:eastAsia="宋体" w:cs="宋体"/>
                <w:sz w:val="21"/>
                <w:szCs w:val="21"/>
              </w:rPr>
            </w:pPr>
            <w:r>
              <w:rPr>
                <w:rFonts w:hint="eastAsia" w:ascii="宋体" w:hAnsi="宋体" w:eastAsia="宋体" w:cs="宋体"/>
                <w:sz w:val="21"/>
                <w:szCs w:val="21"/>
              </w:rPr>
              <w:t>财政性资金基本保证</w:t>
            </w:r>
          </w:p>
        </w:tc>
        <w:tc>
          <w:tcPr>
            <w:tcW w:w="874" w:type="dxa"/>
            <w:vAlign w:val="center"/>
          </w:tcPr>
          <w:p>
            <w:pPr>
              <w:pStyle w:val="14"/>
              <w:rPr>
                <w:rFonts w:hint="eastAsia" w:ascii="宋体" w:hAnsi="宋体" w:eastAsia="宋体" w:cs="宋体"/>
                <w:sz w:val="21"/>
                <w:szCs w:val="21"/>
              </w:rPr>
            </w:pPr>
          </w:p>
        </w:tc>
        <w:tc>
          <w:tcPr>
            <w:tcW w:w="576" w:type="dxa"/>
            <w:vAlign w:val="center"/>
          </w:tcPr>
          <w:p>
            <w:pPr>
              <w:pStyle w:val="14"/>
              <w:rPr>
                <w:rFonts w:hint="eastAsia" w:ascii="宋体" w:hAnsi="宋体" w:eastAsia="宋体" w:cs="宋体"/>
                <w:sz w:val="21"/>
                <w:szCs w:val="21"/>
              </w:rPr>
            </w:pPr>
          </w:p>
        </w:tc>
        <w:tc>
          <w:tcPr>
            <w:tcW w:w="552" w:type="dxa"/>
            <w:vAlign w:val="center"/>
          </w:tcPr>
          <w:p>
            <w:pPr>
              <w:pStyle w:val="14"/>
              <w:rPr>
                <w:rFonts w:hint="eastAsia" w:ascii="宋体" w:hAnsi="宋体" w:eastAsia="宋体" w:cs="宋体"/>
                <w:sz w:val="21"/>
                <w:szCs w:val="21"/>
              </w:rPr>
            </w:pPr>
          </w:p>
        </w:tc>
        <w:tc>
          <w:tcPr>
            <w:tcW w:w="576" w:type="dxa"/>
            <w:vAlign w:val="center"/>
          </w:tcPr>
          <w:p>
            <w:pPr>
              <w:pStyle w:val="14"/>
              <w:rPr>
                <w:rFonts w:hint="eastAsia" w:ascii="宋体" w:hAnsi="宋体" w:eastAsia="宋体" w:cs="宋体"/>
                <w:sz w:val="21"/>
                <w:szCs w:val="21"/>
              </w:rPr>
            </w:pPr>
          </w:p>
        </w:tc>
        <w:tc>
          <w:tcPr>
            <w:tcW w:w="636" w:type="dxa"/>
            <w:vAlign w:val="center"/>
          </w:tcPr>
          <w:p>
            <w:pPr>
              <w:pStyle w:val="14"/>
              <w:rPr>
                <w:rFonts w:hint="eastAsia" w:ascii="宋体" w:hAnsi="宋体" w:eastAsia="宋体" w:cs="宋体"/>
                <w:sz w:val="21"/>
                <w:szCs w:val="21"/>
              </w:rPr>
            </w:pPr>
          </w:p>
        </w:tc>
        <w:tc>
          <w:tcPr>
            <w:tcW w:w="528" w:type="dxa"/>
            <w:vAlign w:val="center"/>
          </w:tcPr>
          <w:p>
            <w:pPr>
              <w:pStyle w:val="14"/>
              <w:rPr>
                <w:rFonts w:hint="eastAsia" w:ascii="宋体" w:hAnsi="宋体" w:eastAsia="宋体" w:cs="宋体"/>
                <w:sz w:val="21"/>
                <w:szCs w:val="21"/>
              </w:rPr>
            </w:pPr>
          </w:p>
        </w:tc>
        <w:tc>
          <w:tcPr>
            <w:tcW w:w="672" w:type="dxa"/>
            <w:vAlign w:val="center"/>
          </w:tcPr>
          <w:p>
            <w:pPr>
              <w:pStyle w:val="14"/>
              <w:rPr>
                <w:rFonts w:hint="eastAsia" w:ascii="宋体" w:hAnsi="宋体" w:eastAsia="宋体" w:cs="宋体"/>
                <w:sz w:val="21"/>
                <w:szCs w:val="21"/>
              </w:rPr>
            </w:pPr>
          </w:p>
        </w:tc>
        <w:tc>
          <w:tcPr>
            <w:tcW w:w="800" w:type="dxa"/>
            <w:vAlign w:val="center"/>
          </w:tcPr>
          <w:p>
            <w:pPr>
              <w:pStyle w:val="14"/>
              <w:rPr>
                <w:rFonts w:hint="eastAsia" w:ascii="宋体" w:hAnsi="宋体" w:eastAsia="宋体" w:cs="宋体"/>
                <w:sz w:val="21"/>
                <w:szCs w:val="21"/>
              </w:rPr>
            </w:pPr>
          </w:p>
        </w:tc>
      </w:tr>
    </w:tbl>
    <w:p>
      <w:pPr>
        <w:adjustRightInd w:val="0"/>
        <w:snapToGrid w:val="0"/>
        <w:spacing w:line="560" w:lineRule="exact"/>
        <w:ind w:firstLine="640" w:firstLineChars="200"/>
        <w:rPr>
          <w:rFonts w:hint="eastAsia" w:ascii="仿宋" w:hAnsi="仿宋" w:eastAsia="仿宋"/>
          <w:sz w:val="32"/>
          <w:szCs w:val="32"/>
        </w:rPr>
      </w:pP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bidi w:val="0"/>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rPr>
        <w:t>2024年预算收入5605.55万元，其中：一般公共预算收入1512.14万元，基金预算收入2752.11万元，国有资本经营预算收入0.00万元，财政专户核拨收入0.00万元，单位资金收入0.00万元，上年结转结余1341.31万元。</w:t>
      </w:r>
      <w:r>
        <w:rPr>
          <w:rFonts w:hint="eastAsia" w:ascii="仿宋" w:hAnsi="仿宋" w:eastAsia="仿宋" w:cs="仿宋"/>
          <w:sz w:val="32"/>
          <w:szCs w:val="32"/>
          <w:lang w:val="en-US" w:eastAsia="zh-CN"/>
        </w:rPr>
        <w:t>2024年实际支出9761.95万元，增加的主要原因是：增加了新西村中路地下管网及配套设施提升工程EPC总承包费用、2022年老旧小区改造工程费用、横北棚改工程款、财盛垫付棚改项目本金利息、应急基础设施项目资金等项目资金。</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bidi w:val="0"/>
        <w:ind w:firstLine="640" w:firstLineChars="200"/>
        <w:jc w:val="left"/>
      </w:pPr>
      <w:r>
        <w:rPr>
          <w:rFonts w:hint="eastAsia" w:ascii="仿宋" w:hAnsi="仿宋" w:eastAsia="仿宋" w:cs="仿宋"/>
          <w:sz w:val="32"/>
          <w:szCs w:val="32"/>
          <w:lang w:val="en-US" w:eastAsia="zh-CN"/>
        </w:rPr>
        <w:t>2024年我局在区委、区政府的坚强领导下，</w:t>
      </w:r>
      <w:bookmarkStart w:id="0" w:name="_GoBack"/>
      <w:bookmarkEnd w:id="0"/>
      <w:r>
        <w:rPr>
          <w:rFonts w:hint="eastAsia" w:ascii="仿宋" w:hAnsi="仿宋" w:eastAsia="仿宋" w:cs="仿宋"/>
          <w:sz w:val="32"/>
          <w:szCs w:val="32"/>
        </w:rPr>
        <w:t>实施</w:t>
      </w:r>
      <w:r>
        <w:rPr>
          <w:rFonts w:hint="eastAsia" w:ascii="仿宋" w:hAnsi="仿宋" w:eastAsia="仿宋" w:cs="仿宋"/>
          <w:sz w:val="32"/>
          <w:szCs w:val="32"/>
          <w:lang w:eastAsia="zh-CN"/>
        </w:rPr>
        <w:t>项目涵盖基础设施、</w:t>
      </w:r>
      <w:r>
        <w:rPr>
          <w:rFonts w:hint="eastAsia" w:ascii="仿宋" w:hAnsi="仿宋" w:eastAsia="仿宋" w:cs="仿宋"/>
          <w:sz w:val="32"/>
          <w:szCs w:val="32"/>
        </w:rPr>
        <w:t>路网提升、</w:t>
      </w:r>
      <w:r>
        <w:rPr>
          <w:rFonts w:hint="eastAsia" w:ascii="仿宋" w:hAnsi="仿宋" w:eastAsia="仿宋" w:cs="仿宋"/>
          <w:sz w:val="32"/>
          <w:szCs w:val="32"/>
          <w:lang w:eastAsia="zh-CN"/>
        </w:rPr>
        <w:t>民生保障等</w:t>
      </w:r>
      <w:r>
        <w:rPr>
          <w:rFonts w:hint="eastAsia" w:ascii="仿宋" w:hAnsi="仿宋" w:eastAsia="仿宋" w:cs="仿宋"/>
          <w:sz w:val="32"/>
          <w:szCs w:val="32"/>
        </w:rPr>
        <w:t>重点建设</w:t>
      </w:r>
      <w:r>
        <w:rPr>
          <w:rFonts w:hint="eastAsia" w:ascii="仿宋" w:hAnsi="仿宋" w:eastAsia="仿宋" w:cs="仿宋"/>
          <w:sz w:val="32"/>
          <w:szCs w:val="32"/>
          <w:lang w:eastAsia="zh-CN"/>
        </w:rPr>
        <w:t>项目。合理安排和使用财政资金，通过推进老旧小区改造、保障房建设、提升城市基础设施水平、加强建筑市场监管等工作，改善居民居住条件，优化城市环境，推动矿区住房和城乡建设事业高质量发展，增强居民幸福感与满意度。</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仿宋" w:hAnsi="仿宋" w:eastAsia="仿宋"/>
          <w:sz w:val="32"/>
          <w:szCs w:val="32"/>
        </w:rPr>
      </w:pPr>
      <w:r>
        <w:rPr>
          <w:rFonts w:hint="eastAsia" w:ascii="仿宋" w:hAnsi="仿宋" w:eastAsia="仿宋" w:cs="仿宋"/>
          <w:kern w:val="2"/>
          <w:sz w:val="32"/>
          <w:szCs w:val="32"/>
          <w:lang w:val="en-US" w:eastAsia="zh-CN" w:bidi="ar"/>
        </w:rPr>
        <w:t>为确保2024年区级部门项目绩效自评工作的顺利开展，财务审计股、城市建设股、住房保障股、老旧小区专班等组成联合小组，自行开展部门自评，全面负责部门自评工作，具体包括制定工作方案、进行任务布置及辅导、收集分析相关资料、审核项目支出绩效自评表、撰写绩效评价报告等。</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制定自评工作方案</w:t>
      </w:r>
    </w:p>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left"/>
        <w:textAlignment w:val="auto"/>
        <w:outlineLvl w:val="9"/>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为确保部门自评工作的顺利完成，根据《石家庄市井陉矿区区级部门项目绩效自评管理办法》工作要求，自评工作小组拟定了部门自评工作方案，全面部署自评工作开展。</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开展自评培训</w:t>
      </w:r>
    </w:p>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left"/>
        <w:textAlignment w:val="auto"/>
        <w:outlineLvl w:val="9"/>
        <w:rPr>
          <w:rFonts w:hint="eastAsia" w:ascii="仿宋" w:hAnsi="仿宋" w:eastAsia="仿宋" w:cs="仿宋"/>
          <w:sz w:val="32"/>
          <w:szCs w:val="32"/>
          <w:lang w:eastAsia="zh-CN"/>
        </w:rPr>
      </w:pPr>
      <w:r>
        <w:rPr>
          <w:rFonts w:hint="eastAsia" w:ascii="仿宋" w:hAnsi="仿宋" w:eastAsia="仿宋" w:cs="仿宋"/>
          <w:kern w:val="2"/>
          <w:sz w:val="32"/>
          <w:szCs w:val="32"/>
          <w:lang w:val="en-US" w:eastAsia="zh-CN" w:bidi="ar"/>
        </w:rPr>
        <w:t>7月2日，自评工作小组组织召开了自评工作培训会，对绩效评价的目的、自评工作要求、绩效自评表填写、自评工作程序及资料准备等进行培训，制定资料清单，建立自评工作微信群及时沟通部门自评工作的进展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3.开展资料收集、分析与评论</w:t>
      </w:r>
    </w:p>
    <w:p>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leftChars="0" w:right="0" w:rightChars="0" w:firstLine="640" w:firstLineChars="200"/>
        <w:jc w:val="left"/>
        <w:textAlignment w:val="auto"/>
        <w:outlineLvl w:val="9"/>
      </w:pPr>
      <w:r>
        <w:rPr>
          <w:rFonts w:hint="eastAsia" w:ascii="仿宋" w:hAnsi="仿宋" w:eastAsia="仿宋" w:cs="仿宋"/>
          <w:kern w:val="2"/>
          <w:sz w:val="32"/>
          <w:szCs w:val="32"/>
          <w:lang w:val="en-US" w:eastAsia="zh-CN" w:bidi="ar"/>
        </w:rPr>
        <w:t>7月2日-7月11日，自评工作小组对提交的31个项目《区级部门预算项目绩效自评表》逐一进行了审核，将填报的问题向业务处室反馈并要求修改完善，直至符合填报要求，具备评价基础。其后，自评工作组按照绩效自评管理办法的工作要求，根据各项目实际情况，逐一对各项目预算执行、绩效指标等赋予分值及权重，并根据项目各项指标年初指标值与实际完成值的对比结果给予各项指标评分，汇总形成各项目绩效自评总得分。对于自评中发现的问题，自评工作小组予以全面记录，反馈业务处室。根据分析结果，全面总结项目决策、管理、绩效情况，撰写项目绩效评价报告。</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pStyle w:val="2"/>
        <w:jc w:val="left"/>
        <w:rPr>
          <w:rFonts w:hint="eastAsia" w:ascii="仿宋" w:hAnsi="仿宋" w:eastAsia="仿宋" w:cs="仿宋"/>
          <w:kern w:val="2"/>
          <w:sz w:val="32"/>
          <w:szCs w:val="32"/>
          <w:lang w:val="en-US" w:eastAsia="zh-CN" w:bidi="ar"/>
        </w:rPr>
      </w:pPr>
      <w:r>
        <w:rPr>
          <w:rFonts w:hint="eastAsia" w:ascii="仿宋" w:hAnsi="仿宋" w:eastAsia="仿宋" w:cs="仿宋"/>
          <w:kern w:val="2"/>
          <w:sz w:val="32"/>
          <w:szCs w:val="32"/>
          <w:lang w:val="en-US" w:eastAsia="zh-CN" w:bidi="ar"/>
        </w:rPr>
        <w:t>参照预算绩效文本中总体绩效目标，说明整体绩效目标实现情况。2024年我局在区委、区政府的坚强领导下，合理安排和使用财政资金，通过推进老旧小区改造、保障房建设、提升城市基础设施水平、加强建筑市场监管等工作，较好地完成了2024年各项工作目标任务。</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left"/>
        <w:textAlignment w:val="auto"/>
        <w:outlineLvl w:val="9"/>
        <w:rPr>
          <w:sz w:val="32"/>
          <w:szCs w:val="32"/>
        </w:rPr>
      </w:pPr>
      <w:r>
        <w:rPr>
          <w:rFonts w:hint="eastAsia" w:ascii="仿宋" w:hAnsi="仿宋" w:eastAsia="仿宋" w:cs="仿宋"/>
          <w:kern w:val="2"/>
          <w:sz w:val="32"/>
          <w:szCs w:val="32"/>
          <w:lang w:val="en-US" w:eastAsia="zh-CN" w:bidi="ar"/>
        </w:rPr>
        <w:t>自评工作组对2024年31个预算项目开展了绩效自评工作，从项目的预算执行、目标的完成情况、产出指标、效益指标及受益群体满意度等方面进行评价，31个预算项目均已完成绩效目标。</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left"/>
        <w:textAlignment w:val="auto"/>
        <w:outlineLvl w:val="9"/>
      </w:pPr>
      <w:r>
        <w:rPr>
          <w:rFonts w:hint="eastAsia" w:ascii="仿宋" w:hAnsi="仿宋" w:eastAsia="仿宋" w:cs="仿宋"/>
          <w:kern w:val="2"/>
          <w:sz w:val="32"/>
          <w:szCs w:val="32"/>
          <w:lang w:val="en-US" w:eastAsia="zh-CN" w:bidi="ar"/>
        </w:rPr>
        <w:t>自评工作组</w:t>
      </w:r>
      <w:r>
        <w:rPr>
          <w:rFonts w:hint="eastAsia" w:ascii="仿宋" w:hAnsi="仿宋" w:eastAsia="仿宋" w:cs="仿宋"/>
          <w:sz w:val="32"/>
          <w:szCs w:val="32"/>
        </w:rPr>
        <w:t>根据</w:t>
      </w:r>
      <w:r>
        <w:rPr>
          <w:rFonts w:hint="eastAsia" w:ascii="仿宋" w:hAnsi="仿宋" w:eastAsia="仿宋" w:cs="仿宋"/>
          <w:sz w:val="32"/>
          <w:szCs w:val="32"/>
          <w:lang w:eastAsia="zh-CN"/>
        </w:rPr>
        <w:t>部门职责定位和各项工作履职情况</w:t>
      </w:r>
      <w:r>
        <w:rPr>
          <w:rFonts w:hint="eastAsia" w:ascii="仿宋" w:hAnsi="仿宋" w:eastAsia="仿宋" w:cs="仿宋"/>
          <w:kern w:val="2"/>
          <w:sz w:val="32"/>
          <w:szCs w:val="32"/>
          <w:lang w:val="en-US" w:eastAsia="zh-CN" w:bidi="ar"/>
        </w:rPr>
        <w:t>对2024年31个预算项目</w:t>
      </w:r>
      <w:r>
        <w:rPr>
          <w:rFonts w:hint="eastAsia" w:ascii="仿宋" w:hAnsi="仿宋" w:eastAsia="仿宋" w:cs="仿宋"/>
          <w:sz w:val="32"/>
          <w:szCs w:val="32"/>
          <w:lang w:eastAsia="zh-CN"/>
        </w:rPr>
        <w:t>进行了综合评价</w:t>
      </w:r>
      <w:r>
        <w:rPr>
          <w:rFonts w:hint="eastAsia" w:ascii="仿宋" w:hAnsi="仿宋" w:eastAsia="仿宋" w:cs="仿宋"/>
          <w:sz w:val="32"/>
          <w:szCs w:val="32"/>
        </w:rPr>
        <w:t>，给出总得分，得出综合绩效评价等级。</w:t>
      </w:r>
      <w:r>
        <w:rPr>
          <w:rFonts w:hint="eastAsia" w:ascii="仿宋" w:hAnsi="仿宋" w:eastAsia="仿宋" w:cs="仿宋"/>
          <w:sz w:val="32"/>
          <w:szCs w:val="32"/>
          <w:lang w:val="en-US" w:eastAsia="zh-CN"/>
        </w:rPr>
        <w:t>2024年31个预算项目均实现了绩效目标指标，评</w:t>
      </w:r>
      <w:r>
        <w:rPr>
          <w:rFonts w:hint="eastAsia" w:ascii="仿宋" w:hAnsi="仿宋" w:eastAsia="仿宋" w:cs="仿宋"/>
          <w:sz w:val="32"/>
          <w:szCs w:val="32"/>
        </w:rPr>
        <w:t>为优秀</w:t>
      </w:r>
      <w:r>
        <w:rPr>
          <w:rFonts w:hint="eastAsia" w:ascii="仿宋" w:hAnsi="仿宋" w:eastAsia="仿宋" w:cs="仿宋"/>
          <w:sz w:val="32"/>
          <w:szCs w:val="32"/>
          <w:lang w:eastAsia="zh-CN"/>
        </w:rPr>
        <w:t>等级。</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pStyle w:val="2"/>
      </w:pPr>
      <w:r>
        <w:rPr>
          <w:rFonts w:hint="eastAsia" w:ascii="仿宋_GB2312" w:hAnsi="Times New Roman" w:eastAsia="仿宋" w:cs="仿宋"/>
          <w:kern w:val="2"/>
          <w:sz w:val="32"/>
          <w:szCs w:val="32"/>
          <w:lang w:val="en-US" w:eastAsia="zh-CN" w:bidi="ar"/>
        </w:rPr>
        <w:t>通过绩效自评，发现我局项目绩效管理存在的主要问题为-资金拨付效率有提升空间。因审批流程环节较多，个别项目资金拨付延迟，影响施工进度及上访隐患。</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pStyle w:val="2"/>
        <w:numPr>
          <w:ilvl w:val="0"/>
          <w:numId w:val="0"/>
        </w:numPr>
        <w:ind w:firstLine="640" w:firstLineChars="200"/>
      </w:pPr>
      <w:r>
        <w:rPr>
          <w:rFonts w:hint="eastAsia" w:ascii="仿宋_GB2312" w:hAnsi="仿宋_GB2312" w:eastAsia="仿宋" w:cs="仿宋"/>
          <w:bCs w:val="0"/>
          <w:kern w:val="2"/>
          <w:sz w:val="32"/>
          <w:szCs w:val="32"/>
          <w:lang w:val="en-US" w:eastAsia="zh-CN" w:bidi="ar"/>
        </w:rPr>
        <w:t>针对自评发现的问题，提高资金管理效率与监管力度，梳理审批环节，建立资金拨付预警机制，逾期未拨付项目及时提醒相关科室。</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pStyle w:val="6"/>
        <w:keepNext w:val="0"/>
        <w:keepLines w:val="0"/>
        <w:pageBreakBefore w:val="0"/>
        <w:widowControl w:val="0"/>
        <w:numPr>
          <w:ilvl w:val="0"/>
          <w:numId w:val="0"/>
        </w:numPr>
        <w:kinsoku/>
        <w:wordWrap/>
        <w:overflowPunct/>
        <w:topLinePunct w:val="0"/>
        <w:autoSpaceDE/>
        <w:autoSpaceDN/>
        <w:bidi w:val="0"/>
        <w:adjustRightInd/>
        <w:snapToGrid/>
        <w:spacing w:before="0" w:line="240" w:lineRule="auto"/>
        <w:ind w:right="0" w:rightChars="0"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自评工作小组成员名单</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组  长：    高建忠    住建局副局长</w:t>
      </w:r>
    </w:p>
    <w:p>
      <w:pPr>
        <w:pStyle w:val="6"/>
        <w:keepNext w:val="0"/>
        <w:keepLines w:val="0"/>
        <w:pageBreakBefore w:val="0"/>
        <w:widowControl w:val="0"/>
        <w:kinsoku/>
        <w:wordWrap/>
        <w:overflowPunct/>
        <w:topLinePunct w:val="0"/>
        <w:autoSpaceDE/>
        <w:autoSpaceDN/>
        <w:bidi w:val="0"/>
        <w:adjustRightInd/>
        <w:snapToGrid/>
        <w:spacing w:before="0" w:line="560" w:lineRule="exact"/>
        <w:ind w:left="0" w:leftChars="0" w:right="0" w:rightChars="0" w:firstLine="64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副组长：    马艺宁    住建局财务审计股负责人</w:t>
      </w:r>
    </w:p>
    <w:p>
      <w:pPr>
        <w:pStyle w:val="6"/>
        <w:keepNext w:val="0"/>
        <w:keepLines w:val="0"/>
        <w:pageBreakBefore w:val="0"/>
        <w:widowControl w:val="0"/>
        <w:kinsoku/>
        <w:wordWrap/>
        <w:overflowPunct/>
        <w:topLinePunct w:val="0"/>
        <w:autoSpaceDE/>
        <w:autoSpaceDN/>
        <w:bidi w:val="0"/>
        <w:adjustRightInd/>
        <w:snapToGrid/>
        <w:spacing w:before="0" w:line="560" w:lineRule="exact"/>
        <w:ind w:left="0" w:leftChars="0" w:right="0" w:rightChars="0" w:firstLine="64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成  员：    刘  帅    住建局办公室负责人</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lang w:val="en-US" w:eastAsia="zh-CN"/>
        </w:rPr>
      </w:pPr>
      <w:r>
        <w:rPr>
          <w:rFonts w:hint="eastAsia" w:ascii="仿宋" w:hAnsi="仿宋" w:eastAsia="仿宋" w:cs="仿宋"/>
          <w:b w:val="0"/>
          <w:bCs w:val="0"/>
          <w:sz w:val="32"/>
          <w:szCs w:val="32"/>
          <w:lang w:val="en-US" w:eastAsia="zh-CN"/>
        </w:rPr>
        <w:t xml:space="preserve">                杜  娟    住建局政策法规股负责人</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崔俊国    住建局城市建设股负责人</w:t>
      </w:r>
    </w:p>
    <w:p>
      <w:pPr>
        <w:pStyle w:val="6"/>
        <w:keepNext w:val="0"/>
        <w:keepLines w:val="0"/>
        <w:pageBreakBefore w:val="0"/>
        <w:widowControl w:val="0"/>
        <w:kinsoku/>
        <w:wordWrap/>
        <w:overflowPunct/>
        <w:topLinePunct w:val="0"/>
        <w:autoSpaceDE/>
        <w:autoSpaceDN/>
        <w:bidi w:val="0"/>
        <w:adjustRightInd/>
        <w:snapToGrid/>
        <w:spacing w:before="0" w:line="560" w:lineRule="exact"/>
        <w:ind w:left="0" w:leftChars="0" w:right="0" w:rightChars="0"/>
        <w:jc w:val="both"/>
        <w:textAlignment w:val="auto"/>
        <w:outlineLvl w:val="9"/>
        <w:rPr>
          <w:rFonts w:hint="eastAsia"/>
          <w:lang w:val="en-US" w:eastAsia="zh-CN"/>
        </w:rPr>
      </w:pPr>
      <w:r>
        <w:rPr>
          <w:rFonts w:hint="eastAsia" w:ascii="仿宋" w:hAnsi="仿宋" w:eastAsia="仿宋" w:cs="仿宋"/>
          <w:b w:val="0"/>
          <w:bCs w:val="0"/>
          <w:sz w:val="32"/>
          <w:szCs w:val="32"/>
          <w:lang w:val="en-US" w:eastAsia="zh-CN"/>
        </w:rPr>
        <w:t xml:space="preserve">                石昆轩    住建局房管所负责人</w:t>
      </w:r>
    </w:p>
    <w:p>
      <w:pPr>
        <w:pStyle w:val="6"/>
        <w:keepNext w:val="0"/>
        <w:keepLines w:val="0"/>
        <w:pageBreakBefore w:val="0"/>
        <w:widowControl w:val="0"/>
        <w:kinsoku/>
        <w:wordWrap/>
        <w:overflowPunct/>
        <w:topLinePunct w:val="0"/>
        <w:autoSpaceDE/>
        <w:autoSpaceDN/>
        <w:bidi w:val="0"/>
        <w:adjustRightInd/>
        <w:snapToGrid/>
        <w:spacing w:before="0"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王  倩    住建局住房保障股负责人</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张  寅    住建局财务审计股会计</w:t>
      </w:r>
    </w:p>
    <w:p>
      <w:pPr>
        <w:rPr>
          <w:rFonts w:hint="eastAsia" w:ascii="仿宋" w:hAnsi="仿宋" w:eastAsia="仿宋" w:cs="仿宋"/>
          <w:b w:val="0"/>
          <w:bCs w:val="0"/>
          <w:sz w:val="32"/>
          <w:szCs w:val="32"/>
          <w:lang w:val="en-US" w:eastAsia="zh-CN"/>
        </w:rPr>
      </w:pPr>
    </w:p>
    <w:p>
      <w:pPr>
        <w:pStyle w:val="6"/>
        <w:rPr>
          <w:rFonts w:hint="eastAsia"/>
          <w:lang w:val="en-US" w:eastAsia="zh-CN"/>
        </w:rPr>
      </w:pPr>
    </w:p>
    <w:p>
      <w:pPr>
        <w:pStyle w:val="6"/>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矿区住建局</w:t>
      </w:r>
    </w:p>
    <w:p>
      <w:pPr>
        <w:rPr>
          <w:rFonts w:hint="eastAsia"/>
          <w:lang w:val="en-US"/>
        </w:rPr>
      </w:pPr>
      <w:r>
        <w:rPr>
          <w:rFonts w:hint="eastAsia" w:ascii="仿宋" w:hAnsi="仿宋" w:eastAsia="仿宋" w:cs="仿宋"/>
          <w:b w:val="0"/>
          <w:bCs w:val="0"/>
          <w:sz w:val="32"/>
          <w:szCs w:val="32"/>
          <w:lang w:val="en-US" w:eastAsia="zh-CN"/>
        </w:rPr>
        <w:t xml:space="preserve">                                   2025年7月18日</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Times New Roman"/>
    <w:panose1 w:val="00000000000000000000"/>
    <w:charset w:val="00"/>
    <w:family w:val="auto"/>
    <w:pitch w:val="default"/>
    <w:sig w:usb0="00000000" w:usb1="00000000" w:usb2="00000000"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90805" distR="90805" simplePos="0" relativeHeight="102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102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1qUiZ0QAAAAMBAAAPAAAAAAAA&#10;AAEAIAAAACIAAABkcnMvZG93bnJldi54bWxQSwECFAAUAAAACACHTuJA8TEkzeABAACqAwAADgAA&#10;AAAAAAABACAAAAAgAQAAZHJzL2Uyb0RvYy54bWxQSwUGAAAAAAYABgBZAQAAcgUAAAAA&#10;">
              <v:fill on="f" focussize="0,0"/>
              <v:stroke on="f" joinstyle="miter"/>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98AB3EB"/>
    <w:multiLevelType w:val="singleLevel"/>
    <w:tmpl w:val="D98AB3EB"/>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rsids>
    <w:rsidRoot w:val="00000000"/>
    <w:rsid w:val="003313EB"/>
    <w:rsid w:val="06CA0D71"/>
    <w:rsid w:val="06CC52ED"/>
    <w:rsid w:val="092D0191"/>
    <w:rsid w:val="09F72476"/>
    <w:rsid w:val="105D0CED"/>
    <w:rsid w:val="14496E1F"/>
    <w:rsid w:val="1C6D4E6A"/>
    <w:rsid w:val="1F68591F"/>
    <w:rsid w:val="20086317"/>
    <w:rsid w:val="22176656"/>
    <w:rsid w:val="246162C1"/>
    <w:rsid w:val="28994100"/>
    <w:rsid w:val="447C501A"/>
    <w:rsid w:val="48255EDB"/>
    <w:rsid w:val="4B6F65AF"/>
    <w:rsid w:val="520E43E7"/>
    <w:rsid w:val="5C0C1C22"/>
    <w:rsid w:val="64320738"/>
    <w:rsid w:val="680A334B"/>
    <w:rsid w:val="6E034191"/>
    <w:rsid w:val="6E0D7525"/>
    <w:rsid w:val="74DB0A8A"/>
    <w:rsid w:val="75B70B96"/>
    <w:rsid w:val="761D4BB9"/>
    <w:rsid w:val="78F13C6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uiPriority w:val="0"/>
    <w:pPr>
      <w:keepNext/>
      <w:keepLines/>
      <w:widowControl w:val="0"/>
      <w:spacing w:before="340" w:after="330" w:line="578" w:lineRule="auto"/>
      <w:outlineLvl w:val="0"/>
    </w:pPr>
    <w:rPr>
      <w:b/>
      <w:bCs/>
      <w:kern w:val="44"/>
      <w:sz w:val="44"/>
      <w:szCs w:val="44"/>
    </w:rPr>
  </w:style>
  <w:style w:type="paragraph" w:styleId="4">
    <w:name w:val="heading 2"/>
    <w:basedOn w:val="1"/>
    <w:next w:val="1"/>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5">
    <w:name w:val="heading 3"/>
    <w:basedOn w:val="1"/>
    <w:next w:val="1"/>
    <w:uiPriority w:val="0"/>
    <w:pPr>
      <w:keepNext/>
      <w:keepLines/>
      <w:widowControl w:val="0"/>
      <w:spacing w:before="260" w:after="260" w:line="415" w:lineRule="auto"/>
      <w:outlineLvl w:val="2"/>
    </w:pPr>
    <w:rPr>
      <w:b/>
      <w:bCs/>
      <w:sz w:val="32"/>
      <w:szCs w:val="32"/>
    </w:rPr>
  </w:style>
  <w:style w:type="character" w:default="1" w:styleId="10">
    <w:name w:val="Default Paragraph Font"/>
    <w:uiPriority w:val="0"/>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Normal Indent"/>
    <w:basedOn w:val="1"/>
    <w:next w:val="1"/>
    <w:unhideWhenUsed/>
    <w:qFormat/>
    <w:uiPriority w:val="0"/>
    <w:pPr>
      <w:ind w:firstLine="420" w:firstLineChars="200"/>
    </w:pPr>
  </w:style>
  <w:style w:type="paragraph" w:styleId="6">
    <w:name w:val="toa heading"/>
    <w:basedOn w:val="1"/>
    <w:next w:val="1"/>
    <w:qFormat/>
    <w:uiPriority w:val="0"/>
    <w:pPr>
      <w:spacing w:before="120"/>
    </w:pPr>
    <w:rPr>
      <w:rFonts w:ascii="Arial" w:hAnsi="Arial"/>
      <w:sz w:val="24"/>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customStyle="1" w:styleId="11">
    <w:name w:val="单元格样式1"/>
    <w:basedOn w:val="1"/>
    <w:qFormat/>
    <w:uiPriority w:val="99"/>
    <w:pPr>
      <w:jc w:val="center"/>
    </w:pPr>
    <w:rPr>
      <w:rFonts w:ascii="方正书宋_GBK" w:hAnsi="方正书宋_GBK" w:eastAsia="方正书宋_GBK" w:cs="方正书宋_GBK"/>
      <w:b/>
      <w:bCs/>
      <w:sz w:val="21"/>
      <w:szCs w:val="21"/>
    </w:rPr>
  </w:style>
  <w:style w:type="paragraph" w:customStyle="1" w:styleId="12">
    <w:name w:val="单元格样式6"/>
    <w:basedOn w:val="1"/>
    <w:qFormat/>
    <w:uiPriority w:val="99"/>
    <w:pPr>
      <w:jc w:val="center"/>
    </w:pPr>
    <w:rPr>
      <w:rFonts w:ascii="方正书宋_GBK" w:hAnsi="方正书宋_GBK" w:eastAsia="方正书宋_GBK" w:cs="方正书宋_GBK"/>
      <w:b/>
      <w:bCs/>
      <w:sz w:val="21"/>
      <w:szCs w:val="21"/>
    </w:rPr>
  </w:style>
  <w:style w:type="paragraph" w:customStyle="1" w:styleId="13">
    <w:name w:val="单元格样式2"/>
    <w:basedOn w:val="1"/>
    <w:qFormat/>
    <w:uiPriority w:val="99"/>
    <w:rPr>
      <w:rFonts w:ascii="方正书宋_GBK" w:hAnsi="方正书宋_GBK" w:eastAsia="方正书宋_GBK" w:cs="方正书宋_GBK"/>
      <w:sz w:val="21"/>
      <w:szCs w:val="21"/>
    </w:rPr>
  </w:style>
  <w:style w:type="paragraph" w:customStyle="1" w:styleId="14">
    <w:name w:val="单元格样式3"/>
    <w:basedOn w:val="1"/>
    <w:qFormat/>
    <w:uiPriority w:val="99"/>
    <w:pPr>
      <w:jc w:val="center"/>
    </w:pPr>
    <w:rPr>
      <w:rFonts w:ascii="方正书宋_GBK" w:hAnsi="方正书宋_GBK" w:eastAsia="方正书宋_GBK" w:cs="方正书宋_GBK"/>
      <w:sz w:val="21"/>
      <w:szCs w:val="21"/>
    </w:rPr>
  </w:style>
  <w:style w:type="paragraph" w:customStyle="1" w:styleId="15">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lang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Normal.eit</Template>
  <Pages>2</Pages>
  <Words>0</Words>
  <Characters>502</Characters>
  <Lines>0</Lines>
  <Paragraphs>29</Paragraphs>
  <TotalTime>15</TotalTime>
  <ScaleCrop>false</ScaleCrop>
  <LinksUpToDate>false</LinksUpToDate>
  <CharactersWithSpaces>670</CharactersWithSpaces>
  <Application>WPS Office_11.1.0.8799_F1E327BC-269C-435d-A152-05C5408002CA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2025-07-21T01:08:33Z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2052-11.1.0.8799</vt:lpwstr>
  </property>
  <property fmtid="{D5CDD505-2E9C-101B-9397-08002B2CF9AE}" pid="3" name="ICV">
    <vt:lpwstr>96934721B1514D3FBAA28020338CE855_12</vt:lpwstr>
  </property>
</Properties>
</file>