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A7AE1B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6D869FE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0400A95F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  <w:lang w:eastAsia="zh-CN"/>
        </w:rPr>
      </w:pPr>
      <w:r>
        <w:rPr>
          <w:rFonts w:ascii="宋体" w:hAnsi="宋体" w:cs="宋体"/>
          <w:b/>
          <w:bCs/>
          <w:sz w:val="44"/>
          <w:szCs w:val="44"/>
          <w:lang w:eastAsia="zh-CN"/>
        </w:rPr>
        <w:t>井陉矿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区人大常委会办公室</w:t>
      </w:r>
    </w:p>
    <w:p w14:paraId="538E4E28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7771EAF6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</w:p>
    <w:p w14:paraId="3A270528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8CC948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ascii="仿宋" w:hAnsi="仿宋" w:eastAsia="仿宋"/>
          <w:sz w:val="32"/>
          <w:szCs w:val="32"/>
        </w:rPr>
        <w:t>井陉矿</w:t>
      </w:r>
      <w:r>
        <w:rPr>
          <w:rFonts w:hint="eastAsia" w:ascii="仿宋" w:hAnsi="仿宋" w:eastAsia="仿宋"/>
          <w:sz w:val="32"/>
          <w:szCs w:val="32"/>
          <w:lang w:eastAsia="zh-CN"/>
        </w:rPr>
        <w:t>区人大常委会办公室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79F1126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D49DAD8">
      <w:pPr>
        <w:widowControl w:val="0"/>
        <w:wordWrap/>
        <w:adjustRightInd w:val="0"/>
        <w:snapToGrid w:val="0"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668C07BA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  <w:lang w:val="en-US" w:eastAsia="zh-CN"/>
        </w:rPr>
        <w:t>1</w:t>
      </w:r>
      <w:r>
        <w:rPr>
          <w:rFonts w:hint="eastAsia" w:ascii="黑体" w:hAnsi="黑体" w:eastAsia="黑体"/>
          <w:sz w:val="32"/>
        </w:rPr>
        <w:t>、主要职责</w:t>
      </w:r>
    </w:p>
    <w:p w14:paraId="4BDEA78F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讨论、决定本行政区域内各方面工作的重大事项。</w:t>
      </w:r>
    </w:p>
    <w:p w14:paraId="02568E11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2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监督本级人民政府、人民法院和人民检察院的工作。</w:t>
      </w:r>
    </w:p>
    <w:p w14:paraId="0625D59A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3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撤消本级人民政府的不适当的决定和命令。</w:t>
      </w:r>
    </w:p>
    <w:p w14:paraId="54E21868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撤消下一级人民代表大会的不适当的决议。</w:t>
      </w:r>
    </w:p>
    <w:p w14:paraId="23166507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5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依照法律规定的权限决定国家机关工作人员的任免。</w:t>
      </w:r>
    </w:p>
    <w:p w14:paraId="160F5955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6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在本级人民代表大会闭会期间，罢免和补选上一级人民代表大会的个别代表。</w:t>
      </w:r>
    </w:p>
    <w:p w14:paraId="5E90CCCC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7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领导和主持本级人民代表大会代表的选举，召集本级人民代表大会会议。</w:t>
      </w:r>
    </w:p>
    <w:p w14:paraId="115440DE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8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保证宪法、法律、行政法规和上级人民代表大会及其常务委员会决议的遵守和执行。</w:t>
      </w:r>
    </w:p>
    <w:p w14:paraId="749E40D1">
      <w:pPr>
        <w:widowControl w:val="0"/>
        <w:spacing w:line="509" w:lineRule="atLeast"/>
        <w:ind w:firstLine="63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/>
          <w:sz w:val="32"/>
          <w:lang w:val="en-US" w:eastAsia="zh-CN"/>
        </w:rPr>
        <w:t>9</w:t>
      </w:r>
      <w:r>
        <w:rPr>
          <w:rFonts w:hint="eastAsia" w:ascii="仿宋_GB2312" w:hAnsi="仿宋_GB2312" w:eastAsia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/>
          <w:sz w:val="32"/>
        </w:rPr>
        <w:t>贯彻依法治国的方略，加强法律监督与工作监督，推进依法治区和民主政治建设进程。</w:t>
      </w:r>
    </w:p>
    <w:p w14:paraId="1C7298E8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val="en-US" w:eastAsia="zh-CN"/>
        </w:rPr>
        <w:t>2</w:t>
      </w:r>
      <w:r>
        <w:rPr>
          <w:rFonts w:hint="eastAsia" w:ascii="黑体" w:hAnsi="黑体" w:eastAsia="黑体"/>
          <w:sz w:val="32"/>
        </w:rPr>
        <w:t>、机构</w:t>
      </w:r>
      <w:r>
        <w:rPr>
          <w:rFonts w:hint="eastAsia" w:ascii="黑体" w:hAnsi="黑体" w:eastAsia="黑体"/>
          <w:sz w:val="32"/>
          <w:lang w:eastAsia="zh-CN"/>
        </w:rPr>
        <w:t>情况</w:t>
      </w:r>
    </w:p>
    <w:p w14:paraId="7A92FEBC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_GB2312" w:hAnsi="仿宋_GB2312" w:eastAsia="仿宋_GB2312"/>
          <w:sz w:val="32"/>
          <w:lang w:eastAsia="zh-CN"/>
        </w:rPr>
      </w:pPr>
      <w:r>
        <w:rPr>
          <w:rFonts w:hint="eastAsia" w:ascii="仿宋_GB2312" w:hAnsi="仿宋_GB2312" w:eastAsia="仿宋_GB2312"/>
          <w:sz w:val="32"/>
        </w:rPr>
        <w:t>区人大常委会内部工作机构设1个综合办事机构和</w:t>
      </w:r>
      <w:r>
        <w:rPr>
          <w:rFonts w:hint="eastAsia" w:ascii="仿宋_GB2312" w:hAnsi="仿宋_GB2312" w:eastAsia="仿宋_GB2312"/>
          <w:sz w:val="32"/>
          <w:lang w:val="en-US" w:eastAsia="zh-CN"/>
        </w:rPr>
        <w:t>6</w:t>
      </w:r>
      <w:r>
        <w:rPr>
          <w:rFonts w:hint="eastAsia" w:ascii="仿宋_GB2312" w:hAnsi="仿宋_GB2312" w:eastAsia="仿宋_GB2312"/>
          <w:sz w:val="32"/>
        </w:rPr>
        <w:t>个其他工作机构</w:t>
      </w:r>
      <w:r>
        <w:rPr>
          <w:rFonts w:hint="eastAsia" w:ascii="仿宋_GB2312" w:hAnsi="仿宋_GB2312" w:eastAsia="仿宋_GB2312"/>
          <w:sz w:val="32"/>
          <w:lang w:eastAsia="zh-CN"/>
        </w:rPr>
        <w:t>，分别为</w:t>
      </w:r>
      <w:r>
        <w:rPr>
          <w:rFonts w:hint="eastAsia" w:ascii="仿宋_GB2312" w:hAnsi="仿宋_GB2312" w:eastAsia="仿宋_GB2312"/>
          <w:sz w:val="32"/>
        </w:rPr>
        <w:t>：办公室、代表联络选举任免工作委员会、财政经济工作委员会、教科文卫工作委员会、政治法律工作委员会</w:t>
      </w:r>
      <w:r>
        <w:rPr>
          <w:rFonts w:hint="eastAsia" w:ascii="仿宋_GB2312" w:hAnsi="仿宋_GB2312" w:eastAsia="仿宋_GB2312"/>
          <w:sz w:val="32"/>
          <w:lang w:eastAsia="zh-CN"/>
        </w:rPr>
        <w:t>、老干部科、信访科；单位基本性质为行政单位；经费形式为财政拨款。</w:t>
      </w:r>
    </w:p>
    <w:p w14:paraId="17450145">
      <w:pPr>
        <w:widowControl w:val="0"/>
        <w:spacing w:line="509" w:lineRule="atLeast"/>
        <w:ind w:firstLine="639"/>
        <w:rPr>
          <w:rFonts w:hint="eastAsia" w:ascii="黑体" w:hAnsi="黑体" w:eastAsia="黑体"/>
          <w:sz w:val="32"/>
          <w:lang w:val="en-US" w:eastAsia="zh-CN"/>
        </w:rPr>
      </w:pPr>
      <w:r>
        <w:rPr>
          <w:rFonts w:hint="eastAsia" w:ascii="黑体" w:hAnsi="黑体" w:eastAsia="黑体"/>
          <w:sz w:val="32"/>
          <w:lang w:val="en-US" w:eastAsia="zh-CN"/>
        </w:rPr>
        <w:t>3．人员情况，包括当年变动情况及原因。</w:t>
      </w:r>
    </w:p>
    <w:p w14:paraId="258A2EF1">
      <w:pPr>
        <w:snapToGrid w:val="0"/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截止到202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年12月在职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，上年度期末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2人，本年度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减少2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，原因为202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年退休2人。</w:t>
      </w:r>
    </w:p>
    <w:p w14:paraId="5BCB3F9A">
      <w:pPr>
        <w:snapToGrid w:val="0"/>
        <w:spacing w:line="520" w:lineRule="exact"/>
        <w:ind w:firstLine="640" w:firstLineChars="200"/>
        <w:rPr>
          <w:rFonts w:hint="eastAsia" w:ascii="黑体" w:hAnsi="黑体" w:eastAsia="黑体"/>
          <w:sz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黑体" w:hAnsi="黑体" w:eastAsia="黑体"/>
          <w:sz w:val="32"/>
          <w:lang w:val="en-US" w:eastAsia="zh-CN"/>
        </w:rPr>
        <w:t>资产情况，包括当年变动情况及原因。</w:t>
      </w:r>
    </w:p>
    <w:p w14:paraId="11B755D5">
      <w:pPr>
        <w:snapToGrid w:val="0"/>
        <w:spacing w:line="520" w:lineRule="exact"/>
        <w:ind w:left="0" w:firstLine="640" w:firstLineChars="200"/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224.42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224.68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2024年增加固定资产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0.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2045C69D">
      <w:pPr>
        <w:adjustRightInd w:val="0"/>
        <w:snapToGrid w:val="0"/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 w14:paraId="3FA8EFF8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年部门年初预算收入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年部门预算支出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507.13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万元。</w:t>
      </w:r>
    </w:p>
    <w:p w14:paraId="3F0CDB16">
      <w:pPr>
        <w:snapToGrid w:val="0"/>
        <w:spacing w:line="52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万元,实际支出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其中：基本支出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07.13</w:t>
      </w:r>
      <w:r>
        <w:rPr>
          <w:rFonts w:hint="eastAsia" w:ascii="仿宋" w:hAnsi="仿宋" w:eastAsia="仿宋" w:cs="仿宋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2EFD4B5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95B0732">
      <w:pPr>
        <w:pStyle w:val="1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rPr>
          <w:rFonts w:hint="eastAsia" w:ascii="仿宋" w:hAnsi="仿宋" w:eastAsia="仿宋" w:cs="楷体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楷体_GB2312"/>
          <w:b w:val="0"/>
          <w:bCs w:val="0"/>
          <w:kern w:val="2"/>
          <w:sz w:val="32"/>
          <w:szCs w:val="32"/>
          <w:lang w:val="en-US" w:eastAsia="zh-CN" w:bidi="ar-SA"/>
        </w:rPr>
        <w:t>在区委的坚强领导下，高举习近平新时代中国特色社会主义思想伟大旗帜，深入学习贯彻党的二十大和二十届二中全会精神，全面贯彻习近平总书记视察河北、视察石家庄重要讲话和重要指示精神，落实中央和省、市、区委人大工作会议精神，坚持党的领导、人民当家作主、依法治国有机统一，紧扣区委“1365”总体思路，围绕经济建设这一中心工作和高质量发展这一首要任务，依法履行法定职责、回应群众重大关切，为资源型城市高质量转型发展崭新图景提供民主法治保障，为加快打造省会城市美丽“后花园”贡献人大智慧和力量。</w:t>
      </w:r>
    </w:p>
    <w:p w14:paraId="78B5248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E911E8E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67A79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为进一步提高我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绩效预算管理工作，</w:t>
      </w:r>
      <w:r>
        <w:rPr>
          <w:rFonts w:hint="eastAsia" w:ascii="仿宋" w:hAnsi="仿宋" w:eastAsia="仿宋"/>
          <w:sz w:val="32"/>
          <w:szCs w:val="32"/>
        </w:rPr>
        <w:t>根据《石家庄市财政</w:t>
      </w:r>
      <w:r>
        <w:rPr>
          <w:rFonts w:hint="eastAsia" w:ascii="仿宋" w:hAnsi="仿宋" w:eastAsia="仿宋"/>
          <w:sz w:val="32"/>
          <w:szCs w:val="32"/>
          <w:lang w:eastAsia="zh-CN"/>
        </w:rPr>
        <w:t>局关于做好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2025年绩效评价工作的通知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/>
          <w:sz w:val="32"/>
          <w:szCs w:val="32"/>
          <w:lang w:eastAsia="zh-CN"/>
        </w:rPr>
        <w:t>要求和《井陉矿区区级部门项目自评管理办法》</w:t>
      </w: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矿财</w:t>
      </w:r>
      <w:r>
        <w:rPr>
          <w:rFonts w:hint="eastAsia" w:ascii="仿宋" w:hAnsi="仿宋" w:eastAsia="仿宋"/>
          <w:sz w:val="32"/>
          <w:szCs w:val="32"/>
        </w:rPr>
        <w:t>[20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sz w:val="32"/>
          <w:szCs w:val="32"/>
        </w:rPr>
        <w:t>]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2号）</w:t>
      </w:r>
      <w:r>
        <w:rPr>
          <w:rFonts w:hint="eastAsia" w:ascii="仿宋" w:hAnsi="仿宋" w:eastAsia="仿宋" w:cs="仿宋"/>
          <w:sz w:val="32"/>
          <w:szCs w:val="32"/>
        </w:rPr>
        <w:t>要求，成立绩效评价工作组，对我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4C5CD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2B4EA382"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矿区人大办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</w:t>
      </w:r>
      <w:r>
        <w:rPr>
          <w:rFonts w:hint="eastAsia" w:ascii="仿宋" w:hAnsi="仿宋" w:eastAsia="仿宋" w:cs="仿宋"/>
          <w:sz w:val="32"/>
          <w:szCs w:val="32"/>
        </w:rPr>
        <w:t>预算共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591.15元：人员预算473.64万元，日常公用经费预算33.49万元，项目预算</w:t>
      </w:r>
      <w:r>
        <w:rPr>
          <w:rFonts w:hint="eastAsia" w:ascii="仿宋" w:hAnsi="仿宋" w:eastAsia="仿宋" w:cs="仿宋"/>
          <w:sz w:val="32"/>
          <w:szCs w:val="32"/>
        </w:rPr>
        <w:t>涉及资金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84.02万元，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年实际收入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万元,实际支出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591.15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其中：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基本支出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507.13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84.02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万元。</w:t>
      </w:r>
    </w:p>
    <w:p w14:paraId="019494CC">
      <w:pPr>
        <w:spacing w:line="560" w:lineRule="exact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4D0951EE">
      <w:pPr>
        <w:pStyle w:val="7"/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7458F36C">
      <w:pPr>
        <w:pStyle w:val="7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78AEA799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28B6EEA1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71025F86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44B435D0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2CD70E1E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CD0B31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分为优秀。</w:t>
      </w:r>
    </w:p>
    <w:p w14:paraId="6484E069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B2F97B1">
      <w:pPr>
        <w:widowControl w:val="0"/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15E78735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发展的标杆。绩效评价在指标设定上存在偏离的现象。在当前绩效考核指标设定上，德能勤绩这种传统的固化思维模式依旧存在，不能紧紧围绕工作重点、偏离实际的现象依旧凸显。</w:t>
      </w:r>
    </w:p>
    <w:p w14:paraId="09044654">
      <w:pPr>
        <w:widowControl w:val="0"/>
        <w:numPr>
          <w:ilvl w:val="0"/>
          <w:numId w:val="1"/>
        </w:numPr>
        <w:wordWrap/>
        <w:spacing w:line="560" w:lineRule="exact"/>
        <w:ind w:left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 w14:paraId="49C0AEF9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00CD47C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26AE845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579481B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52F5BAF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BA189D5"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评价工作组人员名单及签字</w:t>
      </w:r>
    </w:p>
    <w:tbl>
      <w:tblPr>
        <w:tblStyle w:val="14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7B49F1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</w:tcPr>
          <w:p w14:paraId="40F47E00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</w:tcPr>
          <w:p w14:paraId="1D65C657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</w:tcPr>
          <w:p w14:paraId="1E55A4CF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</w:tcPr>
          <w:p w14:paraId="79E1E885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</w:tcPr>
          <w:p w14:paraId="12C6EA9D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34527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44D1278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4F2F1E7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张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翼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BCD80DA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6864C24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办公室主任、一级主任科员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BAC010B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10D50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D1A7DEE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28DE0C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赵海涛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717699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30AD036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二级主任科员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ECB1828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68DBE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2D9B626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9FDFAF0">
            <w:pPr>
              <w:pStyle w:val="7"/>
              <w:ind w:left="0" w:firstLine="0" w:firstLineChars="0"/>
              <w:jc w:val="both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冯莉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51FD4B0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2FE4B28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97B334F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09168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5C1AC09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4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406D4E9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吴晓萱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9A56FCB">
            <w:pPr>
              <w:pStyle w:val="7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区人大常委会办公室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ECC6541">
            <w:pPr>
              <w:pStyle w:val="7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1244AB0">
            <w:pPr>
              <w:pStyle w:val="7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0CF6B004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华文楷体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BDF4FC">
    <w:pPr>
      <w:pStyle w:val="10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14C1DE9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14C1DE9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hint="default" w:ascii="楷体" w:hAnsi="楷体" w:eastAsia="楷体"/>
      </w:rPr>
    </w:lvl>
  </w:abstractNum>
  <w:abstractNum w:abstractNumId="1">
    <w:nsid w:val="62329866"/>
    <w:multiLevelType w:val="singleLevel"/>
    <w:tmpl w:val="62329866"/>
    <w:lvl w:ilvl="0" w:tentative="0">
      <w:start w:val="6"/>
      <w:numFmt w:val="chineseCounting"/>
      <w:suff w:val="nothing"/>
      <w:lvlText w:val="%1、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00DC070D"/>
    <w:rsid w:val="03883E39"/>
    <w:rsid w:val="03F54170"/>
    <w:rsid w:val="0FD27447"/>
    <w:rsid w:val="197F302A"/>
    <w:rsid w:val="40522FC1"/>
    <w:rsid w:val="74AF5C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5">
    <w:name w:val="Default Paragraph Font"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2"/>
    <w:basedOn w:val="3"/>
    <w:qFormat/>
    <w:uiPriority w:val="0"/>
    <w:pPr>
      <w:spacing w:after="120"/>
      <w:ind w:left="420" w:leftChars="200" w:firstLine="420"/>
      <w:jc w:val="both"/>
      <w:textAlignment w:val="baseline"/>
    </w:pPr>
  </w:style>
  <w:style w:type="paragraph" w:customStyle="1" w:styleId="3">
    <w:name w:val="BodyTextIndent"/>
    <w:basedOn w:val="1"/>
    <w:qFormat/>
    <w:uiPriority w:val="0"/>
    <w:pPr>
      <w:spacing w:after="120"/>
      <w:ind w:left="420" w:leftChars="200"/>
      <w:jc w:val="both"/>
      <w:textAlignment w:val="baseline"/>
    </w:pPr>
  </w:style>
  <w:style w:type="paragraph" w:styleId="7">
    <w:name w:val="Normal Indent"/>
    <w:basedOn w:val="1"/>
    <w:qFormat/>
    <w:uiPriority w:val="0"/>
    <w:pPr>
      <w:widowControl w:val="0"/>
      <w:ind w:firstLine="200" w:firstLineChars="200"/>
      <w:jc w:val="both"/>
    </w:pPr>
    <w:rPr>
      <w:rFonts w:ascii="Calibri" w:hAnsi="Calibri" w:eastAsia="仿宋_GB2312" w:cs="黑体"/>
      <w:kern w:val="2"/>
      <w:sz w:val="30"/>
      <w:szCs w:val="22"/>
      <w:lang w:val="en-US" w:eastAsia="zh-CN" w:bidi="ar-SA"/>
    </w:rPr>
  </w:style>
  <w:style w:type="paragraph" w:styleId="8">
    <w:name w:val="Body Text Indent"/>
    <w:basedOn w:val="1"/>
    <w:next w:val="9"/>
    <w:uiPriority w:val="0"/>
    <w:pPr>
      <w:spacing w:line="360" w:lineRule="auto"/>
      <w:ind w:firstLine="200" w:firstLineChars="200"/>
    </w:pPr>
    <w:rPr>
      <w:rFonts w:hint="eastAsia"/>
      <w:sz w:val="24"/>
    </w:rPr>
  </w:style>
  <w:style w:type="paragraph" w:styleId="9">
    <w:name w:val="Subtitle"/>
    <w:basedOn w:val="1"/>
    <w:next w:val="1"/>
    <w:qFormat/>
    <w:uiPriority w:val="0"/>
    <w:pPr>
      <w:wordWrap w:val="0"/>
      <w:spacing w:after="60"/>
      <w:jc w:val="center"/>
    </w:pPr>
    <w:rPr>
      <w:rFonts w:hint="eastAsia" w:eastAsia="Times New Roman"/>
      <w:sz w:val="24"/>
    </w:rPr>
  </w:style>
  <w:style w:type="paragraph" w:styleId="10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2">
    <w:name w:val="Normal (Web)"/>
    <w:basedOn w:val="1"/>
    <w:uiPriority w:val="0"/>
    <w:pPr>
      <w:spacing w:beforeAutospacing="1" w:afterAutospacing="1" w:line="357" w:lineRule="atLeast"/>
      <w:jc w:val="left"/>
      <w:textAlignment w:val="baseline"/>
    </w:pPr>
    <w:rPr>
      <w:rFonts w:ascii="Times New Roman" w:hAnsi="Times New Roman" w:eastAsia="宋体" w:cs="Times New Roman"/>
      <w:color w:val="000000"/>
      <w:sz w:val="24"/>
      <w:szCs w:val="20"/>
      <w:u w:color="000000"/>
      <w:lang w:val="en-US" w:eastAsia="zh-CN" w:bidi="ar-SA"/>
    </w:rPr>
  </w:style>
  <w:style w:type="paragraph" w:styleId="13">
    <w:name w:val="Body Text First Indent 2"/>
    <w:basedOn w:val="8"/>
    <w:next w:val="1"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D231FF-F546-44E0-B4D7-1F27862BC7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2566</Words>
  <Characters>2722</Characters>
  <Lines>0</Lines>
  <Paragraphs>54</Paragraphs>
  <TotalTime>0</TotalTime>
  <ScaleCrop>false</ScaleCrop>
  <LinksUpToDate>false</LinksUpToDate>
  <CharactersWithSpaces>2749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FreefrAnk</cp:lastModifiedBy>
  <cp:lastPrinted>2024-03-06T07:40:00Z</cp:lastPrinted>
  <dcterms:modified xsi:type="dcterms:W3CDTF">2025-12-26T09:48:02Z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82E296B83FDA451883C4EECEB1995594_13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