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ordWrap/>
        <w:spacing w:line="560" w:lineRule="exact"/>
        <w:ind w:left="0"/>
        <w:jc w:val="center"/>
        <w:rPr>
          <w:rFonts w:hint="eastAsia" w:ascii="宋体" w:hAnsi="宋体" w:cs="宋体"/>
          <w:b/>
          <w:bCs/>
          <w:sz w:val="44"/>
          <w:szCs w:val="44"/>
        </w:rPr>
      </w:pPr>
      <w:r>
        <w:rPr>
          <w:rFonts w:ascii="宋体" w:hAnsi="宋体" w:cs="宋体"/>
          <w:b/>
          <w:bCs/>
          <w:sz w:val="44"/>
          <w:szCs w:val="44"/>
        </w:rPr>
        <w:t>财政</w:t>
      </w:r>
      <w:r>
        <w:rPr>
          <w:rFonts w:hint="eastAsia" w:ascii="宋体" w:hAnsi="宋体" w:cs="宋体"/>
          <w:b/>
          <w:bCs/>
          <w:sz w:val="44"/>
          <w:szCs w:val="44"/>
          <w:lang w:eastAsia="zh-CN"/>
        </w:rPr>
        <w:t>部门</w:t>
      </w:r>
      <w:r>
        <w:rPr>
          <w:rFonts w:hint="eastAsia" w:ascii="宋体" w:hAnsi="宋体" w:cs="宋体"/>
          <w:b/>
          <w:bCs/>
          <w:sz w:val="44"/>
          <w:szCs w:val="44"/>
          <w:lang w:val="en-US" w:eastAsia="zh-CN"/>
        </w:rPr>
        <w:t>2024年度整体支出绩效</w:t>
      </w:r>
      <w:r>
        <w:rPr>
          <w:rFonts w:hint="eastAsia" w:ascii="宋体" w:hAnsi="宋体" w:cs="宋体"/>
          <w:b/>
          <w:bCs/>
          <w:sz w:val="44"/>
          <w:szCs w:val="44"/>
        </w:rPr>
        <w:t>自评报告</w:t>
      </w:r>
    </w:p>
    <w:p>
      <w:pPr>
        <w:widowControl w:val="0"/>
        <w:wordWrap/>
        <w:spacing w:line="560" w:lineRule="exact"/>
        <w:ind w:left="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市委市政府《关于全面落实预算绩效管理的实施意见》（石发﹝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文件精神，遵循“科学性、规范性、客观性和公正性”的原则，对</w:t>
      </w:r>
      <w:r>
        <w:rPr>
          <w:rFonts w:ascii="仿宋" w:hAnsi="仿宋" w:eastAsia="仿宋"/>
          <w:sz w:val="32"/>
          <w:szCs w:val="32"/>
        </w:rPr>
        <w:t>财政</w:t>
      </w:r>
      <w:r>
        <w:rPr>
          <w:rFonts w:hint="eastAsia" w:ascii="仿宋" w:hAnsi="仿宋" w:eastAsia="仿宋"/>
          <w:sz w:val="32"/>
          <w:szCs w:val="32"/>
          <w:lang w:eastAsia="zh-CN"/>
        </w:rPr>
        <w:t>部门</w:t>
      </w:r>
      <w:r>
        <w:rPr>
          <w:rFonts w:hint="eastAsia" w:ascii="仿宋" w:hAnsi="仿宋" w:eastAsia="仿宋"/>
          <w:sz w:val="32"/>
          <w:szCs w:val="32"/>
          <w:lang w:val="en-US" w:eastAsia="zh-CN"/>
        </w:rPr>
        <w:t>2024年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区财政局为区政府工作部门，机构规格正科级，机关行政编制5名，工勤编制1名。下属事业单位4个，分别是财源建设中心、财政投资评审中心、财政集中支付中心、项目投资中心。本部门合计编制数25人。</w:t>
      </w:r>
    </w:p>
    <w:p>
      <w:pPr>
        <w:widowControl w:val="0"/>
        <w:wordWrap/>
        <w:adjustRightInd w:val="0"/>
        <w:snapToGrid w:val="0"/>
        <w:spacing w:line="560" w:lineRule="exact"/>
        <w:ind w:left="0" w:right="0" w:firstLine="643" w:firstLineChars="200"/>
        <w:textAlignment w:val="auto"/>
        <w:outlineLvl w:val="9"/>
        <w:rPr>
          <w:rFonts w:ascii="仿宋" w:hAnsi="仿宋" w:eastAsia="仿宋" w:cs="楷体_GB2312"/>
          <w:b/>
          <w:bCs/>
          <w:sz w:val="32"/>
          <w:szCs w:val="32"/>
          <w:lang w:eastAsia="zh-CN"/>
        </w:rPr>
      </w:pPr>
      <w:r>
        <w:rPr>
          <w:rFonts w:hint="eastAsia" w:ascii="仿宋" w:hAnsi="仿宋" w:eastAsia="仿宋" w:cs="楷体_GB2312"/>
          <w:b/>
          <w:bCs/>
          <w:sz w:val="32"/>
          <w:szCs w:val="32"/>
        </w:rPr>
        <w:t>（二）</w:t>
      </w:r>
      <w:r>
        <w:rPr>
          <w:rFonts w:hint="eastAsia" w:ascii="仿宋" w:hAnsi="仿宋" w:eastAsia="仿宋" w:cs="楷体_GB2312"/>
          <w:b/>
          <w:bCs/>
          <w:sz w:val="32"/>
          <w:szCs w:val="32"/>
          <w:lang w:eastAsia="zh-CN"/>
        </w:rPr>
        <w:t>部门收支预决算情况</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2024年财政局全年预算收入（调整后）8718.06</w:t>
      </w:r>
      <w:r>
        <w:rPr>
          <w:rFonts w:hint="eastAsia" w:ascii="仿宋_GB2312" w:hAnsi="仿宋_GB2312" w:eastAsia="仿宋_GB2312" w:cs="仿宋_GB2312"/>
          <w:sz w:val="32"/>
          <w:szCs w:val="32"/>
          <w:lang w:val="en-US" w:eastAsia="zh-CN"/>
        </w:rPr>
        <w:t>万元，预算支出8718.06</w:t>
      </w:r>
      <w:r>
        <w:rPr>
          <w:rFonts w:hint="eastAsia" w:ascii="仿宋_GB2312" w:hAnsi="仿宋_GB2312" w:eastAsia="仿宋_GB2312" w:cs="仿宋_GB2312"/>
          <w:sz w:val="32"/>
          <w:szCs w:val="32"/>
          <w:lang w:val="en-US" w:eastAsia="zh-CN"/>
        </w:rPr>
        <w:t>万元，预算执行率100%。</w:t>
      </w:r>
    </w:p>
    <w:p>
      <w:pPr>
        <w:widowControl w:val="0"/>
        <w:wordWrap/>
        <w:adjustRightInd w:val="0"/>
        <w:snapToGrid w:val="0"/>
        <w:spacing w:line="560" w:lineRule="exact"/>
        <w:ind w:left="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坚持以习近平新时代中国特色社会主义思想为指导，全面贯彻党和中央</w:t>
      </w:r>
      <w:r>
        <w:rPr>
          <w:rFonts w:hint="eastAsia" w:ascii="仿宋_GB2312" w:hAnsi="仿宋_GB2312" w:eastAsia="仿宋_GB2312" w:cs="仿宋_GB2312"/>
          <w:sz w:val="32"/>
          <w:szCs w:val="32"/>
          <w:lang w:val="en-US" w:eastAsia="zh-CN"/>
        </w:rPr>
        <w:t>、省市经济工作会议精神，紧紧围绕省委市</w:t>
      </w:r>
      <w:r>
        <w:rPr>
          <w:rFonts w:hint="eastAsia" w:ascii="仿宋_GB2312" w:hAnsi="仿宋_GB2312" w:eastAsia="仿宋_GB2312" w:cs="仿宋_GB2312"/>
          <w:sz w:val="32"/>
          <w:szCs w:val="32"/>
          <w:lang w:val="en-US" w:eastAsia="zh-CN"/>
        </w:rPr>
        <w:t>区委全会具体部署和要求，坚持稳中求进工作总基调，构建新发展格局，以推动高质量发展为主题，落实提质增效的积极财政政策，扎实推进财税改革，着力化解财政风险，保持适度支出强度，增强财政政策可持续性，积极应对形势变化，开源节流、加强统筹、优化配置，推动财政事业行稳致远。</w:t>
      </w:r>
    </w:p>
    <w:p>
      <w:pPr>
        <w:widowControl w:val="0"/>
        <w:wordWrap/>
        <w:adjustRightInd w:val="0"/>
        <w:snapToGrid w:val="0"/>
        <w:spacing w:line="560" w:lineRule="exact"/>
        <w:ind w:left="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line="560" w:lineRule="exact"/>
        <w:ind w:left="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为确保2024年度预算项目绩效自评工作的顺利开展，由局办公室牵头，下设4个事业单位及相关业务科室共同参与，组成联合小组，全面负责部门自评工作。</w:t>
      </w:r>
    </w:p>
    <w:p>
      <w:pPr>
        <w:widowControl w:val="0"/>
        <w:numPr>
          <w:ilvl w:val="0"/>
          <w:numId w:val="1"/>
        </w:numPr>
        <w:wordWrap/>
        <w:spacing w:line="560" w:lineRule="exact"/>
        <w:ind w:left="642" w:right="0" w:firstLine="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楷体_GB2312"/>
          <w:b/>
          <w:bCs/>
          <w:sz w:val="32"/>
          <w:szCs w:val="32"/>
        </w:rPr>
      </w:pPr>
      <w:r>
        <w:rPr>
          <w:rFonts w:hint="eastAsia" w:ascii="仿宋_GB2312" w:hAnsi="仿宋_GB2312" w:eastAsia="仿宋_GB2312" w:cs="仿宋_GB2312"/>
          <w:sz w:val="32"/>
          <w:szCs w:val="32"/>
          <w:lang w:val="en-US" w:eastAsia="zh-CN"/>
        </w:rPr>
        <w:t>一是制定自评工作方案。为确保部门自评工作的顺利完成，依据《通知》的要求，自评工作小组拟定了部门自评工作方案，全面部署自评工作开展。二是召开自评工作培训会。对绩效评价的目的、自评工作要求、绩效自评表填写、自评工作程序及资料准备等进行培训，制定资料清单，建立自评工作微信群及时沟通自评工作的进展情况。三是开展资料收集、分析与评价。7月2日-7月18日，自评工作小组对18个区级预算项目《绩效自评表》逐一进行了填报审核，按要求不断修改完善，直至符合填报要求，具备评价基础。并按照《通知》要求，根据各项目实际情况，逐一对各项目预算执行、绩效指标等赋予分值及权重，并根据项目各项指标年初指标值与实际完成值的对比结果给予各项指标评分，汇总形成各项目绩效自评总得分。对于自评中发现的问题，自评工作小组予以全面记录反馈。根据分析结果，全面总结项目决策、管理、绩效情况，撰写项目绩效评价报告。</w:t>
      </w:r>
      <w:r>
        <w:rPr>
          <w:rFonts w:hint="eastAsia" w:ascii="仿宋" w:hAnsi="仿宋" w:eastAsia="仿宋" w:cs="楷体_GB2312"/>
          <w:b/>
          <w:bCs/>
          <w:sz w:val="32"/>
          <w:szCs w:val="32"/>
        </w:rPr>
        <w:t xml:space="preserve"> </w:t>
      </w:r>
    </w:p>
    <w:p>
      <w:pPr>
        <w:widowControl w:val="0"/>
        <w:wordWrap/>
        <w:spacing w:line="560" w:lineRule="exact"/>
        <w:ind w:left="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keepNext w:val="0"/>
        <w:keepLines w:val="0"/>
        <w:pageBreakBefore w:val="0"/>
        <w:widowControl w:val="0"/>
        <w:numPr>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仿宋" w:hAnsi="仿宋" w:eastAsia="仿宋" w:cs="楷体_GB2312"/>
          <w:b/>
          <w:bCs/>
          <w:sz w:val="32"/>
          <w:szCs w:val="32"/>
          <w:highlight w:val="none"/>
        </w:rPr>
      </w:pPr>
      <w:r>
        <w:rPr>
          <w:rFonts w:hint="eastAsia" w:ascii="仿宋" w:hAnsi="仿宋" w:eastAsia="仿宋" w:cs="楷体_GB2312"/>
          <w:b/>
          <w:bCs/>
          <w:sz w:val="32"/>
          <w:szCs w:val="32"/>
          <w:highlight w:val="none"/>
          <w:lang w:eastAsia="zh-CN"/>
        </w:rPr>
        <w:t>（一）总体绩效目标实现情况</w:t>
      </w: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 xml:space="preserve">坚持以习近平新时代中国特色社会主义思想为指导，全面贯彻党的二十大及二十届二中、三中全会和中央、省市经济工作会议精神，紧紧围绕省委、市委全会具体部署和要求，    </w:t>
      </w:r>
      <w:r>
        <w:rPr>
          <w:rFonts w:hint="eastAsia" w:ascii="仿宋_GB2312" w:hAnsi="仿宋_GB2312" w:eastAsia="仿宋_GB2312" w:cs="仿宋_GB2312"/>
          <w:kern w:val="2"/>
          <w:sz w:val="32"/>
          <w:szCs w:val="32"/>
          <w:lang w:val="en-US" w:eastAsia="zh-CN" w:bidi="ar-SA"/>
        </w:rPr>
        <w:t>坚持稳中求进工作总基调，完整、准确、全面贯彻新发展理念，加快构建新发展格局，着力推动高质量发展，以深化供给侧结构性改革为主线，以满足人民日益增长的美好生活需要为根本目的，不断落实积极的财政政策，加力提效，全力保障重点领域支出，不断优化财政支出结构，切实提高财政资金使用效益。</w:t>
      </w:r>
    </w:p>
    <w:p>
      <w:pPr>
        <w:pStyle w:val="7"/>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ascii="黑体" w:hAnsi="黑体" w:eastAsia="黑体"/>
          <w:sz w:val="32"/>
          <w:szCs w:val="32"/>
        </w:rPr>
      </w:pPr>
      <w:r>
        <w:rPr>
          <w:rFonts w:hint="eastAsia" w:ascii="仿宋" w:hAnsi="仿宋" w:eastAsia="仿宋" w:cs="楷体_GB2312"/>
          <w:b/>
          <w:bCs/>
          <w:sz w:val="32"/>
          <w:szCs w:val="32"/>
          <w:lang w:eastAsia="zh-CN"/>
        </w:rPr>
        <w:t>（二）分项绩效目标实现情况及指标分析</w:t>
      </w:r>
    </w:p>
    <w:p>
      <w:pPr>
        <w:pStyle w:val="8"/>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_GB2312" w:eastAsia="仿宋_GB2312" w:cs="仿宋_GB2312"/>
          <w:sz w:val="32"/>
          <w:szCs w:val="32"/>
        </w:rPr>
      </w:pPr>
      <w:r>
        <w:rPr>
          <w:rFonts w:hint="eastAsia" w:ascii="仿宋_GB2312" w:eastAsia="仿宋_GB2312" w:cs="仿宋_GB2312"/>
          <w:sz w:val="32"/>
          <w:szCs w:val="32"/>
        </w:rPr>
        <w:t>（一）</w:t>
      </w:r>
      <w:r>
        <w:rPr>
          <w:rFonts w:hint="eastAsia" w:ascii="仿宋_GB2312" w:eastAsia="仿宋_GB2312" w:cs="仿宋_GB2312"/>
          <w:sz w:val="32"/>
          <w:szCs w:val="32"/>
          <w:lang w:val="en-US" w:eastAsia="uk-UA"/>
        </w:rPr>
        <w:t>预算编制完整性：看财政部门是否将所有收支纳入预算，涵盖一般公共预算、政府性基金预算</w:t>
      </w:r>
      <w:r>
        <w:rPr>
          <w:rFonts w:hint="eastAsia" w:ascii="仿宋_GB2312" w:eastAsia="仿宋_GB2312" w:cs="仿宋_GB2312"/>
          <w:sz w:val="32"/>
          <w:szCs w:val="32"/>
        </w:rPr>
        <w:t>等。若存在应编未编的收支项目，说明完整性不足，影响财政统筹管理 。</w:t>
      </w:r>
    </w:p>
    <w:p>
      <w:pPr>
        <w:pStyle w:val="8"/>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_GB2312" w:eastAsia="仿宋_GB2312" w:cs="仿宋_GB2312"/>
          <w:sz w:val="32"/>
          <w:szCs w:val="32"/>
        </w:rPr>
      </w:pPr>
      <w:r>
        <w:rPr>
          <w:rFonts w:hint="eastAsia" w:ascii="仿宋_GB2312" w:eastAsia="仿宋_GB2312" w:cs="仿宋_GB2312"/>
          <w:sz w:val="32"/>
          <w:szCs w:val="32"/>
        </w:rPr>
        <w:t>（</w:t>
      </w:r>
      <w:r>
        <w:rPr>
          <w:rFonts w:hint="eastAsia" w:ascii="仿宋_GB2312" w:eastAsia="仿宋_GB2312" w:cs="仿宋_GB2312"/>
          <w:sz w:val="32"/>
          <w:szCs w:val="32"/>
          <w:lang w:eastAsia="zh-CN"/>
        </w:rPr>
        <w:t>二</w:t>
      </w:r>
      <w:r>
        <w:rPr>
          <w:rFonts w:hint="eastAsia" w:ascii="仿宋_GB2312" w:eastAsia="仿宋_GB2312" w:cs="仿宋_GB2312"/>
          <w:sz w:val="32"/>
          <w:szCs w:val="32"/>
        </w:rPr>
        <w:t>）预算编制准确性：考察收入预测、支出安排与实际的偏差。如税收收入预测偏差大，或基本支出、项目支出测算不合理，会造成资金闲置或短缺，反映预算编制科学性待提升 。</w:t>
      </w:r>
    </w:p>
    <w:p>
      <w:pPr>
        <w:pStyle w:val="8"/>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_GB2312" w:eastAsia="仿宋_GB2312" w:cs="仿宋_GB2312"/>
          <w:sz w:val="32"/>
          <w:szCs w:val="32"/>
        </w:rPr>
      </w:pPr>
      <w:r>
        <w:rPr>
          <w:rFonts w:hint="eastAsia" w:ascii="仿宋_GB2312" w:eastAsia="仿宋_GB2312" w:cs="仿宋_GB2312"/>
          <w:sz w:val="32"/>
          <w:szCs w:val="32"/>
        </w:rPr>
        <w:t>（</w:t>
      </w:r>
      <w:r>
        <w:rPr>
          <w:rFonts w:hint="eastAsia" w:ascii="仿宋_GB2312" w:eastAsia="仿宋_GB2312" w:cs="仿宋_GB2312"/>
          <w:sz w:val="32"/>
          <w:szCs w:val="32"/>
          <w:lang w:eastAsia="zh-CN"/>
        </w:rPr>
        <w:t>三</w:t>
      </w:r>
      <w:r>
        <w:rPr>
          <w:rFonts w:hint="eastAsia" w:ascii="仿宋_GB2312" w:eastAsia="仿宋_GB2312" w:cs="仿宋_GB2312"/>
          <w:sz w:val="32"/>
          <w:szCs w:val="32"/>
        </w:rPr>
        <w:t>）预算支出进度：关注财政资金下达、拨付的及时程度。支出进度慢，资金趴在账上，降低财政资金使用效率，像专项债资金若未按时投入项目，会延误基础设施建设等工作 。</w:t>
      </w:r>
    </w:p>
    <w:p>
      <w:pPr>
        <w:pStyle w:val="8"/>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_GB2312" w:eastAsia="仿宋_GB2312" w:cs="仿宋_GB2312"/>
          <w:sz w:val="32"/>
          <w:szCs w:val="32"/>
        </w:rPr>
      </w:pPr>
      <w:r>
        <w:rPr>
          <w:rFonts w:hint="eastAsia" w:ascii="仿宋_GB2312" w:eastAsia="仿宋_GB2312" w:cs="仿宋_GB2312"/>
          <w:sz w:val="32"/>
          <w:szCs w:val="32"/>
        </w:rPr>
        <w:t>（</w:t>
      </w:r>
      <w:r>
        <w:rPr>
          <w:rFonts w:hint="eastAsia" w:ascii="仿宋_GB2312" w:eastAsia="仿宋_GB2312" w:cs="仿宋_GB2312"/>
          <w:sz w:val="32"/>
          <w:szCs w:val="32"/>
          <w:lang w:eastAsia="zh-CN"/>
        </w:rPr>
        <w:t>四</w:t>
      </w:r>
      <w:r>
        <w:rPr>
          <w:rFonts w:hint="eastAsia" w:ascii="仿宋_GB2312" w:eastAsia="仿宋_GB2312" w:cs="仿宋_GB2312"/>
          <w:sz w:val="32"/>
          <w:szCs w:val="32"/>
        </w:rPr>
        <w:t>）国库集中支付管理：看是否严格执行相关制度，支付流程合规性、资金直达机制落实情况。若存在违规支付、资金截留等，破坏财政资金运行秩序，影响政策直达基层效果 。</w:t>
      </w:r>
    </w:p>
    <w:p>
      <w:pPr>
        <w:pStyle w:val="8"/>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_GB2312" w:eastAsia="仿宋_GB2312" w:cs="仿宋_GB2312"/>
          <w:sz w:val="32"/>
          <w:szCs w:val="32"/>
        </w:rPr>
      </w:pPr>
      <w:r>
        <w:rPr>
          <w:rFonts w:hint="eastAsia" w:ascii="仿宋_GB2312" w:eastAsia="仿宋_GB2312" w:cs="仿宋_GB2312"/>
          <w:sz w:val="32"/>
          <w:szCs w:val="32"/>
        </w:rPr>
        <w:t>（</w:t>
      </w:r>
      <w:r>
        <w:rPr>
          <w:rFonts w:hint="eastAsia" w:ascii="仿宋_GB2312" w:eastAsia="仿宋_GB2312" w:cs="仿宋_GB2312"/>
          <w:sz w:val="32"/>
          <w:szCs w:val="32"/>
          <w:lang w:eastAsia="zh-CN"/>
        </w:rPr>
        <w:t>五</w:t>
      </w:r>
      <w:r>
        <w:rPr>
          <w:rFonts w:hint="eastAsia" w:ascii="仿宋_GB2312" w:eastAsia="仿宋_GB2312" w:cs="仿宋_GB2312"/>
          <w:sz w:val="32"/>
          <w:szCs w:val="32"/>
        </w:rPr>
        <w:t>）绩效目标设定：检查部门项目绩效目标是否清晰、可衡量，与政策意图契合度。模糊、不合理的绩效目标，后续难评估资金成效，比如民生项目目标未明确服务人群、预期效果，无法判断资金价值 。</w:t>
      </w:r>
    </w:p>
    <w:p>
      <w:pPr>
        <w:pStyle w:val="8"/>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_GB2312" w:eastAsia="仿宋_GB2312" w:cs="仿宋_GB2312"/>
          <w:sz w:val="32"/>
          <w:szCs w:val="32"/>
        </w:rPr>
      </w:pPr>
      <w:r>
        <w:rPr>
          <w:rFonts w:hint="eastAsia" w:ascii="仿宋_GB2312" w:eastAsia="仿宋_GB2312" w:cs="仿宋_GB2312"/>
          <w:sz w:val="32"/>
          <w:szCs w:val="32"/>
        </w:rPr>
        <w:t>（</w:t>
      </w:r>
      <w:r>
        <w:rPr>
          <w:rFonts w:hint="eastAsia" w:ascii="仿宋_GB2312" w:eastAsia="仿宋_GB2312" w:cs="仿宋_GB2312"/>
          <w:sz w:val="32"/>
          <w:szCs w:val="32"/>
          <w:lang w:eastAsia="zh-CN"/>
        </w:rPr>
        <w:t>六</w:t>
      </w:r>
      <w:r>
        <w:rPr>
          <w:rFonts w:hint="eastAsia" w:ascii="仿宋_GB2312" w:eastAsia="仿宋_GB2312" w:cs="仿宋_GB2312"/>
          <w:sz w:val="32"/>
          <w:szCs w:val="32"/>
        </w:rPr>
        <w:t>）绩效评价开展：考量评价覆盖面、深度，是否对重大项目、重点民生资金全面评价，评价结果运用是否关联预算调整。若评价走过场，或结果未用于压减低效支出、优化预算，绩效管理就流于形式 。</w:t>
      </w:r>
    </w:p>
    <w:p>
      <w:pPr>
        <w:pStyle w:val="8"/>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_GB2312" w:eastAsia="仿宋_GB2312" w:cs="仿宋_GB2312"/>
          <w:sz w:val="32"/>
          <w:szCs w:val="32"/>
        </w:rPr>
      </w:pPr>
      <w:r>
        <w:rPr>
          <w:rFonts w:hint="eastAsia" w:ascii="仿宋_GB2312" w:eastAsia="仿宋_GB2312" w:cs="仿宋_GB2312"/>
          <w:sz w:val="32"/>
          <w:szCs w:val="32"/>
        </w:rPr>
        <w:t>（</w:t>
      </w:r>
      <w:r>
        <w:rPr>
          <w:rFonts w:hint="eastAsia" w:ascii="仿宋_GB2312" w:eastAsia="仿宋_GB2312" w:cs="仿宋_GB2312"/>
          <w:sz w:val="32"/>
          <w:szCs w:val="32"/>
          <w:lang w:eastAsia="zh-CN"/>
        </w:rPr>
        <w:t>七</w:t>
      </w:r>
      <w:r>
        <w:rPr>
          <w:rFonts w:hint="eastAsia" w:ascii="仿宋_GB2312" w:eastAsia="仿宋_GB2312" w:cs="仿宋_GB2312"/>
          <w:sz w:val="32"/>
          <w:szCs w:val="32"/>
        </w:rPr>
        <w:t>）财政资金监督：查看对专项资金、民生资金等的监管频次、力度，是否及时发现挪用、骗取等问题。监督缺位会导致财政资金被违规使用，损害公共利益，如扶贫资金被挪用，影响脱贫攻坚成效 。</w:t>
      </w:r>
    </w:p>
    <w:p>
      <w:pPr>
        <w:pStyle w:val="8"/>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_GB2312" w:eastAsia="仿宋_GB2312" w:cs="仿宋_GB2312"/>
          <w:sz w:val="32"/>
          <w:szCs w:val="32"/>
        </w:rPr>
      </w:pPr>
      <w:r>
        <w:rPr>
          <w:rFonts w:hint="eastAsia" w:ascii="仿宋_GB2312" w:eastAsia="仿宋_GB2312" w:cs="仿宋_GB2312"/>
          <w:sz w:val="32"/>
          <w:szCs w:val="32"/>
        </w:rPr>
        <w:t>（</w:t>
      </w:r>
      <w:r>
        <w:rPr>
          <w:rFonts w:hint="eastAsia" w:ascii="仿宋_GB2312" w:eastAsia="仿宋_GB2312" w:cs="仿宋_GB2312"/>
          <w:sz w:val="32"/>
          <w:szCs w:val="32"/>
          <w:lang w:eastAsia="zh-CN"/>
        </w:rPr>
        <w:t>八</w:t>
      </w:r>
      <w:r>
        <w:rPr>
          <w:rFonts w:hint="eastAsia" w:ascii="仿宋_GB2312" w:eastAsia="仿宋_GB2312" w:cs="仿宋_GB2312"/>
          <w:sz w:val="32"/>
          <w:szCs w:val="32"/>
        </w:rPr>
        <w:t>）内控制度执行：关注财政部门内部岗位制衡、风险防控情况，像预算编制与执行、资金拨付与监督等岗位是否有效分离，内控制度失效易引发廉政风险和管理漏洞 。</w:t>
      </w:r>
    </w:p>
    <w:p>
      <w:pPr>
        <w:keepNext w:val="0"/>
        <w:keepLines w:val="0"/>
        <w:pageBreakBefore w:val="0"/>
        <w:widowControl w:val="0"/>
        <w:numPr>
          <w:ilvl w:val="0"/>
          <w:numId w:val="0"/>
        </w:numPr>
        <w:kinsoku/>
        <w:wordWrap/>
        <w:overflowPunct/>
        <w:topLinePunct w:val="0"/>
        <w:autoSpaceDE/>
        <w:autoSpaceDN/>
        <w:adjustRightInd w:val="0"/>
        <w:snapToGrid w:val="0"/>
        <w:spacing w:line="580" w:lineRule="exact"/>
        <w:ind w:leftChars="200"/>
        <w:rPr>
          <w:rFonts w:ascii="黑体" w:hAnsi="黑体" w:eastAsia="黑体"/>
          <w:sz w:val="32"/>
          <w:szCs w:val="32"/>
        </w:rPr>
      </w:pPr>
      <w:r>
        <w:rPr>
          <w:rFonts w:hint="eastAsia" w:ascii="黑体" w:hAnsi="黑体" w:eastAsia="黑体"/>
          <w:sz w:val="32"/>
          <w:szCs w:val="32"/>
          <w:lang w:val="en-US" w:eastAsia="zh-CN"/>
        </w:rPr>
        <w:t xml:space="preserve">  </w:t>
      </w: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根据部门职责定位和各项工作履职情况进行综合评价，满分100分。部门整体支出综合绩效评价分为4个等级：得分≥85分为优秀；75≤得分＜85分为良好；60≤得分＜75分为一般；得分＜60分为较差。</w:t>
      </w:r>
      <w:r>
        <w:rPr>
          <w:rFonts w:hint="eastAsia" w:ascii="仿宋_GB2312" w:hAnsi="仿宋_GB2312" w:eastAsia="仿宋_GB2312" w:cs="仿宋_GB2312"/>
          <w:b w:val="0"/>
          <w:bCs w:val="0"/>
          <w:sz w:val="32"/>
          <w:szCs w:val="32"/>
          <w:lang w:val="en-US" w:eastAsia="zh-CN"/>
        </w:rPr>
        <w:t>财政局（部门）所有项目得分均在85分以上。财政局（部门）整体支出综合绩效评级为</w:t>
      </w:r>
      <w:r>
        <w:rPr>
          <w:rFonts w:hint="eastAsia" w:ascii="黑体" w:hAnsi="黑体" w:eastAsia="黑体" w:cs="黑体"/>
          <w:b/>
          <w:bCs/>
          <w:sz w:val="32"/>
          <w:szCs w:val="32"/>
          <w:lang w:val="en-US" w:eastAsia="zh-CN"/>
        </w:rPr>
        <w:t>优秀</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spacing w:line="58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default" w:ascii="仿宋_GB2312" w:hAnsi="仿宋_GB2312" w:eastAsia="仿宋_GB2312" w:cs="仿宋_GB2312"/>
          <w:sz w:val="32"/>
          <w:szCs w:val="32"/>
          <w:lang w:val="en-US" w:eastAsia="zh-CN"/>
        </w:rPr>
      </w:pPr>
      <w:r>
        <w:rPr>
          <w:rFonts w:hint="eastAsia" w:ascii="仿宋" w:hAnsi="仿宋" w:eastAsia="仿宋"/>
          <w:b/>
          <w:bCs/>
          <w:sz w:val="32"/>
          <w:szCs w:val="32"/>
        </w:rPr>
        <w:t>（一）存在的主要问题</w:t>
      </w:r>
      <w:r>
        <w:rPr>
          <w:rFonts w:hint="eastAsia" w:ascii="仿宋" w:hAnsi="仿宋" w:eastAsia="仿宋"/>
          <w:b/>
          <w:bCs/>
          <w:sz w:val="32"/>
          <w:szCs w:val="32"/>
          <w:lang w:eastAsia="zh-CN"/>
        </w:rPr>
        <w:t>：</w:t>
      </w:r>
      <w:r>
        <w:rPr>
          <w:rFonts w:hint="eastAsia" w:ascii="仿宋_GB2312" w:hAnsi="仿宋_GB2312" w:eastAsia="仿宋_GB2312" w:cs="仿宋_GB2312"/>
          <w:sz w:val="32"/>
          <w:szCs w:val="32"/>
          <w:lang w:val="en-US" w:eastAsia="zh-CN"/>
        </w:rPr>
        <w:t>一是部分人员绩效理念树立的不够牢固；二是部分绩效目标指标设定不够准确全面；三是存在业财融合不够紧密的现象。</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pPr>
      <w:r>
        <w:rPr>
          <w:rFonts w:hint="eastAsia" w:ascii="仿宋" w:hAnsi="仿宋" w:eastAsia="仿宋"/>
          <w:b/>
          <w:bCs/>
          <w:sz w:val="32"/>
          <w:szCs w:val="32"/>
          <w:lang w:eastAsia="zh-CN"/>
        </w:rPr>
        <w:t>（</w:t>
      </w:r>
      <w:r>
        <w:rPr>
          <w:rFonts w:hint="eastAsia" w:ascii="仿宋" w:hAnsi="仿宋" w:eastAsia="仿宋"/>
          <w:b/>
          <w:bCs/>
          <w:sz w:val="32"/>
          <w:szCs w:val="32"/>
          <w:lang w:val="en-US" w:eastAsia="zh-CN"/>
        </w:rPr>
        <w:t>二）下步工作：</w:t>
      </w:r>
      <w:r>
        <w:rPr>
          <w:rFonts w:hint="eastAsia" w:ascii="仿宋_GB2312" w:hAnsi="仿宋_GB2312" w:eastAsia="仿宋_GB2312" w:cs="仿宋_GB2312"/>
          <w:sz w:val="32"/>
          <w:szCs w:val="32"/>
          <w:lang w:val="en-US" w:eastAsia="zh-CN"/>
        </w:rPr>
        <w:t>一是坚持“花钱必问效、无效必问责”，督促全体人员树立绩效理念，同时，持续优化预算安排，大力压价部门三公经费支出，树牢政府应当过紧日子的思想；二是持续加大学习力度，积极参加绩效管理培训，提升办公室及业务股室人员整体能力，科学设定绩效目标及指标值，使其能够更加全面准确可量化，具有操作性；三是办公室与业务股室要加强对接，相互学习，按照既定的绩效目标，对安排每一笔经费要认真组织支出工作，使其发挥财政资金最大效益，确保全部实现绩效目标。</w:t>
      </w:r>
    </w:p>
    <w:p>
      <w:pPr>
        <w:keepNext w:val="0"/>
        <w:keepLines w:val="0"/>
        <w:pageBreakBefore w:val="0"/>
        <w:widowControl w:val="0"/>
        <w:numPr>
          <w:ilvl w:val="0"/>
          <w:numId w:val="0"/>
        </w:numPr>
        <w:kinsoku/>
        <w:wordWrap/>
        <w:overflowPunct/>
        <w:topLinePunct w:val="0"/>
        <w:autoSpaceDE/>
        <w:autoSpaceDN/>
        <w:adjustRightInd w:val="0"/>
        <w:snapToGrid w:val="0"/>
        <w:spacing w:line="580" w:lineRule="exact"/>
        <w:ind w:leftChars="200"/>
        <w:rPr>
          <w:rFonts w:hint="default" w:ascii="仿宋" w:hAnsi="仿宋" w:eastAsia="仿宋" w:cs="楷体_GB2312"/>
          <w:b/>
          <w:bCs/>
          <w:sz w:val="32"/>
          <w:szCs w:val="32"/>
          <w:lang w:val="en-US" w:eastAsia="zh-CN"/>
        </w:rPr>
      </w:pPr>
      <w:bookmarkStart w:id="0" w:name="_GoBack"/>
      <w:bookmarkEnd w:id="0"/>
    </w:p>
    <w:p>
      <w:pPr>
        <w:pStyle w:val="2"/>
        <w:rPr>
          <w:rFonts w:hint="default"/>
          <w:lang w:val="en-US" w:eastAsia="zh-CN"/>
        </w:rPr>
      </w:pPr>
    </w:p>
    <w:p>
      <w:pPr>
        <w:rPr>
          <w:b/>
          <w:bCs/>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方正仿宋_GBK">
    <w:altName w:val="微软雅黑"/>
    <w:panose1 w:val="02000000000000000000"/>
    <w:charset w:val="86"/>
    <w:family w:val="roman"/>
    <w:pitch w:val="default"/>
    <w:sig w:usb0="00000000" w:usb1="00000000"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modern"/>
    <w:pitch w:val="default"/>
    <w:sig w:usb0="00000000" w:usb1="00000000" w:usb2="00082016" w:usb3="00000000" w:csb0="00040001" w:csb1="00000000"/>
  </w:font>
  <w:font w:name="方正小标宋简体">
    <w:panose1 w:val="02010601030101010101"/>
    <w:charset w:val="86"/>
    <w:family w:val="auto"/>
    <w:pitch w:val="default"/>
    <w:sig w:usb0="00000001" w:usb1="080E0000" w:usb2="00000000" w:usb3="00000000" w:csb0="00040000" w:csb1="00000000"/>
  </w:font>
  <w:font w:name="方正仿宋_GBK">
    <w:altName w:val="微软雅黑"/>
    <w:panose1 w:val="02000000000000000000"/>
    <w:charset w:val="86"/>
    <w:family w:val="swiss"/>
    <w:pitch w:val="default"/>
    <w:sig w:usb0="00000000" w:usb1="00000000" w:usb2="00082016" w:usb3="00000000" w:csb0="00040001" w:csb1="00000000"/>
  </w:font>
  <w:font w:name="方正仿宋_GBK">
    <w:altName w:val="微软雅黑"/>
    <w:panose1 w:val="02000000000000000000"/>
    <w:charset w:val="86"/>
    <w:family w:val="decorative"/>
    <w:pitch w:val="default"/>
    <w:sig w:usb0="00000000" w:usb1="00000000" w:usb2="00082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85371521">
    <w:nsid w:val="0516AA81"/>
    <w:multiLevelType w:val="singleLevel"/>
    <w:tmpl w:val="0516AA81"/>
    <w:lvl w:ilvl="0" w:tentative="1">
      <w:start w:val="2"/>
      <w:numFmt w:val="chineseCounting"/>
      <w:suff w:val="nothing"/>
      <w:lvlText w:val="（%1）"/>
      <w:lvlJc w:val="left"/>
      <w:pPr>
        <w:ind w:left="642" w:firstLine="0"/>
      </w:pPr>
      <w:rPr>
        <w:rFonts w:hint="eastAsia"/>
      </w:rPr>
    </w:lvl>
  </w:abstractNum>
  <w:num w:numId="1">
    <w:abstractNumId w:val="853715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93204D"/>
    <w:rsid w:val="00F74564"/>
    <w:rsid w:val="0A8F5CFB"/>
    <w:rsid w:val="0E596C2E"/>
    <w:rsid w:val="10E35F88"/>
    <w:rsid w:val="2F93204D"/>
    <w:rsid w:val="34180C4A"/>
    <w:rsid w:val="46B25FC2"/>
    <w:rsid w:val="4E257DC6"/>
    <w:rsid w:val="544F6CFC"/>
    <w:rsid w:val="56E5185F"/>
    <w:rsid w:val="58847E51"/>
    <w:rsid w:val="6ACA6E27"/>
    <w:rsid w:val="6F8512BA"/>
    <w:rsid w:val="73177E90"/>
    <w:rsid w:val="7C000C2F"/>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qFormat="1"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index heading"/>
    <w:basedOn w:val="1"/>
    <w:next w:val="3"/>
    <w:qFormat/>
    <w:uiPriority w:val="0"/>
    <w:rPr>
      <w:rFonts w:ascii="Cambria" w:hAnsi="Cambria" w:eastAsia="宋体"/>
      <w:b/>
      <w:bCs/>
    </w:rPr>
  </w:style>
  <w:style w:type="paragraph" w:styleId="3">
    <w:name w:val="index 1"/>
    <w:basedOn w:val="1"/>
    <w:next w:val="1"/>
    <w:qFormat/>
    <w:uiPriority w:val="0"/>
  </w:style>
  <w:style w:type="paragraph" w:styleId="4">
    <w:name w:val="footer"/>
    <w:basedOn w:val="1"/>
    <w:qFormat/>
    <w:uiPriority w:val="0"/>
    <w:pPr>
      <w:tabs>
        <w:tab w:val="center" w:pos="4153"/>
        <w:tab w:val="right" w:pos="8306"/>
      </w:tabs>
      <w:snapToGrid w:val="0"/>
      <w:jc w:val="left"/>
    </w:pPr>
    <w:rPr>
      <w:sz w:val="18"/>
    </w:rPr>
  </w:style>
  <w:style w:type="paragraph" w:customStyle="1" w:styleId="7">
    <w:name w:val="插入文本样式-插入总体目标文件"/>
    <w:basedOn w:val="1"/>
    <w:qFormat/>
    <w:uiPriority w:val="0"/>
    <w:pPr>
      <w:spacing w:line="500" w:lineRule="exact"/>
      <w:ind w:firstLine="560"/>
    </w:pPr>
    <w:rPr>
      <w:rFonts w:ascii="Times New Roman" w:hAnsi="Times New Roman" w:eastAsia="方正仿宋_GBK" w:cs="Times New Roman"/>
      <w:sz w:val="28"/>
      <w:szCs w:val="24"/>
      <w:lang w:val="en-US" w:eastAsia="uk-UA" w:bidi="ar-SA"/>
    </w:rPr>
  </w:style>
  <w:style w:type="paragraph" w:customStyle="1" w:styleId="8">
    <w:name w:val="插入文本样式-插入职责分类绩效目标文件"/>
    <w:basedOn w:val="1"/>
    <w:qFormat/>
    <w:uiPriority w:val="0"/>
    <w:pPr>
      <w:spacing w:line="500" w:lineRule="exact"/>
      <w:ind w:firstLine="560"/>
    </w:pPr>
    <w:rPr>
      <w:rFonts w:ascii="Times New Roman" w:hAnsi="Times New Roman" w:eastAsia="方正仿宋_GBK" w:cs="Times New Roman"/>
      <w:sz w:val="28"/>
      <w:szCs w:val="24"/>
      <w:lang w:val="en-US" w:eastAsia="uk-UA"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2025-07-14T06:55:00Z</dcterms:created>
  <dc:creator>Administrator</dc:creator>
  <cp:lastModifiedBy>Administrator</cp:lastModifiedBy>
  <dcterms:modified xsi:type="dcterms:W3CDTF">2025-07-14T08:24:13Z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