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4247D5">
      <w:pPr>
        <w:adjustRightInd w:val="0"/>
        <w:snapToGrid w:val="0"/>
        <w:spacing w:line="560" w:lineRule="exact"/>
        <w:rPr>
          <w:rFonts w:ascii="黑体" w:hAnsi="黑体" w:eastAsia="黑体"/>
          <w:sz w:val="32"/>
          <w:szCs w:val="32"/>
        </w:rPr>
      </w:pPr>
      <w:bookmarkStart w:id="0" w:name="_GoBack"/>
      <w:bookmarkEnd w:id="0"/>
      <w:r>
        <w:rPr>
          <w:rFonts w:hint="eastAsia" w:ascii="黑体" w:hAnsi="黑体" w:eastAsia="黑体"/>
          <w:sz w:val="32"/>
          <w:szCs w:val="32"/>
        </w:rPr>
        <w:t>附件4</w:t>
      </w:r>
    </w:p>
    <w:p w14:paraId="26214DEC">
      <w:pPr>
        <w:spacing w:line="560" w:lineRule="exact"/>
        <w:jc w:val="center"/>
        <w:rPr>
          <w:rFonts w:ascii="宋体" w:hAnsi="宋体" w:cs="宋体"/>
          <w:b/>
          <w:bCs/>
          <w:sz w:val="44"/>
          <w:szCs w:val="44"/>
        </w:rPr>
      </w:pPr>
    </w:p>
    <w:p w14:paraId="1563A0A0">
      <w:pPr>
        <w:spacing w:line="560" w:lineRule="exact"/>
        <w:jc w:val="center"/>
        <w:rPr>
          <w:rFonts w:ascii="宋体" w:hAnsi="宋体" w:cs="宋体"/>
          <w:b/>
          <w:bCs/>
          <w:sz w:val="44"/>
          <w:szCs w:val="44"/>
        </w:rPr>
      </w:pPr>
      <w:r>
        <w:rPr>
          <w:rFonts w:hint="eastAsia" w:ascii="宋体" w:hAnsi="宋体" w:cs="宋体"/>
          <w:b/>
          <w:bCs/>
          <w:sz w:val="44"/>
          <w:szCs w:val="44"/>
        </w:rPr>
        <w:t>石家庄市井陉矿区凤山镇人民政府</w:t>
      </w:r>
    </w:p>
    <w:p w14:paraId="2F89DCDE">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3654FC21">
      <w:pPr>
        <w:spacing w:line="560" w:lineRule="exact"/>
        <w:jc w:val="center"/>
        <w:rPr>
          <w:rFonts w:ascii="华文楷体" w:eastAsia="华文楷体"/>
          <w:sz w:val="32"/>
          <w:szCs w:val="32"/>
        </w:rPr>
      </w:pPr>
    </w:p>
    <w:p w14:paraId="214DD09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号）文件精神，遵循“科学性、规范性、客观性和公正性”的原则，对凤山镇人民政府202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19119D2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B95DB5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59E1C9D">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1.主要职能。</w:t>
      </w:r>
    </w:p>
    <w:p w14:paraId="760502FC">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D0B735C">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（2）讨论和决定本镇经济建设、整治建设、文化建设、社会建设、生态文明建设和党的建设以及乡镇振兴中的重大问题。</w:t>
      </w:r>
    </w:p>
    <w:p w14:paraId="506EA88F">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（3）组织召开本级人民代表大会，充分行使重大事项决定权、监督权和任免权，做好人大代表工作，联系选民、反映群众意见和要求。</w:t>
      </w:r>
    </w:p>
    <w:p w14:paraId="06C21E64">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4）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C2E29C7">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（5）坚持党管武装的根本原则和制度，协调各方力量，对镇人民武装工作实行统一领导。</w:t>
      </w:r>
    </w:p>
    <w:p w14:paraId="06795F00">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（6）负责对干部的教育、培训、选拔、考核和监督工作。</w:t>
      </w:r>
    </w:p>
    <w:p w14:paraId="31A8B913">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（7）领导本镇的基层治理，加强社会主义民主法治建设和精神文明建设，加强社会治安综合治理，做好应急管理、生态环保、乡村振兴、民生保障、脱贫致富、民主宗教、防范邪教等工作。</w:t>
      </w:r>
    </w:p>
    <w:p w14:paraId="3D9E724D">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8）保护社会主义的全民所有的财产和劳动群众集体所有的财产，保护公民私人所有的合法财产，维护社会秩序，保障公民的人身权利、民主权利和其他权利。保护各种经济组织的合法权益。保障少数民族的合法的权利和利益，尊重少数民族的风俗习惯。保障宪法和法律赋予妇女的男女平等、同工同酬和婚姻自由等各项权利。</w:t>
      </w:r>
    </w:p>
    <w:p w14:paraId="34414972">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（9）承办上级党委、人大、政府交办的其他事项</w:t>
      </w:r>
      <w:r>
        <w:rPr>
          <w:rFonts w:hint="eastAsia" w:ascii="仿宋" w:hAnsi="仿宋" w:eastAsia="仿宋"/>
          <w:sz w:val="32"/>
          <w:szCs w:val="32"/>
        </w:rPr>
        <w:t>。</w:t>
      </w:r>
    </w:p>
    <w:p w14:paraId="1C2B335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2．机构情况。</w:t>
      </w:r>
    </w:p>
    <w:tbl>
      <w:tblPr>
        <w:tblStyle w:val="8"/>
        <w:tblW w:w="88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59"/>
        <w:gridCol w:w="2001"/>
        <w:gridCol w:w="2131"/>
        <w:gridCol w:w="2506"/>
      </w:tblGrid>
      <w:tr w14:paraId="23472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259" w:type="dxa"/>
            <w:vAlign w:val="center"/>
          </w:tcPr>
          <w:p w14:paraId="1A3FDDA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单位名称</w:t>
            </w:r>
          </w:p>
        </w:tc>
        <w:tc>
          <w:tcPr>
            <w:tcW w:w="2001" w:type="dxa"/>
            <w:vAlign w:val="center"/>
          </w:tcPr>
          <w:p w14:paraId="1F9607B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单位性质</w:t>
            </w:r>
          </w:p>
        </w:tc>
        <w:tc>
          <w:tcPr>
            <w:tcW w:w="2131" w:type="dxa"/>
            <w:vAlign w:val="center"/>
          </w:tcPr>
          <w:p w14:paraId="5A7E99C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单位规格</w:t>
            </w:r>
          </w:p>
        </w:tc>
        <w:tc>
          <w:tcPr>
            <w:tcW w:w="2506" w:type="dxa"/>
            <w:vAlign w:val="center"/>
          </w:tcPr>
          <w:p w14:paraId="11A9F09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经费保障形势</w:t>
            </w:r>
          </w:p>
        </w:tc>
      </w:tr>
      <w:tr w14:paraId="1B5F1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259" w:type="dxa"/>
          </w:tcPr>
          <w:p w14:paraId="632810C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石家庄市井陉矿区凤山镇人民政府</w:t>
            </w:r>
          </w:p>
        </w:tc>
        <w:tc>
          <w:tcPr>
            <w:tcW w:w="2001" w:type="dxa"/>
            <w:vAlign w:val="center"/>
          </w:tcPr>
          <w:p w14:paraId="6A033D8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行政</w:t>
            </w:r>
          </w:p>
        </w:tc>
        <w:tc>
          <w:tcPr>
            <w:tcW w:w="2131" w:type="dxa"/>
            <w:vAlign w:val="center"/>
          </w:tcPr>
          <w:p w14:paraId="1F7CD4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c>
          <w:tcPr>
            <w:tcW w:w="2506" w:type="dxa"/>
            <w:vAlign w:val="center"/>
          </w:tcPr>
          <w:p w14:paraId="5AD66AA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财政拨款</w:t>
            </w:r>
          </w:p>
        </w:tc>
      </w:tr>
    </w:tbl>
    <w:p w14:paraId="561D675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3．人员情况，包括当年变动情况及原因。</w:t>
      </w:r>
    </w:p>
    <w:p w14:paraId="76AB573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截止到2024年12月在职35人。</w:t>
      </w:r>
    </w:p>
    <w:p w14:paraId="112C5CD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4、资产情况，包括当年变动情况及原因。</w:t>
      </w:r>
    </w:p>
    <w:p w14:paraId="725BF9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2024年年初资产603.53万元，年末607.24万元。2024年冬奥会调拨打印机2台、电脑2台、办公桌2张，人社局调拨打印一体机1台、高拍仪1台、电脑2台共计3.71万元。</w:t>
      </w:r>
    </w:p>
    <w:p w14:paraId="72DF003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265AAC18">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cs="仿宋"/>
          <w:sz w:val="32"/>
          <w:szCs w:val="32"/>
        </w:rPr>
        <w:t>2024年部门年初预算收入3053.06万元，2024年部门预算支出3053.06万元，其中：基本支出774.09万元，项目支出2278.97万元。2024年实际收入2529.51万元,实际支出2529.51万元。其中：基本支出695.58万元，项目支出1833.93万元</w:t>
      </w:r>
      <w:r>
        <w:rPr>
          <w:rFonts w:hint="eastAsia" w:ascii="仿宋_GB2312" w:hAnsi="仿宋" w:eastAsia="仿宋_GB2312"/>
          <w:sz w:val="32"/>
          <w:szCs w:val="32"/>
        </w:rPr>
        <w:t>。</w:t>
      </w:r>
    </w:p>
    <w:p w14:paraId="03CA5E9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1D3487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抓党建、夯基础，不断加强基层建设。通过抓党建，统一思想、明确目标、合理规划、服务大局，正值调研中，全镇上下一个声音，无任何杂音。一是加强理论学习。坚持把学习习近平新时代中国特色社会主义思想和党的二十大精神作为首要政治任务，不断推进理论学习常态化制度化。同时以主题教育为契机，不断开展理论学习、推动干事创业、抓好检视整改。二是强化意识形态。深入学习贯彻党的二十大精神和中央、省市区重要会议精神，组织开展</w:t>
      </w:r>
      <w:r>
        <w:rPr>
          <w:rFonts w:hint="eastAsia" w:ascii="仿宋" w:hAnsi="仿宋" w:eastAsia="仿宋"/>
          <w:sz w:val="32"/>
          <w:szCs w:val="32"/>
          <w:lang w:eastAsia="zh-CN"/>
        </w:rPr>
        <w:t>理论学习中心组</w:t>
      </w:r>
      <w:r>
        <w:rPr>
          <w:rFonts w:hint="eastAsia" w:ascii="仿宋" w:hAnsi="仿宋" w:eastAsia="仿宋"/>
          <w:sz w:val="32"/>
          <w:szCs w:val="32"/>
        </w:rPr>
        <w:t>学习12次。开展理论宣讲进社区、进企业、进百姓万家活动60余场次，受众2000余人次。三是打响党建品牌。今年共谋划9个社区党建惠民项目11项，目前已全部完工。</w:t>
      </w:r>
    </w:p>
    <w:p w14:paraId="0A5B965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抓班子、带队伍，不断转变工作作风。抓班子带队伍，锤炼作风，激励斗志，好的班子、好的队伍心往一处想，劲往一处使，才能干成各项事业。一是加强领导班子建设。二是加强社区班子建设。带领社区两委班子脚踏实地干事，让老百姓过上好日子，想方设法发展村集体经济，提高服务群众能力。三是加强党员队伍建设。狠抓党员干部教育管理，开展党务知识和党员干部理论培训，创新学习方式，运用网络教育平台、远教站点等形式，不断提高党员干部整体素质。</w:t>
      </w:r>
    </w:p>
    <w:p w14:paraId="33C11F3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抓载体、重实干，不断推进和谐发展。一是求突破、促发展。农业产业谋划实现突破。二是显特色、增村财。镇域所辖9个社区，根据自身资源禀赋，探索村集体经济发展方向，挖掘适合社区发展的产业。三是提镇味，聚人气。打造商业风貌街。改造提升凤中路商贸房基础设施，吸引外来人流客流，全面规划、精心设计，打造凤山特色商业样板。四是解难题、保稳定。本着“小事不出村、大事不出镇、矛盾不上交”原则，抓好春节、两会期间等重点敏感节点稳控工作，最大限度把矛盾隐患吸附在当地、化解在基层、解决在萌芽状态。</w:t>
      </w:r>
    </w:p>
    <w:p w14:paraId="4111646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247BAE5">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1A104BA6">
      <w:pPr>
        <w:spacing w:line="560" w:lineRule="exact"/>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在区委区政府的正确领导下，</w:t>
      </w:r>
      <w:r>
        <w:rPr>
          <w:rFonts w:hint="eastAsia" w:ascii="仿宋" w:hAnsi="仿宋" w:eastAsia="仿宋"/>
          <w:sz w:val="32"/>
          <w:szCs w:val="32"/>
        </w:rPr>
        <w:t>我镇财政所联合各业务科室组成联合小组，自行开展部门自评工作全面负责部门自评工作，具体包括制定工作方案、进行任务布置及辅导、收集分析相关资料、审核项目支出绩效自评表、撰写绩效评价报告等。</w:t>
      </w:r>
    </w:p>
    <w:p w14:paraId="59763F7A">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0B01998">
      <w:pPr>
        <w:spacing w:line="560" w:lineRule="exact"/>
        <w:ind w:firstLine="848" w:firstLineChars="265"/>
        <w:rPr>
          <w:rFonts w:ascii="楷体" w:hAnsi="楷体" w:eastAsia="楷体" w:cs="楷体_GB2312"/>
          <w:bCs/>
          <w:sz w:val="32"/>
          <w:szCs w:val="32"/>
        </w:rPr>
      </w:pPr>
      <w:r>
        <w:rPr>
          <w:rFonts w:hint="eastAsia" w:ascii="仿宋" w:hAnsi="仿宋" w:eastAsia="仿宋" w:cs="楷体_GB2312"/>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357BA69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9CF8FF4">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91436D0">
      <w:pPr>
        <w:spacing w:line="560" w:lineRule="exact"/>
        <w:ind w:firstLine="800" w:firstLineChars="250"/>
        <w:rPr>
          <w:rFonts w:ascii="仿宋" w:hAnsi="仿宋" w:eastAsia="仿宋"/>
          <w:sz w:val="32"/>
          <w:szCs w:val="32"/>
        </w:rPr>
      </w:pPr>
      <w:r>
        <w:rPr>
          <w:rFonts w:hint="eastAsia" w:ascii="仿宋" w:hAnsi="仿宋" w:eastAsia="仿宋"/>
          <w:sz w:val="32"/>
          <w:szCs w:val="32"/>
        </w:rPr>
        <w:t>绩效目标是贯穿预算绩效管理始终的一条主线，是预算资金安排、事中绩效跟踪和事后绩效评价的重要依据。根据相关文件要求，我镇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44D2AD5E">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64ACED17">
      <w:pPr>
        <w:spacing w:line="560" w:lineRule="exact"/>
        <w:ind w:firstLine="640" w:firstLineChars="200"/>
        <w:rPr>
          <w:rFonts w:ascii="仿宋" w:hAnsi="仿宋" w:eastAsia="仿宋"/>
          <w:sz w:val="32"/>
          <w:szCs w:val="32"/>
        </w:rPr>
      </w:pPr>
      <w:r>
        <w:rPr>
          <w:rFonts w:hint="eastAsia" w:ascii="仿宋" w:hAnsi="仿宋" w:eastAsia="仿宋"/>
          <w:sz w:val="32"/>
          <w:szCs w:val="32"/>
        </w:rPr>
        <w:t>（一）两委干部人员经费</w:t>
      </w:r>
    </w:p>
    <w:p w14:paraId="645E7D11">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24A2219D">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该项目预算数是133.282764万元，支出133.282764万元，总体支出进度为100%。</w:t>
      </w:r>
    </w:p>
    <w:p w14:paraId="35326177">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129FBAB4">
      <w:pPr>
        <w:spacing w:line="560" w:lineRule="exact"/>
        <w:ind w:firstLine="640" w:firstLineChars="200"/>
        <w:rPr>
          <w:rFonts w:ascii="仿宋" w:hAnsi="仿宋" w:eastAsia="仿宋"/>
          <w:sz w:val="32"/>
          <w:szCs w:val="32"/>
        </w:rPr>
      </w:pPr>
      <w:r>
        <w:rPr>
          <w:rFonts w:hint="eastAsia" w:ascii="仿宋" w:hAnsi="仿宋" w:eastAsia="仿宋"/>
          <w:sz w:val="32"/>
          <w:szCs w:val="32"/>
        </w:rPr>
        <w:t>按时支付我镇9个社区两委干部工资及保险，维护人员稳定，保障社区工作正常运转。绩效指标为4个，评价等级为优。</w:t>
      </w:r>
    </w:p>
    <w:p w14:paraId="7F0BC278">
      <w:pPr>
        <w:spacing w:line="560" w:lineRule="exact"/>
        <w:ind w:firstLine="640" w:firstLineChars="200"/>
        <w:rPr>
          <w:rFonts w:ascii="仿宋" w:hAnsi="仿宋" w:eastAsia="仿宋"/>
          <w:sz w:val="32"/>
          <w:szCs w:val="32"/>
        </w:rPr>
      </w:pPr>
      <w:r>
        <w:rPr>
          <w:rFonts w:hint="eastAsia" w:ascii="仿宋" w:hAnsi="仿宋" w:eastAsia="仿宋"/>
          <w:sz w:val="32"/>
          <w:szCs w:val="32"/>
        </w:rPr>
        <w:t>（二）段家楼社区工作者经费</w:t>
      </w:r>
    </w:p>
    <w:p w14:paraId="37759A86">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5D9BF245">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该项目预算数是12.004463万元，支出12.004463万元，总体支出进度为100%。</w:t>
      </w:r>
    </w:p>
    <w:p w14:paraId="73AF470D">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53A8992D">
      <w:pPr>
        <w:spacing w:line="560" w:lineRule="exact"/>
        <w:ind w:firstLine="640" w:firstLineChars="200"/>
        <w:rPr>
          <w:rFonts w:ascii="仿宋" w:hAnsi="仿宋" w:eastAsia="仿宋"/>
          <w:sz w:val="32"/>
          <w:szCs w:val="32"/>
        </w:rPr>
      </w:pPr>
      <w:r>
        <w:rPr>
          <w:rFonts w:hint="eastAsia" w:ascii="仿宋" w:hAnsi="仿宋" w:eastAsia="仿宋"/>
          <w:sz w:val="32"/>
          <w:szCs w:val="32"/>
        </w:rPr>
        <w:t>按时支付段家楼社区工作者工资，保障社区工作人员基本生活，有效开展社区各项工作。绩效指标为4个，评价等级为优。</w:t>
      </w:r>
    </w:p>
    <w:p w14:paraId="2D120182">
      <w:pPr>
        <w:spacing w:line="560" w:lineRule="exact"/>
        <w:ind w:firstLine="640" w:firstLineChars="200"/>
        <w:rPr>
          <w:rFonts w:ascii="仿宋" w:hAnsi="仿宋" w:eastAsia="仿宋"/>
          <w:sz w:val="32"/>
          <w:szCs w:val="32"/>
        </w:rPr>
      </w:pPr>
      <w:r>
        <w:rPr>
          <w:rFonts w:hint="eastAsia" w:ascii="仿宋" w:hAnsi="仿宋" w:eastAsia="仿宋"/>
          <w:sz w:val="32"/>
          <w:szCs w:val="32"/>
        </w:rPr>
        <w:t>（三）劳务派遣人员经费</w:t>
      </w:r>
    </w:p>
    <w:p w14:paraId="29518C24">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128E1CAE">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该项目预算数是91.812788万元，支出91.812788万元，总体支出进度为100%。</w:t>
      </w:r>
    </w:p>
    <w:p w14:paraId="5E3AA049">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4832C7EE">
      <w:pPr>
        <w:spacing w:line="560" w:lineRule="exact"/>
        <w:ind w:firstLine="640" w:firstLineChars="200"/>
        <w:rPr>
          <w:rFonts w:ascii="仿宋" w:hAnsi="仿宋" w:eastAsia="仿宋"/>
          <w:sz w:val="32"/>
          <w:szCs w:val="32"/>
        </w:rPr>
      </w:pPr>
      <w:r>
        <w:rPr>
          <w:rFonts w:hint="eastAsia" w:ascii="仿宋" w:hAnsi="仿宋" w:eastAsia="仿宋"/>
          <w:sz w:val="32"/>
          <w:szCs w:val="32"/>
        </w:rPr>
        <w:t>按时发放劳务派遣、劳务外包及保安工资，保障我镇各项工作正常运行。</w:t>
      </w:r>
    </w:p>
    <w:p w14:paraId="6C3BE191">
      <w:pPr>
        <w:spacing w:line="560" w:lineRule="exact"/>
        <w:ind w:firstLine="640" w:firstLineChars="200"/>
        <w:rPr>
          <w:rFonts w:ascii="仿宋" w:hAnsi="仿宋" w:eastAsia="仿宋"/>
          <w:sz w:val="32"/>
          <w:szCs w:val="32"/>
        </w:rPr>
      </w:pPr>
      <w:r>
        <w:rPr>
          <w:rFonts w:hint="eastAsia" w:ascii="仿宋" w:hAnsi="仿宋" w:eastAsia="仿宋"/>
          <w:sz w:val="32"/>
          <w:szCs w:val="32"/>
        </w:rPr>
        <w:t>（四）网格员工作经费</w:t>
      </w:r>
    </w:p>
    <w:p w14:paraId="050C3356">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5B81D810">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该项目预算数是4.38万元，支出4.38万元，总体支出进度为100%。</w:t>
      </w:r>
    </w:p>
    <w:p w14:paraId="3F7C187C">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1A93EF08">
      <w:pPr>
        <w:spacing w:line="560" w:lineRule="exact"/>
        <w:ind w:firstLine="640" w:firstLineChars="200"/>
        <w:rPr>
          <w:rFonts w:ascii="仿宋" w:hAnsi="仿宋" w:eastAsia="仿宋"/>
          <w:sz w:val="32"/>
          <w:szCs w:val="32"/>
        </w:rPr>
      </w:pPr>
      <w:r>
        <w:rPr>
          <w:rFonts w:ascii="仿宋" w:hAnsi="仿宋" w:eastAsia="仿宋"/>
          <w:sz w:val="32"/>
          <w:szCs w:val="32"/>
        </w:rPr>
        <w:t>确保网格化管理服务建设正常运行，提升综治工作的实战能力，提高社会治理科学化、法治化、智能化、精细化水平。</w:t>
      </w:r>
      <w:r>
        <w:rPr>
          <w:rFonts w:hint="eastAsia" w:ascii="仿宋" w:hAnsi="仿宋" w:eastAsia="仿宋"/>
          <w:sz w:val="32"/>
          <w:szCs w:val="32"/>
        </w:rPr>
        <w:t>绩效指标为 4 个，评价等级为优。</w:t>
      </w:r>
    </w:p>
    <w:p w14:paraId="79B15913">
      <w:pPr>
        <w:spacing w:line="560" w:lineRule="exact"/>
        <w:ind w:firstLine="640" w:firstLineChars="200"/>
        <w:rPr>
          <w:rFonts w:ascii="仿宋" w:hAnsi="仿宋" w:eastAsia="仿宋"/>
          <w:sz w:val="32"/>
          <w:szCs w:val="32"/>
        </w:rPr>
      </w:pPr>
      <w:r>
        <w:rPr>
          <w:rFonts w:hint="eastAsia" w:ascii="仿宋" w:hAnsi="仿宋" w:eastAsia="仿宋"/>
          <w:sz w:val="32"/>
          <w:szCs w:val="32"/>
        </w:rPr>
        <w:t>（五）城镇无业独生子女父母奖励</w:t>
      </w:r>
    </w:p>
    <w:p w14:paraId="06555797">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2B02A62D">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该项目预算数是2.805万元，支出2.805万元，总体支出进度为100%。</w:t>
      </w:r>
    </w:p>
    <w:p w14:paraId="083F59F5">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1DD0A3F8">
      <w:pPr>
        <w:spacing w:line="560" w:lineRule="exact"/>
        <w:ind w:firstLine="640" w:firstLineChars="200"/>
        <w:rPr>
          <w:rFonts w:ascii="仿宋" w:hAnsi="仿宋" w:eastAsia="仿宋"/>
          <w:sz w:val="32"/>
          <w:szCs w:val="32"/>
        </w:rPr>
      </w:pPr>
      <w:r>
        <w:rPr>
          <w:rFonts w:hint="eastAsia" w:ascii="仿宋" w:hAnsi="仿宋" w:eastAsia="仿宋"/>
          <w:sz w:val="32"/>
          <w:szCs w:val="32"/>
        </w:rPr>
        <w:t>对城镇无业独生子女进行资金支持，减轻家庭压力，保障生活质量。绩效指标为 4 个，评价等级为优。</w:t>
      </w:r>
    </w:p>
    <w:p w14:paraId="21F6AB4A">
      <w:pPr>
        <w:spacing w:line="560" w:lineRule="exact"/>
        <w:ind w:firstLine="640" w:firstLineChars="200"/>
        <w:rPr>
          <w:rFonts w:ascii="仿宋" w:hAnsi="仿宋" w:eastAsia="仿宋"/>
          <w:sz w:val="32"/>
          <w:szCs w:val="32"/>
        </w:rPr>
      </w:pPr>
      <w:r>
        <w:rPr>
          <w:rFonts w:hint="eastAsia" w:ascii="仿宋" w:hAnsi="仿宋" w:eastAsia="仿宋"/>
          <w:sz w:val="32"/>
          <w:szCs w:val="32"/>
        </w:rPr>
        <w:t>（六）社区工作经费</w:t>
      </w:r>
    </w:p>
    <w:p w14:paraId="4F096B30">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7C06C9DB">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该项目预算数是45万元，支出45万元，总体支出进度为100%。</w:t>
      </w:r>
    </w:p>
    <w:p w14:paraId="19F18E08">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38F687B8">
      <w:pPr>
        <w:spacing w:line="560" w:lineRule="exact"/>
        <w:ind w:firstLine="640" w:firstLineChars="200"/>
        <w:rPr>
          <w:rFonts w:ascii="仿宋" w:hAnsi="仿宋" w:eastAsia="仿宋"/>
          <w:sz w:val="32"/>
          <w:szCs w:val="32"/>
        </w:rPr>
      </w:pPr>
      <w:r>
        <w:rPr>
          <w:rFonts w:hint="eastAsia" w:ascii="仿宋" w:hAnsi="仿宋" w:eastAsia="仿宋"/>
          <w:sz w:val="32"/>
          <w:szCs w:val="32"/>
        </w:rPr>
        <w:t>用于支付我镇9个社区工作的相关支出，保障社区工作正常开展。绩效指标为 4 个，评价等级为优。</w:t>
      </w:r>
    </w:p>
    <w:p w14:paraId="082247BE">
      <w:pPr>
        <w:spacing w:line="560" w:lineRule="exact"/>
        <w:ind w:firstLine="640" w:firstLineChars="200"/>
        <w:rPr>
          <w:rFonts w:ascii="仿宋" w:hAnsi="仿宋" w:eastAsia="仿宋"/>
          <w:sz w:val="32"/>
          <w:szCs w:val="32"/>
        </w:rPr>
      </w:pPr>
      <w:r>
        <w:rPr>
          <w:rFonts w:hint="eastAsia" w:ascii="仿宋" w:hAnsi="仿宋" w:eastAsia="仿宋"/>
          <w:sz w:val="32"/>
          <w:szCs w:val="32"/>
        </w:rPr>
        <w:t>（七）信访维稳经费</w:t>
      </w:r>
    </w:p>
    <w:p w14:paraId="2C0309B7">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10F54975">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该项目预算数是11万元，支出11万元，总体支出进度为100%。</w:t>
      </w:r>
    </w:p>
    <w:p w14:paraId="404CFE47">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4A344609">
      <w:pPr>
        <w:spacing w:line="560" w:lineRule="exact"/>
        <w:ind w:firstLine="640" w:firstLineChars="200"/>
        <w:rPr>
          <w:rFonts w:ascii="仿宋" w:hAnsi="仿宋" w:eastAsia="仿宋"/>
          <w:sz w:val="32"/>
          <w:szCs w:val="32"/>
        </w:rPr>
      </w:pPr>
      <w:r>
        <w:rPr>
          <w:rFonts w:hint="eastAsia" w:ascii="仿宋" w:hAnsi="仿宋" w:eastAsia="仿宋"/>
          <w:sz w:val="32"/>
          <w:szCs w:val="32"/>
        </w:rPr>
        <w:t>支付信访值班差旅费，保障信访工作正常开展，维护社会稳定，促进社会和谐发展。绩效指标为 4 个，评价等级为优。</w:t>
      </w:r>
    </w:p>
    <w:p w14:paraId="7ACE4943">
      <w:pPr>
        <w:spacing w:line="560" w:lineRule="exact"/>
        <w:ind w:firstLine="640" w:firstLineChars="200"/>
        <w:rPr>
          <w:rFonts w:ascii="仿宋" w:hAnsi="仿宋" w:eastAsia="仿宋"/>
          <w:sz w:val="32"/>
          <w:szCs w:val="32"/>
        </w:rPr>
      </w:pPr>
      <w:r>
        <w:rPr>
          <w:rFonts w:hint="eastAsia" w:ascii="仿宋" w:hAnsi="仿宋" w:eastAsia="仿宋"/>
          <w:sz w:val="32"/>
          <w:szCs w:val="32"/>
        </w:rPr>
        <w:t>（八）环境保护经费</w:t>
      </w:r>
    </w:p>
    <w:p w14:paraId="1BE46AEA">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3C087D8F">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该项目预算数是7万元，支出7万元，总体支出进度为100%。</w:t>
      </w:r>
    </w:p>
    <w:p w14:paraId="741CCBB7">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2EF37784">
      <w:pPr>
        <w:spacing w:line="560" w:lineRule="exact"/>
        <w:ind w:firstLine="640" w:firstLineChars="200"/>
        <w:rPr>
          <w:rFonts w:ascii="仿宋" w:hAnsi="仿宋" w:eastAsia="仿宋"/>
          <w:sz w:val="32"/>
          <w:szCs w:val="32"/>
        </w:rPr>
      </w:pPr>
      <w:r>
        <w:rPr>
          <w:rFonts w:hint="eastAsia" w:ascii="仿宋" w:hAnsi="仿宋" w:eastAsia="仿宋"/>
          <w:sz w:val="32"/>
          <w:szCs w:val="32"/>
        </w:rPr>
        <w:t>支付洗扫车相关费用，保障洗扫车运行，提高清扫效率，提高更好的城市环境。绩效指标为 4 个，评价等级为优。</w:t>
      </w:r>
    </w:p>
    <w:p w14:paraId="3DB235CB">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（九）乡镇五小运行费</w:t>
      </w:r>
    </w:p>
    <w:p w14:paraId="351A4DA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50492F03">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该项目预算数是2万元，支出2万元，总体支出进度为100%。</w:t>
      </w:r>
    </w:p>
    <w:p w14:paraId="70EAD28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2.产出指标和效果指标完成情况</w:t>
      </w:r>
    </w:p>
    <w:p w14:paraId="32016E5B">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拨付食堂支出，保障食堂正常运转为职工提供三餐需求。绩效指标为 4 个，评价等级为优。</w:t>
      </w:r>
    </w:p>
    <w:p w14:paraId="3A411A8E">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（十）应急基础设施项目资金</w:t>
      </w:r>
    </w:p>
    <w:p w14:paraId="5C64E5B4">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03F8C46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该项目预算数是17万元，支出17万元，总体支出进度为100%。</w:t>
      </w:r>
    </w:p>
    <w:p w14:paraId="1F6ED4A0">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2.产出指标和效果指标完成情况</w:t>
      </w:r>
    </w:p>
    <w:p w14:paraId="171592D2">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支付以前年度工程款，保障施工单位合法权益。绩效指标为 4 个，评价等级为优。</w:t>
      </w:r>
    </w:p>
    <w:p w14:paraId="6BC3371A">
      <w:pPr>
        <w:ind w:firstLine="640"/>
        <w:rPr>
          <w:rFonts w:ascii="仿宋" w:hAnsi="仿宋" w:eastAsia="仿宋"/>
          <w:sz w:val="32"/>
          <w:szCs w:val="32"/>
        </w:rPr>
      </w:pPr>
      <w:r>
        <w:rPr>
          <w:rFonts w:hint="eastAsia" w:ascii="仿宋" w:hAnsi="仿宋" w:eastAsia="仿宋"/>
          <w:sz w:val="32"/>
          <w:szCs w:val="32"/>
        </w:rPr>
        <w:t>（十一）中学城项目失地农民2024年养老保险及生活补贴</w:t>
      </w:r>
    </w:p>
    <w:p w14:paraId="3F6B814A">
      <w:pPr>
        <w:ind w:firstLine="640"/>
        <w:rPr>
          <w:rFonts w:ascii="仿宋" w:hAnsi="仿宋" w:eastAsia="仿宋"/>
          <w:sz w:val="32"/>
          <w:szCs w:val="32"/>
        </w:rPr>
      </w:pPr>
      <w:r>
        <w:rPr>
          <w:rFonts w:hint="eastAsia" w:ascii="仿宋" w:hAnsi="仿宋" w:eastAsia="仿宋"/>
          <w:sz w:val="32"/>
          <w:szCs w:val="32"/>
        </w:rPr>
        <w:t>1.该项目预算数是1.219119万元，支出1.219119万元，总体支出进度为100%。</w:t>
      </w:r>
    </w:p>
    <w:p w14:paraId="197D30BB">
      <w:pPr>
        <w:ind w:firstLine="640"/>
        <w:rPr>
          <w:rFonts w:ascii="仿宋" w:hAnsi="仿宋" w:eastAsia="仿宋"/>
          <w:sz w:val="32"/>
          <w:szCs w:val="32"/>
        </w:rPr>
      </w:pPr>
      <w:r>
        <w:rPr>
          <w:rFonts w:hint="eastAsia" w:ascii="仿宋" w:hAnsi="仿宋" w:eastAsia="仿宋"/>
          <w:sz w:val="32"/>
          <w:szCs w:val="32"/>
        </w:rPr>
        <w:t>2.产出指标和效果指标完成情况</w:t>
      </w:r>
    </w:p>
    <w:p w14:paraId="3163E54B">
      <w:pPr>
        <w:spacing w:line="560" w:lineRule="exact"/>
        <w:ind w:firstLine="640" w:firstLineChars="200"/>
        <w:rPr>
          <w:rFonts w:ascii="仿宋" w:hAnsi="仿宋" w:eastAsia="仿宋"/>
          <w:sz w:val="32"/>
          <w:szCs w:val="32"/>
        </w:rPr>
      </w:pPr>
      <w:r>
        <w:rPr>
          <w:rFonts w:hint="eastAsia" w:ascii="仿宋" w:hAnsi="仿宋" w:eastAsia="仿宋"/>
          <w:sz w:val="32"/>
          <w:szCs w:val="32"/>
        </w:rPr>
        <w:t>拨付失地农民养老保险及生活补贴，保障失地农民相应权益。绩效指标为4个，评价等级为优。</w:t>
      </w:r>
    </w:p>
    <w:p w14:paraId="61698E0B">
      <w:pPr>
        <w:ind w:firstLine="640"/>
        <w:rPr>
          <w:rFonts w:ascii="仿宋" w:hAnsi="仿宋" w:eastAsia="仿宋"/>
          <w:sz w:val="32"/>
          <w:szCs w:val="32"/>
        </w:rPr>
      </w:pPr>
      <w:r>
        <w:rPr>
          <w:rFonts w:hint="eastAsia" w:ascii="仿宋" w:hAnsi="仿宋" w:eastAsia="仿宋"/>
          <w:sz w:val="32"/>
          <w:szCs w:val="32"/>
        </w:rPr>
        <w:t>（十二）占地补偿款及失地农民保险（个人）</w:t>
      </w:r>
    </w:p>
    <w:p w14:paraId="18E83C1A">
      <w:pPr>
        <w:ind w:firstLine="640"/>
        <w:rPr>
          <w:rFonts w:ascii="仿宋" w:hAnsi="仿宋" w:eastAsia="仿宋"/>
          <w:sz w:val="32"/>
          <w:szCs w:val="32"/>
        </w:rPr>
      </w:pPr>
      <w:r>
        <w:rPr>
          <w:rFonts w:hint="eastAsia" w:ascii="仿宋" w:hAnsi="仿宋" w:eastAsia="仿宋"/>
          <w:sz w:val="32"/>
          <w:szCs w:val="32"/>
        </w:rPr>
        <w:t>1.资金支出进度</w:t>
      </w:r>
    </w:p>
    <w:p w14:paraId="5379108A">
      <w:pPr>
        <w:ind w:firstLine="640"/>
        <w:rPr>
          <w:rFonts w:ascii="仿宋" w:hAnsi="仿宋" w:eastAsia="仿宋"/>
          <w:sz w:val="32"/>
          <w:szCs w:val="32"/>
        </w:rPr>
      </w:pPr>
      <w:r>
        <w:rPr>
          <w:rFonts w:hint="eastAsia" w:ascii="仿宋" w:hAnsi="仿宋" w:eastAsia="仿宋"/>
          <w:sz w:val="32"/>
          <w:szCs w:val="32"/>
        </w:rPr>
        <w:t>该项目预算数是13.056768万元，支出13.056768万元，总体支出进度为100%。</w:t>
      </w:r>
    </w:p>
    <w:p w14:paraId="21B5800E">
      <w:pPr>
        <w:ind w:firstLine="640"/>
        <w:rPr>
          <w:rFonts w:ascii="仿宋" w:hAnsi="仿宋" w:eastAsia="仿宋"/>
          <w:sz w:val="32"/>
          <w:szCs w:val="32"/>
        </w:rPr>
      </w:pPr>
      <w:r>
        <w:rPr>
          <w:rFonts w:hint="eastAsia" w:ascii="仿宋" w:hAnsi="仿宋" w:eastAsia="仿宋"/>
          <w:sz w:val="32"/>
          <w:szCs w:val="32"/>
        </w:rPr>
        <w:t>2.产出指标和效果指标完成情况</w:t>
      </w:r>
    </w:p>
    <w:p w14:paraId="759FAC55">
      <w:pPr>
        <w:spacing w:line="560" w:lineRule="exact"/>
        <w:ind w:firstLine="640" w:firstLineChars="200"/>
        <w:rPr>
          <w:rFonts w:ascii="仿宋" w:hAnsi="仿宋" w:eastAsia="仿宋"/>
          <w:sz w:val="32"/>
          <w:szCs w:val="32"/>
        </w:rPr>
      </w:pPr>
      <w:r>
        <w:rPr>
          <w:rFonts w:hint="eastAsia" w:ascii="仿宋" w:hAnsi="仿宋" w:eastAsia="仿宋"/>
          <w:sz w:val="32"/>
          <w:szCs w:val="32"/>
        </w:rPr>
        <w:t>按时拨付农户占地补偿款及失地农民养老保险，保障失地农民相应权益。绩效指标为4个，评价等级为优。</w:t>
      </w:r>
    </w:p>
    <w:p w14:paraId="0E7D63D8">
      <w:pPr>
        <w:ind w:firstLine="640"/>
        <w:rPr>
          <w:rFonts w:ascii="仿宋" w:hAnsi="仿宋" w:eastAsia="仿宋"/>
          <w:sz w:val="32"/>
          <w:szCs w:val="32"/>
        </w:rPr>
      </w:pPr>
      <w:r>
        <w:rPr>
          <w:rFonts w:hint="eastAsia" w:ascii="仿宋" w:hAnsi="仿宋" w:eastAsia="仿宋"/>
          <w:sz w:val="32"/>
          <w:szCs w:val="32"/>
        </w:rPr>
        <w:t>（十三）庆晟二期征地迁坟费用</w:t>
      </w:r>
    </w:p>
    <w:p w14:paraId="47D6C717">
      <w:pPr>
        <w:ind w:firstLine="640"/>
        <w:rPr>
          <w:rFonts w:ascii="仿宋" w:hAnsi="仿宋" w:eastAsia="仿宋"/>
          <w:sz w:val="32"/>
          <w:szCs w:val="32"/>
        </w:rPr>
      </w:pPr>
      <w:r>
        <w:rPr>
          <w:rFonts w:hint="eastAsia" w:ascii="仿宋" w:hAnsi="仿宋" w:eastAsia="仿宋"/>
          <w:sz w:val="32"/>
          <w:szCs w:val="32"/>
        </w:rPr>
        <w:t>1.资金支出进度</w:t>
      </w:r>
    </w:p>
    <w:p w14:paraId="5BC06B1D">
      <w:pPr>
        <w:ind w:firstLine="640"/>
        <w:rPr>
          <w:rFonts w:ascii="仿宋" w:hAnsi="仿宋" w:eastAsia="仿宋"/>
          <w:sz w:val="32"/>
          <w:szCs w:val="32"/>
        </w:rPr>
      </w:pPr>
      <w:r>
        <w:rPr>
          <w:rFonts w:hint="eastAsia" w:ascii="仿宋" w:hAnsi="仿宋" w:eastAsia="仿宋"/>
          <w:sz w:val="32"/>
          <w:szCs w:val="32"/>
        </w:rPr>
        <w:t>该项目预算数是3.876万元，支出3.876万元，总体支出进度为100%。</w:t>
      </w:r>
    </w:p>
    <w:p w14:paraId="1C16C1F3">
      <w:pPr>
        <w:ind w:firstLine="640"/>
        <w:rPr>
          <w:rFonts w:ascii="仿宋" w:hAnsi="仿宋" w:eastAsia="仿宋"/>
          <w:sz w:val="32"/>
          <w:szCs w:val="32"/>
        </w:rPr>
      </w:pPr>
      <w:r>
        <w:rPr>
          <w:rFonts w:hint="eastAsia" w:ascii="仿宋" w:hAnsi="仿宋" w:eastAsia="仿宋"/>
          <w:sz w:val="32"/>
          <w:szCs w:val="32"/>
        </w:rPr>
        <w:t>2.产出指标和效果指标完成情况</w:t>
      </w:r>
    </w:p>
    <w:p w14:paraId="314C4083">
      <w:pPr>
        <w:spacing w:line="560" w:lineRule="exact"/>
        <w:ind w:firstLine="640" w:firstLineChars="200"/>
        <w:rPr>
          <w:rFonts w:ascii="仿宋" w:hAnsi="仿宋" w:eastAsia="仿宋"/>
          <w:sz w:val="32"/>
          <w:szCs w:val="32"/>
        </w:rPr>
      </w:pPr>
      <w:r>
        <w:rPr>
          <w:rFonts w:hint="eastAsia" w:ascii="仿宋" w:hAnsi="仿宋" w:eastAsia="仿宋"/>
          <w:sz w:val="32"/>
          <w:szCs w:val="32"/>
        </w:rPr>
        <w:t>通过拨付农民迁坟费用，有效保障农民权益。绩效指标为4个，评价等级为优。</w:t>
      </w:r>
    </w:p>
    <w:p w14:paraId="04EF34E1">
      <w:pPr>
        <w:ind w:firstLine="640"/>
        <w:rPr>
          <w:rFonts w:ascii="仿宋" w:hAnsi="仿宋" w:eastAsia="仿宋"/>
          <w:sz w:val="32"/>
          <w:szCs w:val="32"/>
        </w:rPr>
      </w:pPr>
      <w:r>
        <w:rPr>
          <w:rFonts w:hint="eastAsia" w:ascii="仿宋" w:hAnsi="仿宋" w:eastAsia="仿宋"/>
          <w:sz w:val="32"/>
          <w:szCs w:val="32"/>
        </w:rPr>
        <w:t>（十四）关于下达2023年市级农村综合改革转移支付预算的通知（一事一议）</w:t>
      </w:r>
    </w:p>
    <w:p w14:paraId="6AC305CC">
      <w:pPr>
        <w:ind w:firstLine="640"/>
        <w:rPr>
          <w:rFonts w:ascii="仿宋" w:hAnsi="仿宋" w:eastAsia="仿宋"/>
          <w:sz w:val="32"/>
          <w:szCs w:val="32"/>
        </w:rPr>
      </w:pPr>
      <w:r>
        <w:rPr>
          <w:rFonts w:hint="eastAsia" w:ascii="仿宋" w:hAnsi="仿宋" w:eastAsia="仿宋"/>
          <w:sz w:val="32"/>
          <w:szCs w:val="32"/>
        </w:rPr>
        <w:t>1.该项目预算数是22万元，支出22万元，总体支出进度为100%。</w:t>
      </w:r>
    </w:p>
    <w:p w14:paraId="0C1650B1">
      <w:pPr>
        <w:ind w:firstLine="640"/>
        <w:rPr>
          <w:rFonts w:ascii="仿宋" w:hAnsi="仿宋" w:eastAsia="仿宋"/>
          <w:sz w:val="32"/>
          <w:szCs w:val="32"/>
        </w:rPr>
      </w:pPr>
      <w:r>
        <w:rPr>
          <w:rFonts w:hint="eastAsia" w:ascii="仿宋" w:hAnsi="仿宋" w:eastAsia="仿宋"/>
          <w:sz w:val="32"/>
          <w:szCs w:val="32"/>
        </w:rPr>
        <w:t>2.产出指标和效果指标完成情况</w:t>
      </w:r>
    </w:p>
    <w:p w14:paraId="5513628D">
      <w:pPr>
        <w:spacing w:line="560" w:lineRule="exact"/>
        <w:ind w:firstLine="640" w:firstLineChars="200"/>
        <w:rPr>
          <w:rFonts w:ascii="仿宋" w:hAnsi="仿宋" w:eastAsia="仿宋"/>
          <w:sz w:val="32"/>
          <w:szCs w:val="32"/>
        </w:rPr>
      </w:pPr>
      <w:r>
        <w:rPr>
          <w:rFonts w:hint="eastAsia" w:ascii="仿宋" w:hAnsi="仿宋" w:eastAsia="仿宋"/>
          <w:sz w:val="32"/>
          <w:szCs w:val="32"/>
        </w:rPr>
        <w:t>对社区一事一议资金足额拨付，有效改善社区居民居住环境。绩效指标为4个，评价等级为优。</w:t>
      </w:r>
    </w:p>
    <w:p w14:paraId="28F00065">
      <w:pPr>
        <w:spacing w:line="560" w:lineRule="exact"/>
        <w:ind w:firstLine="640" w:firstLineChars="200"/>
        <w:rPr>
          <w:rFonts w:ascii="仿宋" w:hAnsi="仿宋" w:eastAsia="仿宋"/>
          <w:sz w:val="32"/>
          <w:szCs w:val="32"/>
        </w:rPr>
      </w:pPr>
      <w:r>
        <w:rPr>
          <w:rFonts w:hint="eastAsia" w:ascii="仿宋" w:hAnsi="仿宋" w:eastAsia="仿宋"/>
          <w:sz w:val="32"/>
          <w:szCs w:val="32"/>
        </w:rPr>
        <w:t>（十五）关于提前下达2023年中央农村综合改革转移支付预算的通知（一事一议）</w:t>
      </w:r>
    </w:p>
    <w:p w14:paraId="0C9B64A5">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4CB0076D">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该项目预算数是5万元，支出5万元，总体支出进度为100%。</w:t>
      </w:r>
    </w:p>
    <w:p w14:paraId="51D45D4E">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70E2478A">
      <w:pPr>
        <w:spacing w:line="560" w:lineRule="exact"/>
        <w:ind w:firstLine="640" w:firstLineChars="200"/>
        <w:rPr>
          <w:rFonts w:ascii="仿宋" w:hAnsi="仿宋" w:eastAsia="仿宋"/>
          <w:sz w:val="32"/>
          <w:szCs w:val="32"/>
        </w:rPr>
      </w:pPr>
      <w:r>
        <w:rPr>
          <w:rFonts w:hint="eastAsia" w:ascii="仿宋" w:hAnsi="仿宋" w:eastAsia="仿宋"/>
          <w:sz w:val="32"/>
          <w:szCs w:val="32"/>
        </w:rPr>
        <w:t>对社区一事一议资金足额拨付，有效改善社区居民居住环境。绩效指标为 4 个，评价等级为优。</w:t>
      </w:r>
    </w:p>
    <w:p w14:paraId="7A30549E">
      <w:pPr>
        <w:spacing w:line="560" w:lineRule="exact"/>
        <w:ind w:firstLine="640" w:firstLineChars="200"/>
        <w:rPr>
          <w:rFonts w:ascii="仿宋" w:hAnsi="仿宋" w:eastAsia="仿宋"/>
          <w:sz w:val="32"/>
          <w:szCs w:val="32"/>
        </w:rPr>
      </w:pPr>
      <w:r>
        <w:rPr>
          <w:rFonts w:hint="eastAsia" w:ascii="仿宋" w:hAnsi="仿宋" w:eastAsia="仿宋"/>
          <w:sz w:val="32"/>
          <w:szCs w:val="32"/>
        </w:rPr>
        <w:t>（十六）关于下达2023年中央农村综合改革转移支付资金的通知（一事一议）</w:t>
      </w:r>
    </w:p>
    <w:p w14:paraId="7904BFFE">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084E01D3">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该项目预算数是33万元，支出33万元，总体支出进度为100%。</w:t>
      </w:r>
    </w:p>
    <w:p w14:paraId="6DE691A5">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064D2590">
      <w:pPr>
        <w:spacing w:line="560" w:lineRule="exact"/>
        <w:ind w:firstLine="640" w:firstLineChars="200"/>
        <w:rPr>
          <w:rFonts w:ascii="仿宋" w:hAnsi="仿宋" w:eastAsia="仿宋"/>
          <w:sz w:val="32"/>
          <w:szCs w:val="32"/>
        </w:rPr>
      </w:pPr>
      <w:r>
        <w:rPr>
          <w:rFonts w:hint="eastAsia" w:ascii="仿宋" w:hAnsi="仿宋" w:eastAsia="仿宋"/>
          <w:sz w:val="32"/>
          <w:szCs w:val="32"/>
        </w:rPr>
        <w:t>对社区一事一议资金足额拨付，有效改善社区居民居住环境。绩效指标为 4 个，评价等级为优。</w:t>
      </w:r>
    </w:p>
    <w:p w14:paraId="63D637E1">
      <w:pPr>
        <w:spacing w:line="560" w:lineRule="exact"/>
        <w:ind w:firstLine="640" w:firstLineChars="200"/>
        <w:rPr>
          <w:rFonts w:ascii="仿宋" w:hAnsi="仿宋" w:eastAsia="仿宋"/>
          <w:sz w:val="32"/>
          <w:szCs w:val="32"/>
        </w:rPr>
      </w:pPr>
      <w:r>
        <w:rPr>
          <w:rFonts w:hint="eastAsia" w:ascii="仿宋" w:hAnsi="仿宋" w:eastAsia="仿宋"/>
          <w:sz w:val="32"/>
          <w:szCs w:val="32"/>
        </w:rPr>
        <w:t>（十七）2023年中央农村综合改革转移支付资金</w:t>
      </w:r>
    </w:p>
    <w:p w14:paraId="35226DC7">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0576102E">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该项目预算数是358.87万元，支出320万元，总体支出进度为89%。</w:t>
      </w:r>
    </w:p>
    <w:p w14:paraId="5BBF4083">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6AAF4C80">
      <w:pPr>
        <w:spacing w:line="560" w:lineRule="exact"/>
        <w:ind w:firstLine="640" w:firstLineChars="200"/>
        <w:rPr>
          <w:rFonts w:ascii="仿宋" w:hAnsi="仿宋" w:eastAsia="仿宋"/>
          <w:sz w:val="32"/>
          <w:szCs w:val="32"/>
        </w:rPr>
      </w:pPr>
      <w:r>
        <w:rPr>
          <w:rFonts w:hint="eastAsia" w:ascii="仿宋" w:hAnsi="仿宋" w:eastAsia="仿宋"/>
          <w:sz w:val="32"/>
          <w:szCs w:val="32"/>
        </w:rPr>
        <w:t>对社区支付农综改资金支持，确保完成红色美丽村庄建设试点工作。绩效指标为 4 个，评价等级为优。</w:t>
      </w:r>
    </w:p>
    <w:p w14:paraId="5D0E2FB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（十八）社区工作者薪酬待遇补助经费</w:t>
      </w:r>
    </w:p>
    <w:p w14:paraId="02ABCB7B">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125835B9">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该项目预算数是6.6万元，支出6万元，总体支出进度为100%。</w:t>
      </w:r>
    </w:p>
    <w:p w14:paraId="2C11E2D7">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2.产出指标和效果指标完成情况</w:t>
      </w:r>
    </w:p>
    <w:p w14:paraId="34C627BF">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社区工作者按时足额发放待遇补助，有效激励社工干事创业，更好发挥作用。绩效指标为 4 个，评价等级为优。</w:t>
      </w:r>
    </w:p>
    <w:p w14:paraId="5A56C0B1">
      <w:pPr>
        <w:spacing w:line="560" w:lineRule="exact"/>
        <w:ind w:firstLine="640" w:firstLineChars="200"/>
        <w:rPr>
          <w:rFonts w:ascii="仿宋" w:hAnsi="仿宋" w:eastAsia="仿宋"/>
          <w:sz w:val="32"/>
          <w:szCs w:val="32"/>
        </w:rPr>
      </w:pPr>
      <w:r>
        <w:rPr>
          <w:rFonts w:hint="eastAsia" w:ascii="仿宋" w:hAnsi="仿宋" w:eastAsia="仿宋"/>
          <w:sz w:val="32"/>
          <w:szCs w:val="32"/>
        </w:rPr>
        <w:t>（十九）关于提前下达2024年中央农村综合改革转移支付预算的通知</w:t>
      </w:r>
    </w:p>
    <w:p w14:paraId="154D1478">
      <w:pPr>
        <w:spacing w:line="560" w:lineRule="exact"/>
        <w:ind w:firstLine="640" w:firstLineChars="200"/>
        <w:rPr>
          <w:rFonts w:ascii="仿宋" w:hAnsi="仿宋" w:eastAsia="仿宋"/>
          <w:sz w:val="32"/>
          <w:szCs w:val="32"/>
        </w:rPr>
      </w:pPr>
      <w:r>
        <w:rPr>
          <w:rFonts w:hint="eastAsia" w:ascii="仿宋" w:hAnsi="仿宋" w:eastAsia="仿宋"/>
          <w:sz w:val="32"/>
          <w:szCs w:val="32"/>
        </w:rPr>
        <w:t>1.资金支出进度</w:t>
      </w:r>
    </w:p>
    <w:p w14:paraId="31EA3410">
      <w:pPr>
        <w:spacing w:line="560" w:lineRule="exact"/>
        <w:ind w:firstLine="640" w:firstLineChars="200"/>
        <w:rPr>
          <w:rFonts w:ascii="仿宋" w:hAnsi="仿宋" w:eastAsia="仿宋"/>
          <w:sz w:val="32"/>
          <w:szCs w:val="32"/>
        </w:rPr>
      </w:pPr>
      <w:r>
        <w:rPr>
          <w:rFonts w:hint="eastAsia" w:ascii="仿宋" w:hAnsi="仿宋" w:eastAsia="仿宋"/>
          <w:sz w:val="32"/>
          <w:szCs w:val="32"/>
        </w:rPr>
        <w:t>该项目预算数是230万元，支出130万元，总体支出进度为56.52%。</w:t>
      </w:r>
    </w:p>
    <w:p w14:paraId="315FCA49">
      <w:pPr>
        <w:spacing w:line="560" w:lineRule="exact"/>
        <w:ind w:firstLine="640" w:firstLineChars="200"/>
        <w:rPr>
          <w:rFonts w:ascii="仿宋" w:hAnsi="仿宋" w:eastAsia="仿宋"/>
          <w:sz w:val="32"/>
          <w:szCs w:val="32"/>
        </w:rPr>
      </w:pPr>
      <w:r>
        <w:rPr>
          <w:rFonts w:hint="eastAsia" w:ascii="仿宋" w:hAnsi="仿宋" w:eastAsia="仿宋"/>
          <w:sz w:val="32"/>
          <w:szCs w:val="32"/>
        </w:rPr>
        <w:t>2.产出指标和效果指标完成情况</w:t>
      </w:r>
    </w:p>
    <w:p w14:paraId="4C9A51C5">
      <w:pPr>
        <w:spacing w:line="560" w:lineRule="exact"/>
        <w:ind w:firstLine="640" w:firstLineChars="200"/>
        <w:rPr>
          <w:rFonts w:ascii="仿宋" w:hAnsi="仿宋" w:eastAsia="仿宋"/>
          <w:sz w:val="32"/>
          <w:szCs w:val="32"/>
        </w:rPr>
      </w:pPr>
      <w:r>
        <w:rPr>
          <w:rFonts w:hint="eastAsia" w:ascii="仿宋" w:hAnsi="仿宋" w:eastAsia="仿宋"/>
          <w:sz w:val="32"/>
          <w:szCs w:val="32"/>
        </w:rPr>
        <w:t>对我镇农综改项目资金拨付，提升村庄整体环境。绩效指标为4个，评价等级为优。</w:t>
      </w:r>
    </w:p>
    <w:p w14:paraId="07C837A6">
      <w:pPr>
        <w:ind w:firstLine="640"/>
        <w:rPr>
          <w:rFonts w:ascii="仿宋" w:hAnsi="仿宋" w:eastAsia="仿宋"/>
          <w:sz w:val="32"/>
          <w:szCs w:val="32"/>
        </w:rPr>
      </w:pPr>
      <w:r>
        <w:rPr>
          <w:rFonts w:hint="eastAsia" w:ascii="仿宋" w:hAnsi="仿宋" w:eastAsia="仿宋"/>
          <w:sz w:val="32"/>
          <w:szCs w:val="32"/>
        </w:rPr>
        <w:t>（二十）关于调整下达2024年度市级社区党建惠民专项资金的通知</w:t>
      </w:r>
    </w:p>
    <w:p w14:paraId="7B25E408">
      <w:pPr>
        <w:ind w:firstLine="640"/>
        <w:rPr>
          <w:rFonts w:ascii="仿宋" w:hAnsi="仿宋" w:eastAsia="仿宋"/>
          <w:sz w:val="32"/>
          <w:szCs w:val="32"/>
        </w:rPr>
      </w:pPr>
      <w:r>
        <w:rPr>
          <w:rFonts w:hint="eastAsia" w:ascii="仿宋" w:hAnsi="仿宋" w:eastAsia="仿宋"/>
          <w:sz w:val="32"/>
          <w:szCs w:val="32"/>
        </w:rPr>
        <w:t>1.资金支出进度</w:t>
      </w:r>
    </w:p>
    <w:p w14:paraId="7088781E">
      <w:pPr>
        <w:ind w:firstLine="640"/>
        <w:rPr>
          <w:rFonts w:ascii="仿宋" w:hAnsi="仿宋" w:eastAsia="仿宋"/>
          <w:sz w:val="32"/>
          <w:szCs w:val="32"/>
        </w:rPr>
      </w:pPr>
      <w:r>
        <w:rPr>
          <w:rFonts w:hint="eastAsia" w:ascii="仿宋" w:hAnsi="仿宋" w:eastAsia="仿宋"/>
          <w:sz w:val="32"/>
          <w:szCs w:val="32"/>
        </w:rPr>
        <w:t>该项目预算数是340万元，支出170万元，总体支出进度为50%。</w:t>
      </w:r>
    </w:p>
    <w:p w14:paraId="75316FB5">
      <w:pPr>
        <w:ind w:firstLine="640"/>
        <w:rPr>
          <w:rFonts w:ascii="仿宋" w:hAnsi="仿宋" w:eastAsia="仿宋"/>
          <w:sz w:val="32"/>
          <w:szCs w:val="32"/>
        </w:rPr>
      </w:pPr>
      <w:r>
        <w:rPr>
          <w:rFonts w:hint="eastAsia" w:ascii="仿宋" w:hAnsi="仿宋" w:eastAsia="仿宋"/>
          <w:sz w:val="32"/>
          <w:szCs w:val="32"/>
        </w:rPr>
        <w:t>2.产出指标和效果指标完成情况</w:t>
      </w:r>
    </w:p>
    <w:p w14:paraId="0843D161">
      <w:pPr>
        <w:spacing w:line="560" w:lineRule="exact"/>
        <w:ind w:firstLine="640" w:firstLineChars="200"/>
        <w:rPr>
          <w:rFonts w:ascii="仿宋" w:hAnsi="仿宋" w:eastAsia="仿宋"/>
          <w:sz w:val="32"/>
          <w:szCs w:val="32"/>
        </w:rPr>
      </w:pPr>
      <w:r>
        <w:rPr>
          <w:rFonts w:hint="eastAsia" w:ascii="仿宋" w:hAnsi="仿宋" w:eastAsia="仿宋" w:cs="仿宋"/>
          <w:sz w:val="32"/>
          <w:szCs w:val="32"/>
        </w:rPr>
        <w:t>用于社区既有设施改造，维护党群服务场所建设、维护、维修、设备采购，社区文体公益活动、社区志愿服务，培育和发展社区社会组织，解决社区民生问题。绩效指标为 4 个，评价等级为优。</w:t>
      </w:r>
    </w:p>
    <w:p w14:paraId="735F8FAC">
      <w:pPr>
        <w:ind w:firstLine="640"/>
        <w:rPr>
          <w:rFonts w:ascii="仿宋" w:hAnsi="仿宋" w:eastAsia="仿宋"/>
          <w:sz w:val="32"/>
          <w:szCs w:val="32"/>
        </w:rPr>
      </w:pPr>
      <w:r>
        <w:rPr>
          <w:rFonts w:hint="eastAsia" w:ascii="仿宋" w:hAnsi="仿宋" w:eastAsia="仿宋"/>
          <w:sz w:val="32"/>
          <w:szCs w:val="32"/>
        </w:rPr>
        <w:t>（二十一）2024年美术馆、公共图书馆、文化馆（站）免费开放中央补助资金</w:t>
      </w:r>
    </w:p>
    <w:p w14:paraId="5F07F068">
      <w:pPr>
        <w:ind w:firstLine="640"/>
        <w:rPr>
          <w:rFonts w:ascii="仿宋" w:hAnsi="仿宋" w:eastAsia="仿宋"/>
          <w:sz w:val="32"/>
          <w:szCs w:val="32"/>
        </w:rPr>
      </w:pPr>
      <w:r>
        <w:rPr>
          <w:rFonts w:hint="eastAsia" w:ascii="仿宋" w:hAnsi="仿宋" w:eastAsia="仿宋"/>
          <w:sz w:val="32"/>
          <w:szCs w:val="32"/>
        </w:rPr>
        <w:t>1.资金支出进度</w:t>
      </w:r>
    </w:p>
    <w:p w14:paraId="4A6F737A">
      <w:pPr>
        <w:ind w:firstLine="640"/>
        <w:rPr>
          <w:rFonts w:ascii="仿宋" w:hAnsi="仿宋" w:eastAsia="仿宋"/>
          <w:sz w:val="32"/>
          <w:szCs w:val="32"/>
        </w:rPr>
      </w:pPr>
      <w:r>
        <w:rPr>
          <w:rFonts w:hint="eastAsia" w:ascii="仿宋" w:hAnsi="仿宋" w:eastAsia="仿宋"/>
          <w:sz w:val="32"/>
          <w:szCs w:val="32"/>
        </w:rPr>
        <w:t>该项目预算数是3万元，支出3万元，总体支出进度为100%。</w:t>
      </w:r>
    </w:p>
    <w:p w14:paraId="2B02C7F5">
      <w:pPr>
        <w:ind w:firstLine="640"/>
        <w:rPr>
          <w:rFonts w:ascii="仿宋" w:hAnsi="仿宋" w:eastAsia="仿宋"/>
          <w:sz w:val="32"/>
          <w:szCs w:val="32"/>
        </w:rPr>
      </w:pPr>
      <w:r>
        <w:rPr>
          <w:rFonts w:hint="eastAsia" w:ascii="仿宋" w:hAnsi="仿宋" w:eastAsia="仿宋"/>
          <w:sz w:val="32"/>
          <w:szCs w:val="32"/>
        </w:rPr>
        <w:t>2.产出指标和效果指标完成情况</w:t>
      </w:r>
    </w:p>
    <w:p w14:paraId="32418FC1">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拨付文化站免费开放资金，保障文化站免费开放及文化活动正常开展。绩效指标为 4 个，评价等级为优。</w:t>
      </w:r>
    </w:p>
    <w:p w14:paraId="341EDE67">
      <w:pPr>
        <w:ind w:firstLine="640"/>
        <w:rPr>
          <w:rFonts w:ascii="仿宋" w:hAnsi="仿宋" w:eastAsia="仿宋"/>
          <w:sz w:val="32"/>
          <w:szCs w:val="32"/>
        </w:rPr>
      </w:pPr>
      <w:r>
        <w:rPr>
          <w:rFonts w:hint="eastAsia" w:ascii="仿宋" w:hAnsi="仿宋" w:eastAsia="仿宋"/>
          <w:sz w:val="32"/>
          <w:szCs w:val="32"/>
        </w:rPr>
        <w:t>（二十二）2024年美术馆、公共图书馆、文化馆（站）免费开放省级补助资金</w:t>
      </w:r>
    </w:p>
    <w:p w14:paraId="6E104F6A">
      <w:pPr>
        <w:ind w:firstLine="640"/>
        <w:rPr>
          <w:rFonts w:ascii="仿宋" w:hAnsi="仿宋" w:eastAsia="仿宋"/>
          <w:sz w:val="32"/>
          <w:szCs w:val="32"/>
        </w:rPr>
      </w:pPr>
      <w:r>
        <w:rPr>
          <w:rFonts w:hint="eastAsia" w:ascii="仿宋" w:hAnsi="仿宋" w:eastAsia="仿宋"/>
          <w:sz w:val="32"/>
          <w:szCs w:val="32"/>
        </w:rPr>
        <w:t>1.资金支出进度</w:t>
      </w:r>
    </w:p>
    <w:p w14:paraId="4ADB99D5">
      <w:pPr>
        <w:ind w:firstLine="640"/>
        <w:rPr>
          <w:rFonts w:ascii="仿宋" w:hAnsi="仿宋" w:eastAsia="仿宋"/>
          <w:sz w:val="32"/>
          <w:szCs w:val="32"/>
        </w:rPr>
      </w:pPr>
      <w:r>
        <w:rPr>
          <w:rFonts w:hint="eastAsia" w:ascii="仿宋" w:hAnsi="仿宋" w:eastAsia="仿宋"/>
          <w:sz w:val="32"/>
          <w:szCs w:val="32"/>
        </w:rPr>
        <w:t>该项目预算数是0.5万元，支出0.5万元，总体支出进度为100%。</w:t>
      </w:r>
    </w:p>
    <w:p w14:paraId="00A7FB73">
      <w:pPr>
        <w:ind w:firstLine="640"/>
        <w:rPr>
          <w:rFonts w:ascii="仿宋" w:hAnsi="仿宋" w:eastAsia="仿宋"/>
          <w:sz w:val="32"/>
          <w:szCs w:val="32"/>
        </w:rPr>
      </w:pPr>
      <w:r>
        <w:rPr>
          <w:rFonts w:hint="eastAsia" w:ascii="仿宋" w:hAnsi="仿宋" w:eastAsia="仿宋"/>
          <w:sz w:val="32"/>
          <w:szCs w:val="32"/>
        </w:rPr>
        <w:t>2.产出指标和效果指标完成情况</w:t>
      </w:r>
    </w:p>
    <w:p w14:paraId="0D56BFC0">
      <w:pPr>
        <w:spacing w:line="560" w:lineRule="exact"/>
        <w:ind w:firstLine="640" w:firstLineChars="200"/>
        <w:rPr>
          <w:rFonts w:ascii="仿宋" w:hAnsi="仿宋" w:eastAsia="仿宋"/>
          <w:sz w:val="32"/>
          <w:szCs w:val="32"/>
        </w:rPr>
      </w:pPr>
      <w:r>
        <w:rPr>
          <w:rFonts w:hint="eastAsia" w:ascii="仿宋" w:hAnsi="仿宋" w:eastAsia="仿宋" w:cs="仿宋"/>
          <w:sz w:val="32"/>
          <w:szCs w:val="32"/>
        </w:rPr>
        <w:t>用于各文化站免费开放及社区各项文化活动开展。绩效指标为 4 个，评价等级为优。</w:t>
      </w:r>
    </w:p>
    <w:p w14:paraId="089988CE">
      <w:pPr>
        <w:ind w:firstLine="640"/>
        <w:rPr>
          <w:rFonts w:ascii="仿宋" w:hAnsi="仿宋" w:eastAsia="仿宋"/>
          <w:sz w:val="32"/>
          <w:szCs w:val="32"/>
        </w:rPr>
      </w:pPr>
      <w:r>
        <w:rPr>
          <w:rFonts w:hint="eastAsia" w:ascii="仿宋" w:hAnsi="仿宋" w:eastAsia="仿宋"/>
          <w:sz w:val="32"/>
          <w:szCs w:val="32"/>
        </w:rPr>
        <w:t>（二十三）石家庄市井陉矿区凤山镇采煤沉陷区避险搬迁基础设施修复整治工程</w:t>
      </w:r>
    </w:p>
    <w:p w14:paraId="64ABE44A">
      <w:pPr>
        <w:ind w:firstLine="640"/>
        <w:rPr>
          <w:rFonts w:ascii="仿宋" w:hAnsi="仿宋" w:eastAsia="仿宋"/>
          <w:sz w:val="32"/>
          <w:szCs w:val="32"/>
        </w:rPr>
      </w:pPr>
      <w:r>
        <w:rPr>
          <w:rFonts w:hint="eastAsia" w:ascii="仿宋" w:hAnsi="仿宋" w:eastAsia="仿宋"/>
          <w:sz w:val="32"/>
          <w:szCs w:val="32"/>
        </w:rPr>
        <w:t>1.资金支出进度</w:t>
      </w:r>
    </w:p>
    <w:p w14:paraId="1F18430D">
      <w:pPr>
        <w:ind w:firstLine="640"/>
        <w:rPr>
          <w:rFonts w:ascii="仿宋" w:hAnsi="仿宋" w:eastAsia="仿宋"/>
          <w:sz w:val="32"/>
          <w:szCs w:val="32"/>
        </w:rPr>
      </w:pPr>
      <w:r>
        <w:rPr>
          <w:rFonts w:hint="eastAsia" w:ascii="仿宋" w:hAnsi="仿宋" w:eastAsia="仿宋"/>
          <w:sz w:val="32"/>
          <w:szCs w:val="32"/>
        </w:rPr>
        <w:t>该项目预算数是800万元，支出800万元，总体支出进度为100%。</w:t>
      </w:r>
    </w:p>
    <w:p w14:paraId="1E85E58D">
      <w:pPr>
        <w:ind w:firstLine="640"/>
        <w:rPr>
          <w:rFonts w:ascii="仿宋" w:hAnsi="仿宋" w:eastAsia="仿宋"/>
          <w:sz w:val="32"/>
          <w:szCs w:val="32"/>
        </w:rPr>
      </w:pPr>
      <w:r>
        <w:rPr>
          <w:rFonts w:hint="eastAsia" w:ascii="仿宋" w:hAnsi="仿宋" w:eastAsia="仿宋"/>
          <w:sz w:val="32"/>
          <w:szCs w:val="32"/>
        </w:rPr>
        <w:t>2.产出指标和效果指标完成情况</w:t>
      </w:r>
    </w:p>
    <w:p w14:paraId="20C00B64">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通过该项资金拨付，完成采煤沉陷区避险搬迁基础设施修复整治工程。绩效指标为 4 个，评价等级为优。</w:t>
      </w:r>
    </w:p>
    <w:p w14:paraId="7B9EA14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6B20AB3">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根据部门职责定位和各项工作履职情况进行综合评价，给出总得分，满分100分，得出综合绩效评价等级。部门整体支出综合绩效评价分95分为优秀。</w:t>
      </w:r>
    </w:p>
    <w:p w14:paraId="25284CB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35CAFA">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5E377C58">
      <w:pPr>
        <w:spacing w:line="560" w:lineRule="exact"/>
        <w:ind w:firstLine="640" w:firstLineChars="200"/>
        <w:rPr>
          <w:rFonts w:ascii="楷体" w:hAnsi="楷体" w:eastAsia="楷体"/>
          <w:bCs/>
          <w:sz w:val="32"/>
          <w:szCs w:val="32"/>
        </w:rPr>
      </w:pPr>
      <w:r>
        <w:rPr>
          <w:rFonts w:hint="eastAsia" w:ascii="仿宋" w:hAnsi="仿宋" w:eastAsia="仿宋"/>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w:t>
      </w:r>
    </w:p>
    <w:p w14:paraId="7877AFB7">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0EB2D9A">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针对绩效指标设定中存在的问题，从实际出发，在2024do年项目绩效目标填报中增强指标的可评价性和可量化性，合理如实的反映资金使用的绩效成果，审核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14:paraId="5ECF8881">
      <w:pPr>
        <w:spacing w:line="560" w:lineRule="exact"/>
        <w:ind w:firstLine="640" w:firstLineChars="200"/>
        <w:rPr>
          <w:rFonts w:ascii="楷体" w:hAnsi="楷体" w:eastAsia="楷体"/>
          <w:bCs/>
          <w:sz w:val="32"/>
          <w:szCs w:val="32"/>
        </w:rPr>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5F9FCE6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BA6C641">
      <w:pPr>
        <w:spacing w:line="560" w:lineRule="exact"/>
        <w:jc w:val="center"/>
        <w:rPr>
          <w:rFonts w:ascii="宋体" w:hAnsi="宋体" w:cs="宋体"/>
          <w:sz w:val="44"/>
          <w:szCs w:val="44"/>
        </w:rPr>
      </w:pPr>
      <w:r>
        <w:rPr>
          <w:rFonts w:hint="eastAsia" w:ascii="宋体" w:hAnsi="宋体" w:cs="宋体"/>
          <w:sz w:val="44"/>
          <w:szCs w:val="44"/>
        </w:rPr>
        <w:t>评价工作组人员名单</w:t>
      </w:r>
    </w:p>
    <w:tbl>
      <w:tblPr>
        <w:tblStyle w:val="8"/>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759DA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Pr>
          <w:p w14:paraId="72775A60">
            <w:pPr>
              <w:pStyle w:val="5"/>
              <w:ind w:firstLine="0" w:firstLineChars="0"/>
            </w:pPr>
            <w:r>
              <w:rPr>
                <w:rFonts w:hint="eastAsia"/>
              </w:rPr>
              <w:t xml:space="preserve"> 序号</w:t>
            </w:r>
          </w:p>
        </w:tc>
        <w:tc>
          <w:tcPr>
            <w:tcW w:w="1172" w:type="dxa"/>
          </w:tcPr>
          <w:p w14:paraId="19452156">
            <w:pPr>
              <w:pStyle w:val="5"/>
              <w:ind w:firstLine="0" w:firstLineChars="0"/>
            </w:pPr>
            <w:r>
              <w:rPr>
                <w:rFonts w:hint="eastAsia"/>
              </w:rPr>
              <w:t>姓名</w:t>
            </w:r>
          </w:p>
        </w:tc>
        <w:tc>
          <w:tcPr>
            <w:tcW w:w="1856" w:type="dxa"/>
          </w:tcPr>
          <w:p w14:paraId="450C48D2">
            <w:pPr>
              <w:pStyle w:val="5"/>
              <w:ind w:firstLine="0" w:firstLineChars="0"/>
            </w:pPr>
            <w:r>
              <w:rPr>
                <w:rFonts w:hint="eastAsia"/>
              </w:rPr>
              <w:t>工作单位</w:t>
            </w:r>
          </w:p>
        </w:tc>
        <w:tc>
          <w:tcPr>
            <w:tcW w:w="3071" w:type="dxa"/>
          </w:tcPr>
          <w:p w14:paraId="0D36A9E9">
            <w:pPr>
              <w:pStyle w:val="5"/>
              <w:ind w:firstLine="600"/>
            </w:pPr>
            <w:r>
              <w:rPr>
                <w:rFonts w:hint="eastAsia"/>
              </w:rPr>
              <w:t>职务</w:t>
            </w:r>
          </w:p>
        </w:tc>
        <w:tc>
          <w:tcPr>
            <w:tcW w:w="1813" w:type="dxa"/>
          </w:tcPr>
          <w:p w14:paraId="7286FE71">
            <w:pPr>
              <w:pStyle w:val="5"/>
              <w:ind w:firstLine="600"/>
            </w:pPr>
            <w:r>
              <w:rPr>
                <w:rFonts w:hint="eastAsia"/>
              </w:rPr>
              <w:t>签名</w:t>
            </w:r>
          </w:p>
        </w:tc>
      </w:tr>
      <w:tr w14:paraId="3CBE1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2677EB2B">
            <w:pPr>
              <w:pStyle w:val="5"/>
              <w:ind w:firstLine="0" w:firstLineChars="0"/>
            </w:pPr>
            <w:r>
              <w:rPr>
                <w:rFonts w:hint="eastAsia"/>
              </w:rPr>
              <w:t xml:space="preserve">  1</w:t>
            </w:r>
          </w:p>
        </w:tc>
        <w:tc>
          <w:tcPr>
            <w:tcW w:w="1172" w:type="dxa"/>
            <w:vAlign w:val="center"/>
          </w:tcPr>
          <w:p w14:paraId="0E6964D2">
            <w:pPr>
              <w:pStyle w:val="5"/>
              <w:ind w:firstLine="0" w:firstLineChars="0"/>
              <w:jc w:val="center"/>
            </w:pPr>
            <w:r>
              <w:rPr>
                <w:rFonts w:hint="eastAsia"/>
              </w:rPr>
              <w:t>霍龙龙</w:t>
            </w:r>
          </w:p>
        </w:tc>
        <w:tc>
          <w:tcPr>
            <w:tcW w:w="1856" w:type="dxa"/>
            <w:vAlign w:val="center"/>
          </w:tcPr>
          <w:p w14:paraId="63F96D4B">
            <w:pPr>
              <w:pStyle w:val="5"/>
              <w:ind w:firstLine="0" w:firstLineChars="0"/>
              <w:jc w:val="center"/>
            </w:pPr>
            <w:r>
              <w:rPr>
                <w:rFonts w:hint="eastAsia"/>
              </w:rPr>
              <w:t>凤山镇</w:t>
            </w:r>
          </w:p>
        </w:tc>
        <w:tc>
          <w:tcPr>
            <w:tcW w:w="3071" w:type="dxa"/>
          </w:tcPr>
          <w:p w14:paraId="45216F34">
            <w:pPr>
              <w:pStyle w:val="5"/>
              <w:ind w:firstLine="0" w:firstLineChars="0"/>
              <w:jc w:val="center"/>
            </w:pPr>
            <w:r>
              <w:rPr>
                <w:rFonts w:hint="eastAsia"/>
              </w:rPr>
              <w:t>凤山镇党委副书记、</w:t>
            </w:r>
          </w:p>
          <w:p w14:paraId="0885CC1C">
            <w:pPr>
              <w:pStyle w:val="5"/>
              <w:ind w:firstLine="0" w:firstLineChars="0"/>
              <w:jc w:val="center"/>
            </w:pPr>
            <w:r>
              <w:rPr>
                <w:rFonts w:hint="eastAsia"/>
              </w:rPr>
              <w:t>镇长</w:t>
            </w:r>
          </w:p>
        </w:tc>
        <w:tc>
          <w:tcPr>
            <w:tcW w:w="1813" w:type="dxa"/>
          </w:tcPr>
          <w:p w14:paraId="1A9D7F83">
            <w:pPr>
              <w:pStyle w:val="5"/>
              <w:ind w:firstLine="600"/>
            </w:pPr>
          </w:p>
        </w:tc>
      </w:tr>
      <w:tr w14:paraId="522F4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5A782850">
            <w:pPr>
              <w:pStyle w:val="5"/>
              <w:ind w:firstLine="0" w:firstLineChars="0"/>
            </w:pPr>
            <w:r>
              <w:rPr>
                <w:rFonts w:hint="eastAsia"/>
              </w:rPr>
              <w:t xml:space="preserve">  2</w:t>
            </w:r>
          </w:p>
        </w:tc>
        <w:tc>
          <w:tcPr>
            <w:tcW w:w="1172" w:type="dxa"/>
            <w:vAlign w:val="center"/>
          </w:tcPr>
          <w:p w14:paraId="0BB43525">
            <w:pPr>
              <w:pStyle w:val="5"/>
              <w:ind w:firstLine="0" w:firstLineChars="0"/>
              <w:jc w:val="center"/>
            </w:pPr>
            <w:r>
              <w:rPr>
                <w:rFonts w:hint="eastAsia"/>
              </w:rPr>
              <w:t>王永全</w:t>
            </w:r>
          </w:p>
        </w:tc>
        <w:tc>
          <w:tcPr>
            <w:tcW w:w="1856" w:type="dxa"/>
            <w:vAlign w:val="center"/>
          </w:tcPr>
          <w:p w14:paraId="2B99FA31">
            <w:pPr>
              <w:pStyle w:val="5"/>
              <w:ind w:firstLine="0" w:firstLineChars="0"/>
              <w:jc w:val="center"/>
            </w:pPr>
            <w:r>
              <w:rPr>
                <w:rFonts w:hint="eastAsia"/>
              </w:rPr>
              <w:t>凤山镇</w:t>
            </w:r>
          </w:p>
        </w:tc>
        <w:tc>
          <w:tcPr>
            <w:tcW w:w="3071" w:type="dxa"/>
            <w:vAlign w:val="center"/>
          </w:tcPr>
          <w:p w14:paraId="379BA00A">
            <w:pPr>
              <w:pStyle w:val="5"/>
              <w:ind w:firstLine="0" w:firstLineChars="0"/>
              <w:jc w:val="center"/>
            </w:pPr>
            <w:r>
              <w:rPr>
                <w:rFonts w:hint="eastAsia"/>
              </w:rPr>
              <w:t xml:space="preserve">  凤山镇党委委员、</w:t>
            </w:r>
          </w:p>
          <w:p w14:paraId="03AE99D3">
            <w:pPr>
              <w:pStyle w:val="5"/>
              <w:ind w:firstLine="0" w:firstLineChars="0"/>
              <w:jc w:val="center"/>
            </w:pPr>
            <w:r>
              <w:rPr>
                <w:rFonts w:hint="eastAsia"/>
              </w:rPr>
              <w:t>武装部长</w:t>
            </w:r>
          </w:p>
        </w:tc>
        <w:tc>
          <w:tcPr>
            <w:tcW w:w="1813" w:type="dxa"/>
          </w:tcPr>
          <w:p w14:paraId="550EE819">
            <w:pPr>
              <w:pStyle w:val="5"/>
              <w:ind w:firstLine="600"/>
            </w:pPr>
          </w:p>
        </w:tc>
      </w:tr>
      <w:tr w14:paraId="3E84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6E740D1B">
            <w:pPr>
              <w:pStyle w:val="5"/>
              <w:ind w:firstLine="0" w:firstLineChars="0"/>
            </w:pPr>
            <w:r>
              <w:rPr>
                <w:rFonts w:hint="eastAsia"/>
              </w:rPr>
              <w:t xml:space="preserve">  3</w:t>
            </w:r>
          </w:p>
        </w:tc>
        <w:tc>
          <w:tcPr>
            <w:tcW w:w="1172" w:type="dxa"/>
          </w:tcPr>
          <w:p w14:paraId="2FED27A7">
            <w:pPr>
              <w:pStyle w:val="5"/>
              <w:ind w:firstLine="0" w:firstLineChars="0"/>
            </w:pPr>
            <w:r>
              <w:rPr>
                <w:rFonts w:hint="eastAsia"/>
              </w:rPr>
              <w:t>苏晓刚</w:t>
            </w:r>
          </w:p>
        </w:tc>
        <w:tc>
          <w:tcPr>
            <w:tcW w:w="1856" w:type="dxa"/>
            <w:vAlign w:val="center"/>
          </w:tcPr>
          <w:p w14:paraId="03E9930F">
            <w:pPr>
              <w:pStyle w:val="5"/>
              <w:ind w:firstLine="0" w:firstLineChars="0"/>
              <w:jc w:val="center"/>
            </w:pPr>
            <w:r>
              <w:rPr>
                <w:rFonts w:hint="eastAsia"/>
              </w:rPr>
              <w:t>凤山镇</w:t>
            </w:r>
          </w:p>
        </w:tc>
        <w:tc>
          <w:tcPr>
            <w:tcW w:w="3071" w:type="dxa"/>
            <w:vAlign w:val="center"/>
          </w:tcPr>
          <w:p w14:paraId="6E7A3720">
            <w:pPr>
              <w:pStyle w:val="5"/>
              <w:ind w:firstLine="450" w:firstLineChars="150"/>
            </w:pPr>
            <w:r>
              <w:rPr>
                <w:rFonts w:hint="eastAsia"/>
              </w:rPr>
              <w:t>凤山镇纪委书记</w:t>
            </w:r>
          </w:p>
        </w:tc>
        <w:tc>
          <w:tcPr>
            <w:tcW w:w="1813" w:type="dxa"/>
          </w:tcPr>
          <w:p w14:paraId="78ADE07E">
            <w:pPr>
              <w:pStyle w:val="5"/>
              <w:ind w:firstLine="600"/>
            </w:pPr>
          </w:p>
        </w:tc>
      </w:tr>
    </w:tbl>
    <w:p w14:paraId="3081228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auto"/>
    <w:pitch w:val="default"/>
    <w:sig w:usb0="00000000" w:usb1="0000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13573">
    <w:pPr>
      <w:pStyle w:val="6"/>
    </w:pPr>
    <w:r>
      <mc:AlternateContent>
        <mc:Choice Requires="wps">
          <w:drawing>
            <wp:anchor distT="0" distB="0" distL="91440" distR="91440"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3"/>
              <wp:cNvGraphicFramePr/>
              <a:graphic xmlns:a="http://schemas.openxmlformats.org/drawingml/2006/main">
                <a:graphicData uri="http://schemas.microsoft.com/office/word/2010/wordprocessingShape">
                  <wps:wsp>
                    <wps:cNvSpPr txBox="1"/>
                    <wps:spPr>
                      <a:xfrm>
                        <a:off x="0" y="0"/>
                        <a:ext cx="209550" cy="162560"/>
                      </a:xfrm>
                      <a:prstGeom prst="rect">
                        <a:avLst/>
                      </a:prstGeom>
                      <a:noFill/>
                      <a:ln>
                        <a:noFill/>
                      </a:ln>
                    </wps:spPr>
                    <wps:txbx>
                      <w:txbxContent>
                        <w:p w14:paraId="4391EF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- 3 -</w:t>
                          </w:r>
                          <w:r>
                            <w:rPr>
                              <w:rFonts w:hint="eastAsia"/>
                              <w:sz w:val="18"/>
                            </w:rPr>
                            <w:fldChar w:fldCharType="end"/>
                          </w:r>
                        </w:p>
                      </w:txbxContent>
                    </wps:txbx>
                    <wps:bodyPr wrap="none" lIns="0" tIns="0" rIns="0" bIns="0" upright="1">
                      <a:spAutoFit/>
                    </wps:bodyPr>
                  </wps:wsp>
                </a:graphicData>
              </a:graphic>
            </wp:anchor>
          </w:drawing>
        </mc:Choice>
        <mc:Fallback>
          <w:pict>
            <v:shape id="Quad Arrow 3073 3" o:spid="_x0000_s1026" o:spt="202" type="#_x0000_t202"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C8+QS0QAAAAMBAAAPAAAAAAAAAAEAIAAAACIAAABkcnMvZG93bnJldi54bWxQ&#10;SwECFAAUAAAACACHTuJAlIK57MUBAACdAwAADgAAAAAAAAABACAAAAAgAQAAZHJzL2Uyb0RvYy54&#10;bWxQSwUGAAAAAAYABgBZAQAAVwUAAAAA&#10;">
              <v:fill on="f" focussize="0,0"/>
              <v:stroke on="f"/>
              <v:imagedata o:title=""/>
              <o:lock v:ext="edit" aspectratio="f"/>
              <v:textbox inset="0mm,0mm,0mm,0mm" style="mso-fit-shape-to-text:t;">
                <w:txbxContent>
                  <w:p w14:paraId="4391EF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- 3 -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423B42"/>
    <w:rsid w:val="00062DF2"/>
    <w:rsid w:val="00103E38"/>
    <w:rsid w:val="0016743A"/>
    <w:rsid w:val="002816BC"/>
    <w:rsid w:val="0036115B"/>
    <w:rsid w:val="004143EF"/>
    <w:rsid w:val="00423B42"/>
    <w:rsid w:val="005F0735"/>
    <w:rsid w:val="005F122F"/>
    <w:rsid w:val="00613B9F"/>
    <w:rsid w:val="0083195A"/>
    <w:rsid w:val="008718C6"/>
    <w:rsid w:val="008A68E2"/>
    <w:rsid w:val="009D41F5"/>
    <w:rsid w:val="009F54C1"/>
    <w:rsid w:val="00CF7F02"/>
    <w:rsid w:val="00EF3E09"/>
    <w:rsid w:val="00F15510"/>
    <w:rsid w:val="00FA3B81"/>
    <w:rsid w:val="3C82468D"/>
    <w:rsid w:val="56CC41B8"/>
    <w:rsid w:val="56EA18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firstLineChars="200"/>
    </w:pPr>
    <w:rPr>
      <w:rFonts w:eastAsia="仿宋_GB2312"/>
      <w:sz w:val="30"/>
    </w:r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5714</Words>
  <Characters>6099</Characters>
  <Lines>45</Lines>
  <Paragraphs>12</Paragraphs>
  <TotalTime>131</TotalTime>
  <ScaleCrop>false</ScaleCrop>
  <LinksUpToDate>false</LinksUpToDate>
  <CharactersWithSpaces>6152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2025-10-11T08:13:39Z</dcterms:modified>
  <dc:title>附件3：</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3C0BF773938548F39D46639AF72628B6_13</vt:lpwstr>
  </property>
  <property fmtid="{D5CDD505-2E9C-101B-9397-08002B2CF9AE}" pid="4" name="KSOTemplateDocerSaveRecord">
    <vt:lpwstr>eyJoZGlkIjoiZjczMDZkNDRiZDdhZjExNTAyZWE2ZWI4OGU2YzBiY2EifQ==</vt:lpwstr>
  </property>
</Properties>
</file>