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CEB13E">
      <w:pPr>
        <w:adjustRightInd w:val="0"/>
        <w:snapToGrid w:val="0"/>
        <w:spacing w:line="560" w:lineRule="exact"/>
        <w:ind w:left="0"/>
        <w:jc w:val="both"/>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附件4</w:t>
      </w:r>
    </w:p>
    <w:p w14:paraId="4185A76E">
      <w:pPr>
        <w:spacing w:line="560" w:lineRule="exact"/>
        <w:jc w:val="center"/>
        <w:rPr>
          <w:rFonts w:ascii="宋体" w:hAnsi="宋体" w:cs="宋体"/>
          <w:b/>
          <w:bCs/>
          <w:sz w:val="44"/>
          <w:szCs w:val="44"/>
        </w:rPr>
      </w:pPr>
    </w:p>
    <w:p w14:paraId="384BBBDD">
      <w:pPr>
        <w:spacing w:line="560" w:lineRule="exact"/>
        <w:jc w:val="center"/>
        <w:rPr>
          <w:rFonts w:hint="eastAsia" w:ascii="宋体" w:hAnsi="宋体" w:cs="宋体"/>
          <w:b/>
          <w:bCs/>
          <w:sz w:val="44"/>
          <w:szCs w:val="44"/>
        </w:rPr>
      </w:pPr>
      <w:r>
        <w:rPr>
          <w:rFonts w:ascii="宋体" w:hAnsi="宋体" w:cs="宋体"/>
          <w:b/>
          <w:bCs/>
          <w:sz w:val="44"/>
          <w:szCs w:val="44"/>
          <w:lang w:eastAsia="zh-CN"/>
        </w:rPr>
        <w:t>井陉</w:t>
      </w:r>
      <w:r>
        <w:rPr>
          <w:rFonts w:hint="eastAsia" w:ascii="宋体" w:hAnsi="宋体" w:cs="宋体"/>
          <w:b/>
          <w:bCs/>
          <w:sz w:val="44"/>
          <w:szCs w:val="44"/>
          <w:lang w:eastAsia="zh-CN"/>
        </w:rPr>
        <w:t>矿区退役军人事务</w:t>
      </w:r>
      <w:r>
        <w:rPr>
          <w:rFonts w:hint="eastAsia" w:ascii="宋体" w:hAnsi="宋体" w:cs="宋体"/>
          <w:b/>
          <w:bCs/>
          <w:sz w:val="44"/>
          <w:szCs w:val="44"/>
        </w:rPr>
        <w:t>部门</w:t>
      </w:r>
    </w:p>
    <w:p w14:paraId="67F50E65">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5BAAB497">
      <w:pPr>
        <w:adjustRightInd w:val="0"/>
        <w:snapToGrid w:val="0"/>
        <w:spacing w:line="560" w:lineRule="exact"/>
        <w:ind w:firstLine="640" w:firstLineChars="200"/>
        <w:rPr>
          <w:rFonts w:ascii="华文楷体" w:eastAsia="华文楷体"/>
          <w:sz w:val="32"/>
          <w:szCs w:val="32"/>
        </w:rPr>
      </w:pPr>
    </w:p>
    <w:p w14:paraId="32D0526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矿区退役军人事务</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0ACD5E4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530548C">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3099DE6E">
      <w:pPr>
        <w:snapToGrid w:val="0"/>
        <w:spacing w:line="520" w:lineRule="exact"/>
        <w:ind w:firstLine="640" w:firstLineChars="200"/>
        <w:rPr>
          <w:rFonts w:hint="eastAsia" w:ascii="仿宋" w:hAnsi="仿宋" w:eastAsia="仿宋" w:cs="仿宋"/>
          <w:b w:val="0"/>
          <w:bCs w:val="0"/>
          <w:color w:val="000000"/>
          <w:sz w:val="32"/>
          <w:szCs w:val="32"/>
          <w:lang w:val="en-US" w:eastAsia="zh-CN"/>
        </w:rPr>
      </w:pPr>
      <w:r>
        <w:rPr>
          <w:rFonts w:hint="eastAsia" w:ascii="仿宋" w:hAnsi="仿宋" w:eastAsia="仿宋" w:cs="仿宋"/>
          <w:b w:val="0"/>
          <w:bCs w:val="0"/>
          <w:color w:val="000000"/>
          <w:sz w:val="32"/>
          <w:szCs w:val="32"/>
          <w:lang w:val="en-US" w:eastAsia="zh-CN"/>
        </w:rPr>
        <w:t>1、部门职能</w:t>
      </w:r>
    </w:p>
    <w:p w14:paraId="66885627">
      <w:pPr>
        <w:snapToGrid w:val="0"/>
        <w:spacing w:line="52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根据《石家庄市井陉矿区退役军人事务局职能配置、内设机构和人员编制规定》， 石家庄市井陉矿区退役军人事务局主要职责是：</w:t>
      </w:r>
    </w:p>
    <w:p w14:paraId="21B75841">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（一）贯彻落实全区退役军人思想政治、管理保障和安置优抚等地方性法规、政府规章草案和政策并组织实施，褒扬彰显退役军人为党、国家和人民牺牲奉献的精神风范和价值导向。</w:t>
      </w:r>
    </w:p>
    <w:p w14:paraId="72213BAD">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（二）负责全区军队转业干部、复员干部、离退休干部、退役士兵、符合条件消防员和无军籍退休退职职工的移交安置工作和自主择业、就业退役军人服务管理工作。</w:t>
      </w:r>
    </w:p>
    <w:p w14:paraId="381A43A9">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（三）负责退役军人教育培训工作，协调扶持退役军人和随军随调家属就业创业。</w:t>
      </w:r>
    </w:p>
    <w:p w14:paraId="06D547E0">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（四）会同有关部门组织落实全区退役军人特殊保障政策和部分企业中军队转业干部解困政策。</w:t>
      </w:r>
    </w:p>
    <w:p w14:paraId="2AC485B8">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（五）协调落实移交地方的离退休军人、符合条件的其他退役军人和无军籍退休退职职工的住房保障工作，以及退役军人医疗保障、社会保险等待遇保障工作。</w:t>
      </w:r>
    </w:p>
    <w:p w14:paraId="156578A1">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（六）负责伤病残退役军人服务管理和抚恤工作，负责组织有关优抚对象、退役军人医疗、疗养等政策实施。承担不适宜继续服役的伤病残军人相关工作。</w:t>
      </w:r>
    </w:p>
    <w:p w14:paraId="733D134A">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七）负责全区拥军优属工作；负责现役军人、退役军人、军队文职人员、军属和符合条件的国家机关工作、人民警察、参战民兵民工、消防员等全区优抚对象的优待、抚恤等工作，组织落实国民党抗战老兵等有关人员优待政策。负责重大节日集中走访慰问全区优抚对象、退役军人及驻区部队官兵。</w:t>
      </w:r>
    </w:p>
    <w:p w14:paraId="41C3FCD7">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八）负责烈士及退役军人荣誉奖励、散葬烈士墓碑管理维护、纪念活动等工作，依法承担英雄烈士保护相关工作，审核拟列入全国和省、市、区级重点保护单位的烈士纪念建筑物名录，总结表彰和宣扬退役军人、退役军人工作单位和个人先进典型事迹。</w:t>
      </w:r>
    </w:p>
    <w:p w14:paraId="2F18A40A">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（九）负责并监督检查退役军人相关法律法规和政策措施的落实，组织开展退役军人权益维护和有关人员的帮扶援助工作。</w:t>
      </w:r>
    </w:p>
    <w:p w14:paraId="0784C3F6">
      <w:pPr>
        <w:adjustRightInd w:val="0"/>
        <w:snapToGrid w:val="0"/>
        <w:spacing w:line="56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（十）完成区委、区政府交办的其他任务。</w:t>
      </w:r>
    </w:p>
    <w:p w14:paraId="338F53FF">
      <w:pPr>
        <w:adjustRightInd w:val="0"/>
        <w:snapToGrid w:val="0"/>
        <w:spacing w:line="560" w:lineRule="exact"/>
        <w:ind w:firstLine="640" w:firstLineChars="200"/>
        <w:rPr>
          <w:rFonts w:hint="eastAsia" w:ascii="仿宋" w:hAnsi="仿宋" w:eastAsia="仿宋" w:cs="仿宋"/>
          <w:b w:val="0"/>
          <w:bCs w:val="0"/>
          <w:color w:val="000000"/>
          <w:sz w:val="32"/>
          <w:szCs w:val="32"/>
          <w:lang w:val="en-US" w:eastAsia="zh-CN"/>
        </w:rPr>
      </w:pPr>
      <w:r>
        <w:rPr>
          <w:rFonts w:hint="eastAsia" w:ascii="仿宋" w:hAnsi="仿宋" w:eastAsia="仿宋" w:cs="仿宋"/>
          <w:b w:val="0"/>
          <w:bCs w:val="0"/>
          <w:color w:val="000000"/>
          <w:sz w:val="32"/>
          <w:szCs w:val="32"/>
          <w:lang w:val="en-US" w:eastAsia="zh-CN"/>
        </w:rPr>
        <w:t>2、组织机构及人员</w:t>
      </w:r>
    </w:p>
    <w:p w14:paraId="4D707A63">
      <w:pPr>
        <w:adjustRightInd w:val="0"/>
        <w:snapToGrid w:val="0"/>
        <w:spacing w:line="560" w:lineRule="exact"/>
        <w:ind w:firstLine="640" w:firstLineChars="200"/>
        <w:rPr>
          <w:rFonts w:hint="eastAsia" w:ascii="仿宋" w:hAnsi="仿宋" w:eastAsia="仿宋"/>
          <w:color w:val="000000"/>
          <w:sz w:val="32"/>
          <w:szCs w:val="32"/>
          <w:lang w:val="en-US" w:eastAsia="zh-CN"/>
        </w:rPr>
      </w:pPr>
      <w:r>
        <w:rPr>
          <w:rFonts w:ascii="仿宋" w:hAnsi="仿宋" w:eastAsia="仿宋"/>
          <w:color w:val="000000"/>
          <w:sz w:val="32"/>
          <w:szCs w:val="32"/>
        </w:rPr>
        <w:t>井陉</w:t>
      </w:r>
      <w:r>
        <w:rPr>
          <w:rFonts w:hint="eastAsia" w:ascii="仿宋" w:hAnsi="仿宋" w:eastAsia="仿宋"/>
          <w:color w:val="000000"/>
          <w:sz w:val="32"/>
          <w:szCs w:val="32"/>
        </w:rPr>
        <w:t>矿区退役军人事务局是区政府工作部门，机构规格为正科级，202</w:t>
      </w:r>
      <w:r>
        <w:rPr>
          <w:rFonts w:ascii="仿宋" w:hAnsi="仿宋" w:eastAsia="仿宋"/>
          <w:color w:val="000000"/>
          <w:sz w:val="32"/>
          <w:szCs w:val="32"/>
          <w:lang w:val="en-US" w:eastAsia="zh-CN"/>
        </w:rPr>
        <w:t>4</w:t>
      </w:r>
      <w:r>
        <w:rPr>
          <w:rFonts w:hint="eastAsia" w:ascii="仿宋" w:hAnsi="仿宋" w:eastAsia="仿宋"/>
          <w:color w:val="000000"/>
          <w:sz w:val="32"/>
          <w:szCs w:val="32"/>
        </w:rPr>
        <w:t>年年末单位共</w:t>
      </w:r>
      <w:r>
        <w:rPr>
          <w:rFonts w:hint="eastAsia" w:ascii="仿宋" w:hAnsi="仿宋" w:eastAsia="仿宋"/>
          <w:color w:val="000000"/>
          <w:sz w:val="32"/>
          <w:szCs w:val="32"/>
          <w:lang w:val="en-US" w:eastAsia="zh-CN"/>
        </w:rPr>
        <w:t>10</w:t>
      </w:r>
      <w:r>
        <w:rPr>
          <w:rFonts w:hint="eastAsia" w:ascii="仿宋" w:hAnsi="仿宋" w:eastAsia="仿宋"/>
          <w:color w:val="000000"/>
          <w:sz w:val="32"/>
          <w:szCs w:val="32"/>
        </w:rPr>
        <w:t>名人员，</w:t>
      </w:r>
      <w:r>
        <w:rPr>
          <w:rFonts w:ascii="仿宋" w:hAnsi="仿宋" w:eastAsia="仿宋"/>
          <w:color w:val="000000"/>
          <w:sz w:val="32"/>
          <w:szCs w:val="32"/>
          <w:lang w:val="en-US" w:eastAsia="zh-CN"/>
        </w:rPr>
        <w:t>8</w:t>
      </w:r>
      <w:r>
        <w:rPr>
          <w:rFonts w:hint="eastAsia" w:ascii="仿宋" w:hAnsi="仿宋" w:eastAsia="仿宋"/>
          <w:color w:val="000000"/>
          <w:sz w:val="32"/>
          <w:szCs w:val="32"/>
        </w:rPr>
        <w:t>名行政人员，</w:t>
      </w:r>
      <w:r>
        <w:rPr>
          <w:rFonts w:ascii="仿宋" w:hAnsi="仿宋" w:eastAsia="仿宋"/>
          <w:color w:val="000000"/>
          <w:sz w:val="32"/>
          <w:szCs w:val="32"/>
          <w:lang w:val="en-US" w:eastAsia="zh-CN"/>
        </w:rPr>
        <w:t>2</w:t>
      </w:r>
      <w:r>
        <w:rPr>
          <w:rFonts w:hint="eastAsia" w:ascii="仿宋" w:hAnsi="仿宋" w:eastAsia="仿宋"/>
          <w:color w:val="000000"/>
          <w:sz w:val="32"/>
          <w:szCs w:val="32"/>
        </w:rPr>
        <w:t>名非参公事业人员。</w:t>
      </w:r>
      <w:r>
        <w:rPr>
          <w:rFonts w:hint="eastAsia" w:ascii="仿宋" w:hAnsi="仿宋" w:eastAsia="仿宋"/>
          <w:color w:val="000000"/>
          <w:sz w:val="32"/>
          <w:szCs w:val="32"/>
          <w:lang w:val="en-US" w:eastAsia="zh-CN"/>
        </w:rPr>
        <w:t xml:space="preserve">  </w:t>
      </w:r>
    </w:p>
    <w:p w14:paraId="76045A2D">
      <w:pPr>
        <w:adjustRightInd w:val="0"/>
        <w:snapToGrid w:val="0"/>
        <w:spacing w:line="560" w:lineRule="exact"/>
        <w:ind w:left="0" w:firstLine="640" w:firstLineChars="200"/>
        <w:rPr>
          <w:rFonts w:hint="eastAsia" w:ascii="仿宋" w:hAnsi="仿宋" w:eastAsia="仿宋" w:cs="仿宋"/>
          <w:b w:val="0"/>
          <w:bCs w:val="0"/>
          <w:color w:val="000000"/>
          <w:kern w:val="2"/>
          <w:sz w:val="32"/>
          <w:szCs w:val="32"/>
          <w:lang w:val="en-US" w:eastAsia="zh-CN"/>
        </w:rPr>
      </w:pPr>
      <w:r>
        <w:rPr>
          <w:rFonts w:hint="eastAsia" w:ascii="仿宋" w:hAnsi="仿宋" w:eastAsia="仿宋" w:cs="仿宋"/>
          <w:b w:val="0"/>
          <w:bCs w:val="0"/>
          <w:color w:val="000000"/>
          <w:kern w:val="2"/>
          <w:sz w:val="32"/>
          <w:szCs w:val="32"/>
          <w:lang w:val="en-US" w:eastAsia="zh-CN"/>
        </w:rPr>
        <w:t>3、部门资产情况</w:t>
      </w:r>
    </w:p>
    <w:p w14:paraId="7B0C8128">
      <w:pPr>
        <w:adjustRightInd w:val="0"/>
        <w:snapToGrid w:val="0"/>
        <w:spacing w:line="560" w:lineRule="exact"/>
        <w:ind w:left="0" w:firstLine="640" w:firstLineChars="200"/>
        <w:rPr>
          <w:rFonts w:hint="eastAsia" w:ascii="楷体" w:hAnsi="楷体" w:eastAsia="楷体" w:cs="楷体_GB2312"/>
          <w:bCs/>
          <w:sz w:val="32"/>
          <w:szCs w:val="32"/>
        </w:rPr>
      </w:pPr>
      <w:r>
        <w:rPr>
          <w:rFonts w:hint="eastAsia" w:ascii="仿宋" w:hAnsi="仿宋" w:eastAsia="仿宋" w:cs="黑体"/>
          <w:color w:val="000000"/>
          <w:kern w:val="2"/>
          <w:sz w:val="32"/>
          <w:szCs w:val="32"/>
        </w:rPr>
        <w:t>截至202</w:t>
      </w:r>
      <w:r>
        <w:rPr>
          <w:rFonts w:ascii="仿宋" w:hAnsi="仿宋" w:eastAsia="仿宋" w:cs="黑体"/>
          <w:color w:val="000000"/>
          <w:kern w:val="2"/>
          <w:sz w:val="32"/>
          <w:szCs w:val="32"/>
          <w:lang w:val="en-US" w:eastAsia="zh-CN"/>
        </w:rPr>
        <w:t>4</w:t>
      </w:r>
      <w:r>
        <w:rPr>
          <w:rFonts w:hint="eastAsia" w:ascii="仿宋" w:hAnsi="仿宋" w:eastAsia="仿宋" w:cs="黑体"/>
          <w:color w:val="000000"/>
          <w:kern w:val="2"/>
          <w:sz w:val="32"/>
          <w:szCs w:val="32"/>
        </w:rPr>
        <w:t>年12月31日，我单位</w:t>
      </w:r>
      <w:r>
        <w:rPr>
          <w:rFonts w:hint="eastAsia" w:ascii="仿宋" w:hAnsi="仿宋" w:eastAsia="仿宋" w:cs="黑体"/>
          <w:color w:val="000000"/>
          <w:kern w:val="2"/>
          <w:sz w:val="32"/>
          <w:szCs w:val="32"/>
          <w:lang w:eastAsia="zh-CN"/>
        </w:rPr>
        <w:t>固定</w:t>
      </w:r>
      <w:r>
        <w:rPr>
          <w:rFonts w:hint="eastAsia" w:ascii="仿宋" w:hAnsi="仿宋" w:eastAsia="仿宋" w:cs="黑体"/>
          <w:color w:val="000000"/>
          <w:kern w:val="2"/>
          <w:sz w:val="32"/>
          <w:szCs w:val="32"/>
        </w:rPr>
        <w:t>资产</w:t>
      </w:r>
      <w:r>
        <w:rPr>
          <w:rFonts w:hint="eastAsia" w:ascii="仿宋" w:hAnsi="仿宋" w:eastAsia="仿宋" w:cs="黑体"/>
          <w:color w:val="000000"/>
          <w:kern w:val="2"/>
          <w:sz w:val="32"/>
          <w:szCs w:val="32"/>
          <w:lang w:eastAsia="zh-CN"/>
        </w:rPr>
        <w:t>总额</w:t>
      </w:r>
      <w:r>
        <w:rPr>
          <w:rFonts w:hint="eastAsia" w:ascii="仿宋" w:hAnsi="仿宋" w:eastAsia="仿宋" w:cs="黑体"/>
          <w:color w:val="000000"/>
          <w:kern w:val="2"/>
          <w:sz w:val="32"/>
          <w:szCs w:val="32"/>
          <w:lang w:val="en-US" w:eastAsia="zh-CN"/>
        </w:rPr>
        <w:t>43.</w:t>
      </w:r>
      <w:r>
        <w:rPr>
          <w:rFonts w:ascii="仿宋" w:hAnsi="仿宋" w:eastAsia="仿宋" w:cs="黑体"/>
          <w:color w:val="000000"/>
          <w:kern w:val="2"/>
          <w:sz w:val="32"/>
          <w:szCs w:val="32"/>
          <w:lang w:val="en-US" w:eastAsia="zh-CN"/>
        </w:rPr>
        <w:t>4</w:t>
      </w:r>
      <w:r>
        <w:rPr>
          <w:rFonts w:hint="eastAsia" w:ascii="仿宋" w:hAnsi="仿宋" w:eastAsia="仿宋" w:cs="黑体"/>
          <w:color w:val="000000"/>
          <w:kern w:val="2"/>
          <w:sz w:val="32"/>
          <w:szCs w:val="32"/>
        </w:rPr>
        <w:t>万元，</w:t>
      </w:r>
      <w:r>
        <w:rPr>
          <w:rFonts w:hint="eastAsia" w:ascii="仿宋" w:hAnsi="仿宋" w:eastAsia="仿宋" w:cs="黑体"/>
          <w:color w:val="000000"/>
          <w:kern w:val="2"/>
          <w:sz w:val="32"/>
          <w:szCs w:val="32"/>
          <w:lang w:eastAsia="zh-CN"/>
        </w:rPr>
        <w:t>累计折旧</w:t>
      </w:r>
      <w:r>
        <w:rPr>
          <w:rFonts w:ascii="仿宋" w:hAnsi="仿宋" w:eastAsia="仿宋" w:cs="黑体"/>
          <w:color w:val="000000"/>
          <w:kern w:val="2"/>
          <w:sz w:val="32"/>
          <w:szCs w:val="32"/>
          <w:lang w:val="en-US" w:eastAsia="zh-CN"/>
        </w:rPr>
        <w:t>34.4</w:t>
      </w:r>
      <w:r>
        <w:rPr>
          <w:rFonts w:hint="eastAsia" w:ascii="仿宋" w:hAnsi="仿宋" w:eastAsia="仿宋" w:cs="黑体"/>
          <w:color w:val="000000"/>
          <w:kern w:val="2"/>
          <w:sz w:val="32"/>
          <w:szCs w:val="32"/>
          <w:lang w:val="en-US" w:eastAsia="zh-CN"/>
        </w:rPr>
        <w:t>万元</w:t>
      </w:r>
      <w:r>
        <w:rPr>
          <w:rFonts w:hint="eastAsia" w:ascii="仿宋" w:hAnsi="仿宋" w:eastAsia="仿宋" w:cs="黑体"/>
          <w:color w:val="000000"/>
          <w:kern w:val="2"/>
          <w:sz w:val="32"/>
          <w:szCs w:val="32"/>
          <w:lang w:eastAsia="zh-CN"/>
        </w:rPr>
        <w:t>，年末固定资产净值</w:t>
      </w:r>
      <w:r>
        <w:rPr>
          <w:rFonts w:ascii="仿宋" w:hAnsi="仿宋" w:eastAsia="仿宋" w:cs="黑体"/>
          <w:color w:val="000000"/>
          <w:kern w:val="2"/>
          <w:sz w:val="32"/>
          <w:szCs w:val="32"/>
          <w:lang w:val="en-US" w:eastAsia="zh-CN"/>
        </w:rPr>
        <w:t>9</w:t>
      </w:r>
      <w:r>
        <w:rPr>
          <w:rFonts w:hint="eastAsia" w:ascii="仿宋" w:hAnsi="仿宋" w:eastAsia="仿宋" w:cs="黑体"/>
          <w:color w:val="000000"/>
          <w:kern w:val="2"/>
          <w:sz w:val="32"/>
          <w:szCs w:val="32"/>
          <w:lang w:val="en-US" w:eastAsia="zh-CN"/>
        </w:rPr>
        <w:t>万元</w:t>
      </w:r>
      <w:r>
        <w:rPr>
          <w:rFonts w:hint="eastAsia" w:ascii="仿宋" w:hAnsi="仿宋" w:eastAsia="仿宋" w:cs="黑体"/>
          <w:color w:val="000000"/>
          <w:kern w:val="2"/>
          <w:sz w:val="32"/>
          <w:szCs w:val="32"/>
          <w:lang w:eastAsia="zh-CN"/>
        </w:rPr>
        <w:t>，无流动资产和负债。</w:t>
      </w:r>
    </w:p>
    <w:p w14:paraId="59C4900F">
      <w:pPr>
        <w:numPr>
          <w:ilvl w:val="0"/>
          <w:numId w:val="1"/>
        </w:numPr>
        <w:adjustRightInd w:val="0"/>
        <w:snapToGrid w:val="0"/>
        <w:spacing w:line="560" w:lineRule="exact"/>
        <w:ind w:left="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FECD26E">
      <w:pPr>
        <w:adjustRightInd w:val="0"/>
        <w:snapToGrid w:val="0"/>
        <w:spacing w:line="560" w:lineRule="exact"/>
        <w:ind w:left="0" w:firstLine="640" w:firstLineChars="200"/>
        <w:rPr>
          <w:rFonts w:ascii="楷体" w:hAnsi="楷体" w:eastAsia="仿宋" w:cs="楷体_GB2312"/>
          <w:bCs/>
          <w:sz w:val="32"/>
          <w:szCs w:val="32"/>
          <w:lang w:val="en-US" w:eastAsia="zh-CN"/>
        </w:rPr>
      </w:pPr>
      <w:r>
        <w:rPr>
          <w:rFonts w:hint="eastAsia" w:ascii="仿宋" w:hAnsi="仿宋" w:eastAsia="仿宋" w:cs="黑体"/>
          <w:color w:val="000000"/>
          <w:kern w:val="2"/>
          <w:sz w:val="32"/>
          <w:szCs w:val="32"/>
        </w:rPr>
        <w:t>20</w:t>
      </w:r>
      <w:r>
        <w:rPr>
          <w:rFonts w:ascii="仿宋" w:hAnsi="仿宋" w:eastAsia="仿宋" w:cs="黑体"/>
          <w:color w:val="000000"/>
          <w:kern w:val="2"/>
          <w:sz w:val="32"/>
          <w:szCs w:val="32"/>
        </w:rPr>
        <w:t>24</w:t>
      </w:r>
      <w:r>
        <w:rPr>
          <w:rFonts w:hint="eastAsia" w:ascii="仿宋" w:hAnsi="仿宋" w:eastAsia="仿宋" w:cs="黑体"/>
          <w:color w:val="000000"/>
          <w:kern w:val="2"/>
          <w:sz w:val="32"/>
          <w:szCs w:val="32"/>
        </w:rPr>
        <w:t>年度部门收入支出年初预算</w:t>
      </w:r>
      <w:r>
        <w:rPr>
          <w:rFonts w:hint="eastAsia" w:ascii="仿宋" w:hAnsi="仿宋" w:eastAsia="仿宋" w:cs="黑体"/>
          <w:color w:val="000000"/>
          <w:kern w:val="2"/>
          <w:sz w:val="32"/>
          <w:szCs w:val="32"/>
          <w:lang w:eastAsia="zh-CN"/>
        </w:rPr>
        <w:t>数</w:t>
      </w:r>
      <w:r>
        <w:rPr>
          <w:rFonts w:ascii="仿宋" w:hAnsi="仿宋" w:eastAsia="仿宋" w:cs="黑体"/>
          <w:color w:val="000000"/>
          <w:kern w:val="2"/>
          <w:sz w:val="32"/>
          <w:szCs w:val="32"/>
          <w:lang w:val="en-US" w:eastAsia="zh-CN"/>
        </w:rPr>
        <w:t>1525.72</w:t>
      </w:r>
      <w:r>
        <w:rPr>
          <w:rFonts w:hint="eastAsia" w:ascii="仿宋" w:hAnsi="仿宋" w:eastAsia="仿宋" w:cs="黑体"/>
          <w:color w:val="000000"/>
          <w:kern w:val="2"/>
          <w:sz w:val="32"/>
          <w:szCs w:val="32"/>
        </w:rPr>
        <w:t>万元，202</w:t>
      </w:r>
      <w:r>
        <w:rPr>
          <w:rFonts w:ascii="仿宋" w:hAnsi="仿宋" w:eastAsia="仿宋" w:cs="黑体"/>
          <w:color w:val="000000"/>
          <w:kern w:val="2"/>
          <w:sz w:val="32"/>
          <w:szCs w:val="32"/>
          <w:lang w:val="en-US" w:eastAsia="zh-CN"/>
        </w:rPr>
        <w:t>4</w:t>
      </w:r>
      <w:r>
        <w:rPr>
          <w:rFonts w:hint="eastAsia" w:ascii="仿宋" w:hAnsi="仿宋" w:eastAsia="仿宋" w:cs="黑体"/>
          <w:color w:val="000000"/>
          <w:kern w:val="2"/>
          <w:sz w:val="32"/>
          <w:szCs w:val="32"/>
        </w:rPr>
        <w:t>年度</w:t>
      </w:r>
      <w:r>
        <w:rPr>
          <w:rFonts w:hint="eastAsia" w:ascii="仿宋" w:hAnsi="仿宋" w:eastAsia="仿宋" w:cs="黑体"/>
          <w:color w:val="000000"/>
          <w:kern w:val="2"/>
          <w:sz w:val="32"/>
          <w:szCs w:val="32"/>
          <w:lang w:eastAsia="zh-CN"/>
        </w:rPr>
        <w:t>部门收入支出决算数</w:t>
      </w:r>
      <w:r>
        <w:rPr>
          <w:rFonts w:ascii="仿宋" w:hAnsi="仿宋" w:eastAsia="仿宋" w:cs="黑体"/>
          <w:color w:val="000000"/>
          <w:kern w:val="2"/>
          <w:sz w:val="32"/>
          <w:szCs w:val="32"/>
          <w:lang w:val="en-US" w:eastAsia="zh-CN"/>
        </w:rPr>
        <w:t>1587.4</w:t>
      </w:r>
      <w:r>
        <w:rPr>
          <w:rFonts w:hint="eastAsia" w:ascii="仿宋" w:hAnsi="仿宋" w:eastAsia="仿宋" w:cs="黑体"/>
          <w:color w:val="000000"/>
          <w:kern w:val="2"/>
          <w:sz w:val="32"/>
          <w:szCs w:val="32"/>
          <w:lang w:val="en-US" w:eastAsia="zh-CN"/>
        </w:rPr>
        <w:t>万元。</w:t>
      </w:r>
    </w:p>
    <w:p w14:paraId="27F69D07">
      <w:pPr>
        <w:numPr>
          <w:ilvl w:val="0"/>
          <w:numId w:val="1"/>
        </w:numPr>
        <w:adjustRightInd w:val="0"/>
        <w:snapToGrid w:val="0"/>
        <w:spacing w:line="560" w:lineRule="exact"/>
        <w:ind w:left="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5F9F637E">
      <w:pPr>
        <w:adjustRightInd w:val="0"/>
        <w:snapToGrid w:val="0"/>
        <w:spacing w:line="560" w:lineRule="exact"/>
        <w:ind w:left="0" w:firstLine="640" w:firstLineChars="200"/>
        <w:rPr>
          <w:rFonts w:hint="eastAsia" w:ascii="楷体" w:hAnsi="楷体" w:eastAsia="楷体" w:cs="楷体_GB2312"/>
          <w:bCs/>
          <w:sz w:val="32"/>
          <w:szCs w:val="32"/>
        </w:rPr>
      </w:pPr>
      <w:r>
        <w:rPr>
          <w:rFonts w:hint="eastAsia" w:ascii="仿宋" w:hAnsi="仿宋" w:eastAsia="仿宋" w:cs="黑体"/>
          <w:color w:val="000000"/>
          <w:kern w:val="2"/>
          <w:sz w:val="32"/>
          <w:szCs w:val="32"/>
        </w:rPr>
        <w:t>总体绩效目标：</w:t>
      </w:r>
      <w:r>
        <w:rPr>
          <w:rFonts w:ascii="仿宋" w:hAnsi="仿宋" w:eastAsia="仿宋" w:cs="黑体"/>
          <w:color w:val="000000"/>
          <w:kern w:val="2"/>
          <w:sz w:val="32"/>
          <w:szCs w:val="32"/>
        </w:rPr>
        <w:t>深入贯彻习近平新时代退役军人思想，坚持以“退役军人服务”为中心，以“维护军人军属合法权益，让军人成为全社会尊崇的职业”为主线，按照上级要求关于规划落实退役军人工作，统筹增量、盘活存量资源，优化投向投量，聚焦退役军人体系能力建设，优先保障重点工作；以项目为核心优化经费管理机制，着力提高财力资源配置效率和精确保障、精细管理水平；大力加强先进思想文化和人才队伍建设，不断完善制度，</w:t>
      </w:r>
      <w:r>
        <w:rPr>
          <w:rFonts w:hint="eastAsia" w:ascii="仿宋" w:hAnsi="仿宋" w:eastAsia="仿宋" w:cs="黑体"/>
          <w:color w:val="000000"/>
          <w:kern w:val="2"/>
          <w:sz w:val="32"/>
          <w:szCs w:val="32"/>
          <w:lang w:eastAsia="zh-CN"/>
        </w:rPr>
        <w:t>大力改善</w:t>
      </w:r>
      <w:r>
        <w:rPr>
          <w:rFonts w:ascii="仿宋" w:hAnsi="仿宋" w:eastAsia="仿宋" w:cs="黑体"/>
          <w:color w:val="000000"/>
          <w:kern w:val="2"/>
          <w:sz w:val="32"/>
          <w:szCs w:val="32"/>
        </w:rPr>
        <w:t>优抚对象优待生活条件；坚持厉行节约、勤俭办事，把宝贵财力用到刀刃上，不断提高经费管理使用效益。努力实现全区退役军人凝聚力显著增强、整体建设水平显著提高、优抚对象生活条件显著改善的目标。</w:t>
      </w:r>
    </w:p>
    <w:p w14:paraId="3DE3BF2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55C2B3A">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E032B1D">
      <w:pPr>
        <w:spacing w:line="560" w:lineRule="exact"/>
        <w:rPr>
          <w:rFonts w:hint="eastAsia" w:ascii="仿宋" w:hAnsi="仿宋" w:eastAsia="仿宋"/>
          <w:sz w:val="32"/>
          <w:szCs w:val="32"/>
          <w:lang w:eastAsia="zh-CN"/>
        </w:rPr>
      </w:pPr>
      <w:r>
        <w:rPr>
          <w:rFonts w:hint="eastAsia" w:ascii="仿宋" w:hAnsi="仿宋" w:eastAsia="仿宋"/>
          <w:sz w:val="32"/>
          <w:szCs w:val="32"/>
        </w:rPr>
        <w:t xml:space="preserve">     </w:t>
      </w:r>
      <w:r>
        <w:rPr>
          <w:rFonts w:hint="eastAsia" w:ascii="仿宋" w:hAnsi="仿宋" w:eastAsia="仿宋"/>
          <w:sz w:val="32"/>
          <w:szCs w:val="32"/>
          <w:lang w:eastAsia="zh-CN"/>
        </w:rPr>
        <w:t>根据</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w:t>
      </w:r>
      <w:r>
        <w:rPr>
          <w:rFonts w:hint="eastAsia" w:ascii="仿宋" w:hAnsi="仿宋" w:eastAsia="仿宋"/>
          <w:sz w:val="32"/>
          <w:szCs w:val="32"/>
          <w:lang w:eastAsia="zh-CN"/>
        </w:rPr>
        <w:t>要求，我部门高度重视，及时召开会议对此项工作进行安排部署，成立了主管领导任组长，分管领导任副组长，各相关业务股室人员为成员的部门预算项目绩效评价小组，严格按照文件要求对标对表，准备好相关项目的记账凭证，发放明细表等材料，依据不同项目制定科学合理的自评指标。</w:t>
      </w:r>
    </w:p>
    <w:p w14:paraId="627C5A08">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D5B3BDA">
      <w:pPr>
        <w:spacing w:line="560" w:lineRule="exact"/>
        <w:ind w:left="0" w:firstLine="640" w:firstLineChars="200"/>
        <w:rPr>
          <w:rFonts w:ascii="仿宋" w:hAnsi="仿宋" w:eastAsia="仿宋" w:cs="仿宋"/>
          <w:bCs/>
          <w:sz w:val="32"/>
          <w:szCs w:val="32"/>
          <w:lang w:val="en-US" w:eastAsia="zh-CN"/>
        </w:rPr>
      </w:pPr>
      <w:r>
        <w:rPr>
          <w:rFonts w:hint="eastAsia" w:ascii="仿宋" w:hAnsi="仿宋" w:eastAsia="仿宋" w:cs="仿宋"/>
          <w:bCs/>
          <w:sz w:val="32"/>
          <w:szCs w:val="32"/>
          <w:lang w:val="en-US" w:eastAsia="zh-CN"/>
        </w:rPr>
        <w:t>预算项目绩效管理小组根据本单位预算项目的内容、操作流程、管理机制、资金使用、产出效果等情况，根据项目的实际情况和绩效管理要求制定绩效评价工作方案，与项目相关业务科室人员进行了座谈，并抽查了财务记账凭证及部分佐证材料。对复核后的数据和资料进行汇总，依据评分标准对评价指标进行评分，对我部门202</w:t>
      </w:r>
      <w:r>
        <w:rPr>
          <w:rFonts w:ascii="仿宋" w:hAnsi="仿宋" w:eastAsia="仿宋" w:cs="仿宋"/>
          <w:bCs/>
          <w:sz w:val="32"/>
          <w:szCs w:val="32"/>
          <w:lang w:val="en-US" w:eastAsia="zh-CN"/>
        </w:rPr>
        <w:t>4</w:t>
      </w:r>
      <w:r>
        <w:rPr>
          <w:rFonts w:hint="eastAsia" w:ascii="仿宋" w:hAnsi="仿宋" w:eastAsia="仿宋" w:cs="仿宋"/>
          <w:bCs/>
          <w:sz w:val="32"/>
          <w:szCs w:val="32"/>
          <w:lang w:val="en-US" w:eastAsia="zh-CN"/>
        </w:rPr>
        <w:t>年经费使用情况进行了全方位自查和自评，并通过绩效分析形成绩效评价报告。</w:t>
      </w:r>
    </w:p>
    <w:p w14:paraId="01DF0C3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78FBA60">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018870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我部门按政策及时足额拨付退役军人各项抚恤和生活补助，保障退役军人各项合法权益，落实军人各项待遇，改善退役军人生活。</w:t>
      </w:r>
    </w:p>
    <w:p w14:paraId="5B94159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部门整体共</w:t>
      </w:r>
      <w:r>
        <w:rPr>
          <w:rFonts w:ascii="仿宋" w:hAnsi="仿宋" w:eastAsia="仿宋"/>
          <w:sz w:val="32"/>
          <w:szCs w:val="32"/>
          <w:lang w:val="en-US" w:eastAsia="zh-CN"/>
        </w:rPr>
        <w:t>46</w:t>
      </w:r>
      <w:r>
        <w:rPr>
          <w:rFonts w:hint="eastAsia" w:ascii="仿宋" w:hAnsi="仿宋" w:eastAsia="仿宋"/>
          <w:sz w:val="32"/>
          <w:szCs w:val="32"/>
          <w:lang w:val="en-US" w:eastAsia="zh-CN"/>
        </w:rPr>
        <w:t>个项目，其中</w:t>
      </w:r>
      <w:r>
        <w:rPr>
          <w:rFonts w:ascii="仿宋" w:hAnsi="仿宋" w:eastAsia="仿宋"/>
          <w:sz w:val="32"/>
          <w:szCs w:val="32"/>
          <w:lang w:val="en-US" w:eastAsia="zh-CN"/>
        </w:rPr>
        <w:t>39</w:t>
      </w:r>
      <w:r>
        <w:rPr>
          <w:rFonts w:hint="eastAsia" w:ascii="仿宋" w:hAnsi="仿宋" w:eastAsia="仿宋"/>
          <w:sz w:val="32"/>
          <w:szCs w:val="32"/>
          <w:lang w:val="en-US" w:eastAsia="zh-CN"/>
        </w:rPr>
        <w:t>个项目自评得分100分，</w:t>
      </w:r>
      <w:r>
        <w:rPr>
          <w:rFonts w:ascii="仿宋" w:hAnsi="仿宋" w:eastAsia="仿宋"/>
          <w:sz w:val="32"/>
          <w:szCs w:val="32"/>
          <w:lang w:val="en-US" w:eastAsia="zh-CN"/>
        </w:rPr>
        <w:t>整体</w:t>
      </w:r>
      <w:r>
        <w:rPr>
          <w:rFonts w:hint="eastAsia" w:ascii="仿宋" w:hAnsi="仿宋" w:eastAsia="仿宋"/>
          <w:sz w:val="32"/>
          <w:szCs w:val="32"/>
          <w:lang w:val="en-US" w:eastAsia="zh-CN"/>
        </w:rPr>
        <w:t>绩效运行良好，完成全年绩效目标。</w:t>
      </w:r>
    </w:p>
    <w:p w14:paraId="70D99649">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F48026D">
      <w:pPr>
        <w:adjustRightInd w:val="0"/>
        <w:snapToGrid w:val="0"/>
        <w:spacing w:line="560" w:lineRule="exact"/>
        <w:rPr>
          <w:rFonts w:ascii="仿宋" w:hAnsi="仿宋" w:eastAsia="仿宋"/>
          <w:sz w:val="32"/>
          <w:szCs w:val="32"/>
          <w:lang w:val="en-US" w:eastAsia="zh-CN"/>
        </w:rPr>
      </w:pPr>
      <w:r>
        <w:rPr>
          <w:rFonts w:hint="eastAsia" w:ascii="仿宋" w:hAnsi="仿宋" w:eastAsia="仿宋"/>
          <w:sz w:val="32"/>
          <w:szCs w:val="32"/>
          <w:lang w:val="en-US" w:eastAsia="zh-CN"/>
        </w:rPr>
        <w:t xml:space="preserve">     1、</w:t>
      </w:r>
      <w:r>
        <w:rPr>
          <w:rFonts w:hint="eastAsia" w:ascii="仿宋" w:hAnsi="仿宋" w:eastAsia="仿宋"/>
          <w:b/>
          <w:bCs/>
          <w:sz w:val="32"/>
          <w:szCs w:val="32"/>
          <w:lang w:val="en-US" w:eastAsia="zh-CN"/>
        </w:rPr>
        <w:t>产出指标完成情况：</w:t>
      </w:r>
    </w:p>
    <w:p w14:paraId="1597C281">
      <w:pPr>
        <w:numPr>
          <w:ilvl w:val="0"/>
          <w:numId w:val="4"/>
        </w:numPr>
        <w:adjustRightInd w:val="0"/>
        <w:snapToGrid w:val="0"/>
        <w:spacing w:line="560" w:lineRule="exact"/>
        <w:ind w:left="640" w:firstLine="0"/>
        <w:rPr>
          <w:rFonts w:hint="eastAsia" w:ascii="仿宋" w:hAnsi="仿宋" w:eastAsia="仿宋"/>
          <w:sz w:val="32"/>
          <w:szCs w:val="32"/>
          <w:lang w:val="en-US" w:eastAsia="zh-CN"/>
        </w:rPr>
      </w:pPr>
      <w:r>
        <w:rPr>
          <w:rFonts w:hint="eastAsia" w:ascii="仿宋" w:hAnsi="仿宋" w:eastAsia="仿宋"/>
          <w:sz w:val="32"/>
          <w:szCs w:val="32"/>
          <w:lang w:val="en-US" w:eastAsia="zh-CN"/>
        </w:rPr>
        <w:t>数量指标</w:t>
      </w:r>
    </w:p>
    <w:p w14:paraId="278BDD4E">
      <w:pPr>
        <w:adjustRightInd w:val="0"/>
        <w:snapToGrid w:val="0"/>
        <w:spacing w:line="560" w:lineRule="exact"/>
        <w:ind w:left="0" w:firstLine="640" w:firstLineChars="200"/>
        <w:rPr>
          <w:rFonts w:ascii="仿宋" w:hAnsi="仿宋" w:eastAsia="仿宋"/>
          <w:sz w:val="32"/>
          <w:szCs w:val="32"/>
          <w:lang w:val="en-US" w:eastAsia="zh-CN"/>
        </w:rPr>
      </w:pPr>
      <w:r>
        <w:rPr>
          <w:rFonts w:hint="eastAsia" w:ascii="仿宋" w:hAnsi="仿宋" w:eastAsia="仿宋"/>
          <w:sz w:val="32"/>
          <w:szCs w:val="32"/>
          <w:lang w:val="en-US" w:eastAsia="zh-CN"/>
        </w:rPr>
        <w:t>202</w:t>
      </w:r>
      <w:r>
        <w:rPr>
          <w:rFonts w:ascii="仿宋" w:hAnsi="仿宋" w:eastAsia="仿宋"/>
          <w:sz w:val="32"/>
          <w:szCs w:val="32"/>
          <w:lang w:val="en-US" w:eastAsia="zh-CN"/>
        </w:rPr>
        <w:t>4</w:t>
      </w:r>
      <w:r>
        <w:rPr>
          <w:rFonts w:hint="eastAsia" w:ascii="仿宋" w:hAnsi="仿宋" w:eastAsia="仿宋"/>
          <w:sz w:val="32"/>
          <w:szCs w:val="32"/>
          <w:lang w:val="en-US" w:eastAsia="zh-CN"/>
        </w:rPr>
        <w:t>年度，我部门给</w:t>
      </w:r>
      <w:r>
        <w:rPr>
          <w:rFonts w:ascii="仿宋" w:hAnsi="仿宋" w:eastAsia="仿宋"/>
          <w:sz w:val="32"/>
          <w:szCs w:val="32"/>
          <w:lang w:val="en-US" w:eastAsia="zh-CN"/>
        </w:rPr>
        <w:t>110次</w:t>
      </w:r>
      <w:r>
        <w:rPr>
          <w:rFonts w:hint="eastAsia" w:ascii="仿宋" w:hAnsi="仿宋" w:eastAsia="仿宋"/>
          <w:sz w:val="32"/>
          <w:szCs w:val="32"/>
          <w:lang w:val="en-US" w:eastAsia="zh-CN"/>
        </w:rPr>
        <w:t>义务兵家庭、3</w:t>
      </w:r>
      <w:r>
        <w:rPr>
          <w:rFonts w:ascii="仿宋" w:hAnsi="仿宋" w:eastAsia="仿宋"/>
          <w:sz w:val="32"/>
          <w:szCs w:val="32"/>
          <w:lang w:val="en-US" w:eastAsia="zh-CN"/>
        </w:rPr>
        <w:t>47</w:t>
      </w:r>
      <w:r>
        <w:rPr>
          <w:rFonts w:hint="eastAsia" w:ascii="仿宋" w:hAnsi="仿宋" w:eastAsia="仿宋"/>
          <w:sz w:val="32"/>
          <w:szCs w:val="32"/>
          <w:lang w:val="en-US" w:eastAsia="zh-CN"/>
        </w:rPr>
        <w:t>名优抚对象发放优待金、抚恤金和生活补助，</w:t>
      </w:r>
      <w:r>
        <w:rPr>
          <w:rFonts w:ascii="仿宋" w:hAnsi="仿宋" w:eastAsia="仿宋"/>
          <w:sz w:val="32"/>
          <w:szCs w:val="32"/>
          <w:lang w:val="en-US" w:eastAsia="zh-CN"/>
        </w:rPr>
        <w:t>为全区</w:t>
      </w:r>
      <w:r>
        <w:rPr>
          <w:rFonts w:hint="eastAsia" w:ascii="仿宋" w:hAnsi="仿宋" w:eastAsia="仿宋"/>
          <w:sz w:val="32"/>
          <w:szCs w:val="32"/>
          <w:lang w:val="en-US" w:eastAsia="zh-CN"/>
        </w:rPr>
        <w:t>困难退役军人和优抚对象发放慰问金和慰问品。</w:t>
      </w:r>
    </w:p>
    <w:p w14:paraId="0867BC8C">
      <w:pPr>
        <w:numPr>
          <w:ilvl w:val="0"/>
          <w:numId w:val="4"/>
        </w:numPr>
        <w:adjustRightInd w:val="0"/>
        <w:snapToGrid w:val="0"/>
        <w:spacing w:line="560" w:lineRule="exact"/>
        <w:ind w:left="640" w:firstLine="0"/>
        <w:rPr>
          <w:rFonts w:ascii="仿宋" w:hAnsi="仿宋" w:eastAsia="仿宋"/>
          <w:sz w:val="32"/>
          <w:szCs w:val="32"/>
          <w:lang w:val="en-US" w:eastAsia="zh-CN"/>
        </w:rPr>
      </w:pPr>
      <w:r>
        <w:rPr>
          <w:rFonts w:hint="eastAsia" w:ascii="仿宋" w:hAnsi="仿宋" w:eastAsia="仿宋"/>
          <w:sz w:val="32"/>
          <w:szCs w:val="32"/>
          <w:lang w:val="en-US" w:eastAsia="zh-CN"/>
        </w:rPr>
        <w:t>质量指标</w:t>
      </w:r>
    </w:p>
    <w:p w14:paraId="39B45470">
      <w:pPr>
        <w:adjustRightInd w:val="0"/>
        <w:snapToGrid w:val="0"/>
        <w:spacing w:line="560" w:lineRule="exact"/>
        <w:ind w:left="0" w:firstLine="640" w:firstLineChars="200"/>
        <w:rPr>
          <w:rFonts w:ascii="仿宋" w:hAnsi="仿宋" w:eastAsia="仿宋"/>
          <w:sz w:val="32"/>
          <w:szCs w:val="32"/>
          <w:lang w:val="en-US" w:eastAsia="zh-CN"/>
        </w:rPr>
      </w:pPr>
      <w:r>
        <w:rPr>
          <w:rFonts w:hint="eastAsia" w:ascii="仿宋" w:hAnsi="仿宋" w:eastAsia="仿宋"/>
          <w:sz w:val="32"/>
          <w:szCs w:val="32"/>
          <w:lang w:val="en-US" w:eastAsia="zh-CN"/>
        </w:rPr>
        <w:t>202</w:t>
      </w:r>
      <w:r>
        <w:rPr>
          <w:rFonts w:ascii="仿宋" w:hAnsi="仿宋" w:eastAsia="仿宋"/>
          <w:sz w:val="32"/>
          <w:szCs w:val="32"/>
          <w:lang w:val="en-US" w:eastAsia="zh-CN"/>
        </w:rPr>
        <w:t>4</w:t>
      </w:r>
      <w:r>
        <w:rPr>
          <w:rFonts w:hint="eastAsia" w:ascii="仿宋" w:hAnsi="仿宋" w:eastAsia="仿宋"/>
          <w:sz w:val="32"/>
          <w:szCs w:val="32"/>
          <w:lang w:val="en-US" w:eastAsia="zh-CN"/>
        </w:rPr>
        <w:t>年度，我部门按政策规定标准足额拨付各类抚恤金、生活补助和其他对个人和家庭的补助金，100%达到预期目标。</w:t>
      </w:r>
    </w:p>
    <w:p w14:paraId="549AF36E">
      <w:pPr>
        <w:numPr>
          <w:ilvl w:val="0"/>
          <w:numId w:val="4"/>
        </w:numPr>
        <w:adjustRightInd w:val="0"/>
        <w:snapToGrid w:val="0"/>
        <w:spacing w:line="560" w:lineRule="exact"/>
        <w:ind w:left="640" w:firstLine="0"/>
        <w:rPr>
          <w:rFonts w:ascii="仿宋" w:hAnsi="仿宋" w:eastAsia="仿宋"/>
          <w:sz w:val="32"/>
          <w:szCs w:val="32"/>
          <w:lang w:val="en-US" w:eastAsia="zh-CN"/>
        </w:rPr>
      </w:pPr>
      <w:r>
        <w:rPr>
          <w:rFonts w:hint="eastAsia" w:ascii="仿宋" w:hAnsi="仿宋" w:eastAsia="仿宋"/>
          <w:sz w:val="32"/>
          <w:szCs w:val="32"/>
          <w:lang w:val="en-US" w:eastAsia="zh-CN"/>
        </w:rPr>
        <w:t>实效指标</w:t>
      </w:r>
    </w:p>
    <w:p w14:paraId="3523ACD2">
      <w:pPr>
        <w:adjustRightInd w:val="0"/>
        <w:snapToGrid w:val="0"/>
        <w:spacing w:line="560" w:lineRule="exact"/>
        <w:ind w:left="0" w:firstLine="640" w:firstLineChars="200"/>
        <w:rPr>
          <w:rFonts w:ascii="仿宋" w:hAnsi="仿宋" w:eastAsia="仿宋"/>
          <w:sz w:val="32"/>
          <w:szCs w:val="32"/>
          <w:lang w:val="en-US" w:eastAsia="zh-CN"/>
        </w:rPr>
      </w:pPr>
      <w:r>
        <w:rPr>
          <w:rFonts w:hint="eastAsia" w:ascii="仿宋" w:hAnsi="仿宋" w:eastAsia="仿宋"/>
          <w:sz w:val="32"/>
          <w:szCs w:val="32"/>
          <w:lang w:val="en-US" w:eastAsia="zh-CN"/>
        </w:rPr>
        <w:t>20</w:t>
      </w:r>
      <w:r>
        <w:rPr>
          <w:rFonts w:ascii="仿宋" w:hAnsi="仿宋" w:eastAsia="仿宋"/>
          <w:sz w:val="32"/>
          <w:szCs w:val="32"/>
          <w:lang w:val="en-US" w:eastAsia="zh-CN"/>
        </w:rPr>
        <w:t>24</w:t>
      </w:r>
      <w:r>
        <w:rPr>
          <w:rFonts w:hint="eastAsia" w:ascii="仿宋" w:hAnsi="仿宋" w:eastAsia="仿宋"/>
          <w:sz w:val="32"/>
          <w:szCs w:val="32"/>
          <w:lang w:val="en-US" w:eastAsia="zh-CN"/>
        </w:rPr>
        <w:t>年度，我部门按照政策规定的时间节点及时拨付各类抚恤金、生活补助和其他对个人和家庭的补助金，100%达到预期目标。</w:t>
      </w:r>
    </w:p>
    <w:p w14:paraId="3F0A30A5">
      <w:pPr>
        <w:numPr>
          <w:ilvl w:val="0"/>
          <w:numId w:val="4"/>
        </w:numPr>
        <w:adjustRightInd w:val="0"/>
        <w:snapToGrid w:val="0"/>
        <w:spacing w:line="560" w:lineRule="exact"/>
        <w:ind w:left="640" w:firstLine="0"/>
        <w:rPr>
          <w:rFonts w:ascii="仿宋" w:hAnsi="仿宋" w:eastAsia="仿宋"/>
          <w:sz w:val="32"/>
          <w:szCs w:val="32"/>
          <w:lang w:val="en-US" w:eastAsia="zh-CN"/>
        </w:rPr>
      </w:pPr>
      <w:r>
        <w:rPr>
          <w:rFonts w:hint="eastAsia" w:ascii="仿宋" w:hAnsi="仿宋" w:eastAsia="仿宋"/>
          <w:sz w:val="32"/>
          <w:szCs w:val="32"/>
          <w:lang w:val="en-US" w:eastAsia="zh-CN"/>
        </w:rPr>
        <w:t>成本指标</w:t>
      </w:r>
    </w:p>
    <w:p w14:paraId="53EF52FC">
      <w:pPr>
        <w:adjustRightInd w:val="0"/>
        <w:snapToGrid w:val="0"/>
        <w:spacing w:line="560" w:lineRule="exact"/>
        <w:ind w:left="0" w:firstLine="640" w:firstLineChars="200"/>
        <w:rPr>
          <w:rFonts w:ascii="仿宋" w:hAnsi="仿宋" w:eastAsia="仿宋"/>
          <w:sz w:val="32"/>
          <w:szCs w:val="32"/>
          <w:lang w:val="en-US" w:eastAsia="zh-CN"/>
        </w:rPr>
      </w:pPr>
      <w:r>
        <w:rPr>
          <w:rFonts w:hint="eastAsia" w:ascii="仿宋" w:hAnsi="仿宋" w:eastAsia="仿宋"/>
          <w:sz w:val="32"/>
          <w:szCs w:val="32"/>
          <w:lang w:val="en-US" w:eastAsia="zh-CN"/>
        </w:rPr>
        <w:t>202</w:t>
      </w:r>
      <w:r>
        <w:rPr>
          <w:rFonts w:ascii="仿宋" w:hAnsi="仿宋" w:eastAsia="仿宋"/>
          <w:sz w:val="32"/>
          <w:szCs w:val="32"/>
          <w:lang w:val="en-US" w:eastAsia="zh-CN"/>
        </w:rPr>
        <w:t>4</w:t>
      </w:r>
      <w:r>
        <w:rPr>
          <w:rFonts w:hint="eastAsia" w:ascii="仿宋" w:hAnsi="仿宋" w:eastAsia="仿宋"/>
          <w:sz w:val="32"/>
          <w:szCs w:val="32"/>
          <w:lang w:val="en-US" w:eastAsia="zh-CN"/>
        </w:rPr>
        <w:t>年度，我部门各类补助金均控制在预算成本范围之内，按政策规定的标准执行，100%达到预期目标。</w:t>
      </w:r>
    </w:p>
    <w:p w14:paraId="76AC9FB5">
      <w:pPr>
        <w:adjustRightInd w:val="0"/>
        <w:snapToGrid w:val="0"/>
        <w:spacing w:line="560" w:lineRule="exact"/>
        <w:ind w:left="640"/>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2、效益指标完成情况：</w:t>
      </w:r>
    </w:p>
    <w:p w14:paraId="3D8F8EA0">
      <w:pPr>
        <w:numPr>
          <w:ilvl w:val="0"/>
          <w:numId w:val="5"/>
        </w:numPr>
        <w:adjustRightInd w:val="0"/>
        <w:snapToGrid w:val="0"/>
        <w:spacing w:line="560" w:lineRule="exact"/>
        <w:ind w:left="640"/>
        <w:rPr>
          <w:rFonts w:hint="eastAsia" w:ascii="仿宋" w:hAnsi="仿宋" w:eastAsia="仿宋"/>
          <w:sz w:val="32"/>
          <w:szCs w:val="32"/>
          <w:lang w:val="en-US" w:eastAsia="zh-CN"/>
        </w:rPr>
      </w:pPr>
      <w:r>
        <w:rPr>
          <w:rFonts w:hint="eastAsia" w:ascii="仿宋" w:hAnsi="仿宋" w:eastAsia="仿宋"/>
          <w:sz w:val="32"/>
          <w:szCs w:val="32"/>
          <w:lang w:val="en-US" w:eastAsia="zh-CN"/>
        </w:rPr>
        <w:t>社会效益指标</w:t>
      </w:r>
    </w:p>
    <w:p w14:paraId="59BF0539">
      <w:pPr>
        <w:adjustRightInd w:val="0"/>
        <w:snapToGrid w:val="0"/>
        <w:spacing w:line="560" w:lineRule="exact"/>
        <w:rPr>
          <w:rFonts w:ascii="仿宋" w:hAnsi="仿宋" w:eastAsia="仿宋"/>
          <w:sz w:val="32"/>
          <w:szCs w:val="32"/>
          <w:lang w:val="en-US" w:eastAsia="zh-CN"/>
        </w:rPr>
      </w:pPr>
      <w:r>
        <w:rPr>
          <w:rFonts w:hint="eastAsia" w:ascii="仿宋" w:hAnsi="仿宋" w:eastAsia="仿宋"/>
          <w:sz w:val="32"/>
          <w:szCs w:val="32"/>
          <w:lang w:val="en-US" w:eastAsia="zh-CN"/>
        </w:rPr>
        <w:t xml:space="preserve">     有效落实退役军人各项待遇，进一步改善退役军人生活情况，达成预期目标。</w:t>
      </w:r>
    </w:p>
    <w:p w14:paraId="3B98485F">
      <w:pPr>
        <w:numPr>
          <w:ilvl w:val="0"/>
          <w:numId w:val="5"/>
        </w:numPr>
        <w:adjustRightInd w:val="0"/>
        <w:snapToGrid w:val="0"/>
        <w:spacing w:line="560" w:lineRule="exact"/>
        <w:ind w:left="640"/>
        <w:rPr>
          <w:rFonts w:ascii="仿宋" w:hAnsi="仿宋" w:eastAsia="仿宋"/>
          <w:sz w:val="32"/>
          <w:szCs w:val="32"/>
          <w:lang w:val="en-US" w:eastAsia="zh-CN"/>
        </w:rPr>
      </w:pPr>
      <w:r>
        <w:rPr>
          <w:rFonts w:hint="eastAsia" w:ascii="仿宋" w:hAnsi="仿宋" w:eastAsia="仿宋"/>
          <w:sz w:val="32"/>
          <w:szCs w:val="32"/>
          <w:lang w:val="en-US" w:eastAsia="zh-CN"/>
        </w:rPr>
        <w:t>可持续影响指标</w:t>
      </w:r>
    </w:p>
    <w:p w14:paraId="73C77995">
      <w:pPr>
        <w:adjustRightInd w:val="0"/>
        <w:snapToGrid w:val="0"/>
        <w:spacing w:line="560" w:lineRule="exact"/>
        <w:rPr>
          <w:rFonts w:ascii="仿宋" w:hAnsi="仿宋" w:eastAsia="仿宋"/>
          <w:sz w:val="32"/>
          <w:szCs w:val="32"/>
          <w:lang w:val="en-US" w:eastAsia="zh-CN"/>
        </w:rPr>
      </w:pPr>
      <w:r>
        <w:rPr>
          <w:rFonts w:hint="eastAsia" w:ascii="仿宋" w:hAnsi="仿宋" w:eastAsia="仿宋"/>
          <w:sz w:val="32"/>
          <w:szCs w:val="32"/>
          <w:lang w:val="en-US" w:eastAsia="zh-CN"/>
        </w:rPr>
        <w:t xml:space="preserve">     实现长期保障军队建设需要和维护社会和谐稳定，达成预期目标。</w:t>
      </w:r>
    </w:p>
    <w:p w14:paraId="711461F1">
      <w:pPr>
        <w:adjustRightInd w:val="0"/>
        <w:snapToGrid w:val="0"/>
        <w:spacing w:line="560" w:lineRule="exact"/>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     3、</w:t>
      </w:r>
      <w:r>
        <w:rPr>
          <w:rFonts w:hint="eastAsia" w:ascii="仿宋" w:hAnsi="仿宋" w:eastAsia="仿宋"/>
          <w:b/>
          <w:bCs/>
          <w:sz w:val="32"/>
          <w:szCs w:val="32"/>
          <w:lang w:val="en-US" w:eastAsia="zh-CN"/>
        </w:rPr>
        <w:t>满意度指标完成情况：</w:t>
      </w:r>
    </w:p>
    <w:p w14:paraId="672C71B1">
      <w:pPr>
        <w:spacing w:line="560" w:lineRule="exact"/>
        <w:ind w:firstLine="960" w:firstLineChars="300"/>
        <w:rPr>
          <w:rFonts w:hint="eastAsia" w:ascii="仿宋" w:hAnsi="仿宋" w:eastAsia="仿宋"/>
          <w:sz w:val="32"/>
          <w:szCs w:val="32"/>
        </w:rPr>
      </w:pPr>
      <w:r>
        <w:rPr>
          <w:rFonts w:hint="eastAsia" w:ascii="仿宋" w:hAnsi="仿宋" w:eastAsia="仿宋"/>
          <w:sz w:val="32"/>
          <w:szCs w:val="32"/>
          <w:lang w:val="en-US" w:eastAsia="zh-CN"/>
        </w:rPr>
        <w:t>202</w:t>
      </w:r>
      <w:r>
        <w:rPr>
          <w:rFonts w:ascii="仿宋" w:hAnsi="仿宋" w:eastAsia="仿宋"/>
          <w:sz w:val="32"/>
          <w:szCs w:val="32"/>
          <w:lang w:val="en-US" w:eastAsia="zh-CN"/>
        </w:rPr>
        <w:t>4</w:t>
      </w:r>
      <w:r>
        <w:rPr>
          <w:rFonts w:hint="eastAsia" w:ascii="仿宋" w:hAnsi="仿宋" w:eastAsia="仿宋"/>
          <w:sz w:val="32"/>
          <w:szCs w:val="32"/>
          <w:lang w:val="en-US" w:eastAsia="zh-CN"/>
        </w:rPr>
        <w:t>年我部门服务对象满意度为100%，达成预期目标。</w:t>
      </w:r>
    </w:p>
    <w:p w14:paraId="71F58C02">
      <w:pPr>
        <w:numPr>
          <w:ilvl w:val="0"/>
          <w:numId w:val="6"/>
        </w:numPr>
        <w:spacing w:line="560" w:lineRule="exact"/>
        <w:ind w:left="0" w:firstLine="640" w:firstLineChars="200"/>
        <w:rPr>
          <w:rFonts w:hint="eastAsia" w:ascii="黑体" w:hAnsi="黑体" w:eastAsia="黑体"/>
          <w:sz w:val="32"/>
          <w:szCs w:val="32"/>
        </w:rPr>
      </w:pPr>
      <w:r>
        <w:rPr>
          <w:rFonts w:hint="eastAsia" w:ascii="黑体" w:hAnsi="黑体" w:eastAsia="黑体"/>
          <w:sz w:val="32"/>
          <w:szCs w:val="32"/>
        </w:rPr>
        <w:t>评价结论和评价等级</w:t>
      </w:r>
    </w:p>
    <w:p w14:paraId="0127B21C">
      <w:pPr>
        <w:spacing w:line="560" w:lineRule="exact"/>
        <w:ind w:firstLine="640" w:firstLineChars="200"/>
        <w:rPr>
          <w:rFonts w:ascii="黑体" w:hAnsi="黑体" w:eastAsia="黑体"/>
          <w:sz w:val="32"/>
          <w:szCs w:val="32"/>
          <w:lang w:val="en-US" w:eastAsia="zh-CN"/>
        </w:rPr>
      </w:pPr>
      <w:r>
        <w:rPr>
          <w:rFonts w:hint="eastAsia" w:ascii="黑体" w:hAnsi="黑体" w:eastAsia="黑体"/>
          <w:sz w:val="32"/>
          <w:szCs w:val="32"/>
          <w:lang w:val="en-US" w:eastAsia="zh-CN"/>
        </w:rPr>
        <w:t xml:space="preserve">   </w:t>
      </w:r>
      <w:r>
        <w:rPr>
          <w:rFonts w:hint="eastAsia" w:ascii="仿宋" w:hAnsi="仿宋" w:eastAsia="仿宋"/>
          <w:sz w:val="32"/>
          <w:szCs w:val="32"/>
        </w:rPr>
        <w:t>部门整体绩效自评得分</w:t>
      </w:r>
      <w:r>
        <w:rPr>
          <w:rFonts w:ascii="仿宋" w:hAnsi="仿宋" w:eastAsia="仿宋"/>
          <w:sz w:val="32"/>
          <w:szCs w:val="32"/>
        </w:rPr>
        <w:t xml:space="preserve">   </w:t>
      </w:r>
      <w:r>
        <w:rPr>
          <w:rFonts w:hint="eastAsia" w:ascii="仿宋" w:hAnsi="仿宋" w:eastAsia="仿宋"/>
          <w:sz w:val="32"/>
          <w:szCs w:val="32"/>
        </w:rPr>
        <w:t>分，等级：优秀。</w:t>
      </w:r>
    </w:p>
    <w:p w14:paraId="6291E29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762DD60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460D336D">
      <w:pPr>
        <w:spacing w:line="560" w:lineRule="exact"/>
        <w:ind w:firstLine="960" w:firstLineChars="3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1、绩效目标设定的科学性、时效性有待加强</w:t>
      </w:r>
    </w:p>
    <w:p w14:paraId="334A448B">
      <w:pPr>
        <w:spacing w:line="560" w:lineRule="exact"/>
        <w:ind w:firstLine="960" w:firstLineChars="300"/>
        <w:rPr>
          <w:rFonts w:ascii="仿宋" w:hAnsi="仿宋" w:eastAsia="仿宋" w:cs="仿宋"/>
          <w:bCs/>
          <w:sz w:val="32"/>
          <w:szCs w:val="32"/>
          <w:lang w:val="en-US" w:eastAsia="zh-CN"/>
        </w:rPr>
      </w:pPr>
      <w:r>
        <w:rPr>
          <w:rFonts w:hint="eastAsia" w:ascii="仿宋" w:hAnsi="仿宋" w:eastAsia="仿宋" w:cs="仿宋"/>
          <w:bCs/>
          <w:sz w:val="32"/>
          <w:szCs w:val="32"/>
          <w:lang w:val="en-US" w:eastAsia="zh-CN"/>
        </w:rPr>
        <w:t>2、因资金拨付情况及工作开展情况，导致个别项目在一定程度上存在支出进度慢的现象。</w:t>
      </w:r>
    </w:p>
    <w:p w14:paraId="064DB359">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3C92B323">
      <w:pPr>
        <w:spacing w:line="560" w:lineRule="exact"/>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1、细化预算编制工作，认真做好预算编制。进一步加强内部预算管理意识，严格按照预算编制的相关制度和要求进行预算编制；全面编制预算项目，优先保障“三保”刚性费用支出项目，进一步提高预算编制的科学性、严谨性和可控性。</w:t>
      </w:r>
    </w:p>
    <w:p w14:paraId="00C1AF67">
      <w:pPr>
        <w:spacing w:line="560" w:lineRule="exact"/>
        <w:ind w:firstLine="640" w:firstLineChars="200"/>
        <w:rPr>
          <w:rFonts w:ascii="仿宋" w:hAnsi="仿宋" w:eastAsia="仿宋" w:cs="仿宋"/>
          <w:bCs/>
          <w:sz w:val="32"/>
          <w:szCs w:val="32"/>
          <w:lang w:val="en-US" w:eastAsia="zh-CN"/>
        </w:rPr>
      </w:pPr>
      <w:r>
        <w:rPr>
          <w:rFonts w:hint="eastAsia" w:ascii="仿宋" w:hAnsi="仿宋" w:eastAsia="仿宋" w:cs="仿宋"/>
          <w:bCs/>
          <w:sz w:val="32"/>
          <w:szCs w:val="32"/>
          <w:lang w:val="en-US" w:eastAsia="zh-CN"/>
        </w:rPr>
        <w:t>2、加强项目开展进度的跟踪，开展项目季度绩效评价，确保项目绩效目标的完成。</w:t>
      </w:r>
    </w:p>
    <w:p w14:paraId="7058598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W w:w="9039"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6"/>
        <w:gridCol w:w="1701"/>
        <w:gridCol w:w="2977"/>
        <w:gridCol w:w="2020"/>
        <w:gridCol w:w="1065"/>
      </w:tblGrid>
      <w:tr w14:paraId="5CB60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6" w:type="dxa"/>
            <w:vAlign w:val="center"/>
          </w:tcPr>
          <w:p w14:paraId="2908A3AF">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序号</w:t>
            </w:r>
          </w:p>
        </w:tc>
        <w:tc>
          <w:tcPr>
            <w:tcW w:w="1701" w:type="dxa"/>
            <w:vAlign w:val="center"/>
          </w:tcPr>
          <w:p w14:paraId="4096F6BF">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姓名</w:t>
            </w:r>
          </w:p>
        </w:tc>
        <w:tc>
          <w:tcPr>
            <w:tcW w:w="2977" w:type="dxa"/>
            <w:vAlign w:val="center"/>
          </w:tcPr>
          <w:p w14:paraId="7BBF5E02">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工作单位</w:t>
            </w:r>
          </w:p>
        </w:tc>
        <w:tc>
          <w:tcPr>
            <w:tcW w:w="2020" w:type="dxa"/>
            <w:vAlign w:val="center"/>
          </w:tcPr>
          <w:p w14:paraId="1550C1D3">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职务</w:t>
            </w:r>
          </w:p>
        </w:tc>
        <w:tc>
          <w:tcPr>
            <w:tcW w:w="1065" w:type="dxa"/>
            <w:vAlign w:val="center"/>
          </w:tcPr>
          <w:p w14:paraId="242BC5D3">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职称</w:t>
            </w:r>
          </w:p>
        </w:tc>
      </w:tr>
      <w:tr w14:paraId="41B52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3" w:hRule="atLeast"/>
        </w:trPr>
        <w:tc>
          <w:tcPr>
            <w:tcW w:w="1276" w:type="dxa"/>
            <w:tcBorders>
              <w:top w:val="single" w:color="auto" w:sz="4" w:space="0"/>
              <w:left w:val="single" w:color="auto" w:sz="4" w:space="0"/>
              <w:right w:val="single" w:color="auto" w:sz="4" w:space="0"/>
            </w:tcBorders>
            <w:vAlign w:val="center"/>
          </w:tcPr>
          <w:p w14:paraId="7A5E5AB1">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1</w:t>
            </w:r>
          </w:p>
        </w:tc>
        <w:tc>
          <w:tcPr>
            <w:tcW w:w="1701" w:type="dxa"/>
            <w:tcBorders>
              <w:top w:val="single" w:color="auto" w:sz="4" w:space="0"/>
              <w:left w:val="single" w:color="auto" w:sz="4" w:space="0"/>
              <w:right w:val="single" w:color="auto" w:sz="4" w:space="0"/>
            </w:tcBorders>
            <w:vAlign w:val="center"/>
          </w:tcPr>
          <w:p w14:paraId="672DECB6">
            <w:pPr>
              <w:adjustRightInd w:val="0"/>
              <w:snapToGrid w:val="0"/>
              <w:spacing w:line="560" w:lineRule="exact"/>
              <w:jc w:val="center"/>
              <w:rPr>
                <w:rFonts w:hint="eastAsia" w:ascii="仿宋" w:hAnsi="仿宋" w:eastAsia="仿宋"/>
                <w:bCs/>
                <w:color w:val="000000"/>
                <w:sz w:val="32"/>
                <w:szCs w:val="32"/>
                <w:lang w:eastAsia="zh-CN"/>
              </w:rPr>
            </w:pPr>
            <w:r>
              <w:rPr>
                <w:rFonts w:ascii="仿宋" w:hAnsi="仿宋" w:eastAsia="仿宋"/>
                <w:bCs/>
                <w:color w:val="000000"/>
                <w:sz w:val="32"/>
                <w:szCs w:val="32"/>
                <w:lang w:eastAsia="zh-CN"/>
              </w:rPr>
              <w:t>高敏</w:t>
            </w:r>
          </w:p>
        </w:tc>
        <w:tc>
          <w:tcPr>
            <w:tcW w:w="2977" w:type="dxa"/>
            <w:tcBorders>
              <w:top w:val="single" w:color="auto" w:sz="4" w:space="0"/>
              <w:left w:val="single" w:color="auto" w:sz="4" w:space="0"/>
              <w:right w:val="single" w:color="auto" w:sz="4" w:space="0"/>
            </w:tcBorders>
            <w:vAlign w:val="center"/>
          </w:tcPr>
          <w:p w14:paraId="38A525DB">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区退役军人事务局</w:t>
            </w:r>
          </w:p>
        </w:tc>
        <w:tc>
          <w:tcPr>
            <w:tcW w:w="2020" w:type="dxa"/>
            <w:tcBorders>
              <w:top w:val="single" w:color="auto" w:sz="4" w:space="0"/>
              <w:left w:val="single" w:color="auto" w:sz="4" w:space="0"/>
              <w:right w:val="single" w:color="auto" w:sz="4" w:space="0"/>
            </w:tcBorders>
            <w:vAlign w:val="center"/>
          </w:tcPr>
          <w:p w14:paraId="049E0D3B">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局长</w:t>
            </w:r>
          </w:p>
        </w:tc>
        <w:tc>
          <w:tcPr>
            <w:tcW w:w="1065" w:type="dxa"/>
            <w:tcBorders>
              <w:top w:val="single" w:color="auto" w:sz="4" w:space="0"/>
              <w:left w:val="single" w:color="auto" w:sz="4" w:space="0"/>
              <w:right w:val="single" w:color="auto" w:sz="4" w:space="0"/>
            </w:tcBorders>
            <w:vAlign w:val="center"/>
          </w:tcPr>
          <w:p w14:paraId="724D9E82">
            <w:pPr>
              <w:adjustRightInd w:val="0"/>
              <w:snapToGrid w:val="0"/>
              <w:spacing w:line="560" w:lineRule="exact"/>
              <w:jc w:val="center"/>
              <w:rPr>
                <w:rFonts w:ascii="黑体" w:hAnsi="黑体" w:eastAsia="黑体"/>
                <w:color w:val="000000"/>
                <w:sz w:val="32"/>
                <w:szCs w:val="32"/>
              </w:rPr>
            </w:pPr>
          </w:p>
        </w:tc>
      </w:tr>
      <w:tr w14:paraId="50038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6" w:type="dxa"/>
            <w:tcBorders>
              <w:top w:val="single" w:color="auto" w:sz="4" w:space="0"/>
              <w:left w:val="single" w:color="auto" w:sz="4" w:space="0"/>
              <w:right w:val="single" w:color="auto" w:sz="4" w:space="0"/>
            </w:tcBorders>
            <w:vAlign w:val="center"/>
          </w:tcPr>
          <w:p w14:paraId="3C34B791">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2</w:t>
            </w:r>
          </w:p>
        </w:tc>
        <w:tc>
          <w:tcPr>
            <w:tcW w:w="1701" w:type="dxa"/>
            <w:tcBorders>
              <w:top w:val="single" w:color="auto" w:sz="4" w:space="0"/>
              <w:left w:val="single" w:color="auto" w:sz="4" w:space="0"/>
              <w:right w:val="single" w:color="auto" w:sz="4" w:space="0"/>
            </w:tcBorders>
            <w:vAlign w:val="center"/>
          </w:tcPr>
          <w:p w14:paraId="334121B7">
            <w:pPr>
              <w:adjustRightInd w:val="0"/>
              <w:snapToGrid w:val="0"/>
              <w:spacing w:line="560" w:lineRule="exact"/>
              <w:jc w:val="center"/>
              <w:rPr>
                <w:rFonts w:hint="eastAsia" w:ascii="仿宋" w:hAnsi="仿宋" w:eastAsia="仿宋"/>
                <w:bCs/>
                <w:color w:val="000000"/>
                <w:sz w:val="32"/>
                <w:szCs w:val="32"/>
                <w:lang w:eastAsia="zh-CN"/>
              </w:rPr>
            </w:pPr>
            <w:r>
              <w:rPr>
                <w:rFonts w:hint="eastAsia" w:ascii="仿宋" w:hAnsi="仿宋" w:eastAsia="仿宋"/>
                <w:bCs/>
                <w:color w:val="000000"/>
                <w:sz w:val="32"/>
                <w:szCs w:val="32"/>
                <w:lang w:eastAsia="zh-CN"/>
              </w:rPr>
              <w:t>贾雪峰</w:t>
            </w:r>
          </w:p>
        </w:tc>
        <w:tc>
          <w:tcPr>
            <w:tcW w:w="2977" w:type="dxa"/>
            <w:tcBorders>
              <w:top w:val="single" w:color="auto" w:sz="4" w:space="0"/>
              <w:left w:val="single" w:color="auto" w:sz="4" w:space="0"/>
              <w:right w:val="single" w:color="auto" w:sz="4" w:space="0"/>
            </w:tcBorders>
            <w:vAlign w:val="center"/>
          </w:tcPr>
          <w:p w14:paraId="2ADAF762">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区退役军人事务局</w:t>
            </w:r>
          </w:p>
        </w:tc>
        <w:tc>
          <w:tcPr>
            <w:tcW w:w="2020" w:type="dxa"/>
            <w:tcBorders>
              <w:top w:val="single" w:color="auto" w:sz="4" w:space="0"/>
              <w:left w:val="single" w:color="auto" w:sz="4" w:space="0"/>
              <w:right w:val="single" w:color="auto" w:sz="4" w:space="0"/>
            </w:tcBorders>
            <w:vAlign w:val="center"/>
          </w:tcPr>
          <w:p w14:paraId="6C7807C5">
            <w:pPr>
              <w:adjustRightInd w:val="0"/>
              <w:snapToGrid w:val="0"/>
              <w:spacing w:line="560" w:lineRule="exact"/>
              <w:jc w:val="center"/>
              <w:rPr>
                <w:rFonts w:ascii="仿宋" w:hAnsi="仿宋" w:eastAsia="仿宋"/>
                <w:bCs/>
                <w:color w:val="000000"/>
                <w:sz w:val="32"/>
                <w:szCs w:val="32"/>
              </w:rPr>
            </w:pPr>
            <w:r>
              <w:rPr>
                <w:rFonts w:hint="eastAsia" w:ascii="仿宋" w:hAnsi="仿宋" w:eastAsia="仿宋"/>
                <w:bCs/>
                <w:color w:val="000000"/>
                <w:sz w:val="32"/>
                <w:szCs w:val="32"/>
              </w:rPr>
              <w:t>副局长</w:t>
            </w:r>
            <w:r>
              <w:rPr>
                <w:rFonts w:ascii="仿宋" w:hAnsi="仿宋" w:eastAsia="仿宋"/>
                <w:bCs/>
                <w:color w:val="000000"/>
                <w:sz w:val="32"/>
                <w:szCs w:val="32"/>
              </w:rPr>
              <w:t>兼中心主任</w:t>
            </w:r>
          </w:p>
        </w:tc>
        <w:tc>
          <w:tcPr>
            <w:tcW w:w="1065" w:type="dxa"/>
            <w:tcBorders>
              <w:top w:val="single" w:color="auto" w:sz="4" w:space="0"/>
              <w:left w:val="single" w:color="auto" w:sz="4" w:space="0"/>
              <w:right w:val="single" w:color="auto" w:sz="4" w:space="0"/>
            </w:tcBorders>
            <w:vAlign w:val="center"/>
          </w:tcPr>
          <w:p w14:paraId="620F42EF">
            <w:pPr>
              <w:adjustRightInd w:val="0"/>
              <w:snapToGrid w:val="0"/>
              <w:spacing w:line="560" w:lineRule="exact"/>
              <w:jc w:val="center"/>
              <w:rPr>
                <w:rFonts w:ascii="黑体" w:hAnsi="黑体" w:eastAsia="黑体"/>
                <w:color w:val="000000"/>
                <w:sz w:val="32"/>
                <w:szCs w:val="32"/>
              </w:rPr>
            </w:pPr>
          </w:p>
        </w:tc>
      </w:tr>
      <w:tr w14:paraId="459C1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trPr>
        <w:tc>
          <w:tcPr>
            <w:tcW w:w="1276" w:type="dxa"/>
            <w:tcBorders>
              <w:top w:val="single" w:color="auto" w:sz="4" w:space="0"/>
              <w:left w:val="single" w:color="auto" w:sz="4" w:space="0"/>
              <w:right w:val="single" w:color="auto" w:sz="4" w:space="0"/>
            </w:tcBorders>
            <w:vAlign w:val="center"/>
          </w:tcPr>
          <w:p w14:paraId="17CF225B">
            <w:pPr>
              <w:adjustRightInd w:val="0"/>
              <w:snapToGrid w:val="0"/>
              <w:spacing w:line="560" w:lineRule="exact"/>
              <w:jc w:val="center"/>
              <w:rPr>
                <w:rFonts w:hint="eastAsia" w:ascii="仿宋" w:hAnsi="仿宋" w:eastAsia="仿宋"/>
                <w:bCs/>
                <w:color w:val="000000"/>
                <w:sz w:val="32"/>
                <w:szCs w:val="32"/>
                <w:lang w:val="en-US" w:eastAsia="zh-CN"/>
              </w:rPr>
            </w:pPr>
            <w:r>
              <w:rPr>
                <w:rFonts w:hint="eastAsia" w:ascii="仿宋" w:hAnsi="仿宋" w:eastAsia="仿宋"/>
                <w:bCs/>
                <w:color w:val="000000"/>
                <w:sz w:val="32"/>
                <w:szCs w:val="32"/>
                <w:lang w:val="en-US" w:eastAsia="zh-CN"/>
              </w:rPr>
              <w:t>3</w:t>
            </w:r>
          </w:p>
        </w:tc>
        <w:tc>
          <w:tcPr>
            <w:tcW w:w="1701" w:type="dxa"/>
            <w:tcBorders>
              <w:top w:val="single" w:color="auto" w:sz="4" w:space="0"/>
              <w:left w:val="single" w:color="auto" w:sz="4" w:space="0"/>
              <w:right w:val="single" w:color="auto" w:sz="4" w:space="0"/>
            </w:tcBorders>
            <w:vAlign w:val="center"/>
          </w:tcPr>
          <w:p w14:paraId="0A3237F0">
            <w:pPr>
              <w:adjustRightInd w:val="0"/>
              <w:snapToGrid w:val="0"/>
              <w:spacing w:line="560" w:lineRule="exact"/>
              <w:jc w:val="center"/>
              <w:rPr>
                <w:rFonts w:hint="eastAsia" w:ascii="仿宋" w:hAnsi="仿宋" w:eastAsia="仿宋"/>
                <w:bCs/>
                <w:color w:val="000000"/>
                <w:sz w:val="32"/>
                <w:szCs w:val="32"/>
                <w:lang w:eastAsia="zh-CN"/>
              </w:rPr>
            </w:pPr>
            <w:r>
              <w:rPr>
                <w:rFonts w:ascii="仿宋" w:hAnsi="仿宋" w:eastAsia="仿宋"/>
                <w:bCs/>
                <w:color w:val="000000"/>
                <w:sz w:val="32"/>
                <w:szCs w:val="32"/>
                <w:lang w:eastAsia="zh-CN"/>
              </w:rPr>
              <w:t>韩江桦</w:t>
            </w:r>
          </w:p>
        </w:tc>
        <w:tc>
          <w:tcPr>
            <w:tcW w:w="2977" w:type="dxa"/>
            <w:tcBorders>
              <w:top w:val="single" w:color="auto" w:sz="4" w:space="0"/>
              <w:left w:val="single" w:color="auto" w:sz="4" w:space="0"/>
              <w:right w:val="single" w:color="auto" w:sz="4" w:space="0"/>
            </w:tcBorders>
            <w:vAlign w:val="center"/>
          </w:tcPr>
          <w:p w14:paraId="2CE555FC">
            <w:pPr>
              <w:adjustRightInd w:val="0"/>
              <w:snapToGrid w:val="0"/>
              <w:spacing w:line="560" w:lineRule="exact"/>
              <w:jc w:val="center"/>
              <w:rPr>
                <w:rFonts w:hint="eastAsia" w:ascii="仿宋" w:hAnsi="仿宋" w:eastAsia="仿宋"/>
                <w:bCs/>
                <w:color w:val="000000"/>
                <w:sz w:val="32"/>
                <w:szCs w:val="32"/>
                <w:lang w:eastAsia="zh-CN"/>
              </w:rPr>
            </w:pPr>
            <w:r>
              <w:rPr>
                <w:rFonts w:hint="eastAsia" w:ascii="仿宋" w:hAnsi="仿宋" w:eastAsia="仿宋"/>
                <w:bCs/>
                <w:color w:val="000000"/>
                <w:sz w:val="32"/>
                <w:szCs w:val="32"/>
                <w:lang w:eastAsia="zh-CN"/>
              </w:rPr>
              <w:t>区退役军人事务局</w:t>
            </w:r>
          </w:p>
        </w:tc>
        <w:tc>
          <w:tcPr>
            <w:tcW w:w="2020" w:type="dxa"/>
            <w:tcBorders>
              <w:top w:val="single" w:color="auto" w:sz="4" w:space="0"/>
              <w:left w:val="single" w:color="auto" w:sz="4" w:space="0"/>
              <w:right w:val="single" w:color="auto" w:sz="4" w:space="0"/>
            </w:tcBorders>
            <w:vAlign w:val="center"/>
          </w:tcPr>
          <w:p w14:paraId="0A95E887">
            <w:pPr>
              <w:adjustRightInd w:val="0"/>
              <w:snapToGrid w:val="0"/>
              <w:spacing w:line="560" w:lineRule="exact"/>
              <w:jc w:val="center"/>
              <w:rPr>
                <w:rFonts w:hint="eastAsia" w:ascii="仿宋" w:hAnsi="仿宋" w:eastAsia="仿宋"/>
                <w:bCs/>
                <w:color w:val="000000"/>
                <w:sz w:val="32"/>
                <w:szCs w:val="32"/>
                <w:lang w:eastAsia="zh-CN"/>
              </w:rPr>
            </w:pPr>
            <w:r>
              <w:rPr>
                <w:rFonts w:ascii="仿宋" w:hAnsi="仿宋" w:eastAsia="仿宋"/>
                <w:bCs/>
                <w:color w:val="000000"/>
                <w:sz w:val="32"/>
                <w:szCs w:val="32"/>
                <w:lang w:eastAsia="zh-CN"/>
              </w:rPr>
              <w:t>职员</w:t>
            </w:r>
          </w:p>
        </w:tc>
        <w:tc>
          <w:tcPr>
            <w:tcW w:w="1065" w:type="dxa"/>
            <w:tcBorders>
              <w:top w:val="single" w:color="auto" w:sz="4" w:space="0"/>
              <w:left w:val="single" w:color="auto" w:sz="4" w:space="0"/>
              <w:right w:val="single" w:color="auto" w:sz="4" w:space="0"/>
            </w:tcBorders>
            <w:vAlign w:val="center"/>
          </w:tcPr>
          <w:p w14:paraId="5C3A3241">
            <w:pPr>
              <w:adjustRightInd w:val="0"/>
              <w:snapToGrid w:val="0"/>
              <w:spacing w:line="560" w:lineRule="exact"/>
              <w:jc w:val="center"/>
              <w:rPr>
                <w:rFonts w:ascii="黑体" w:hAnsi="黑体" w:eastAsia="黑体"/>
                <w:color w:val="000000"/>
                <w:sz w:val="32"/>
                <w:szCs w:val="32"/>
              </w:rPr>
            </w:pPr>
          </w:p>
        </w:tc>
      </w:tr>
    </w:tbl>
    <w:p w14:paraId="3E959C94">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EF237">
    <w:pPr>
      <w:pStyle w:val="5"/>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326B1F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326B1F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E76966"/>
    <w:multiLevelType w:val="singleLevel"/>
    <w:tmpl w:val="96E76966"/>
    <w:lvl w:ilvl="0" w:tentative="0">
      <w:start w:val="1"/>
      <w:numFmt w:val="decimal"/>
      <w:suff w:val="nothing"/>
      <w:lvlText w:val="（%1）"/>
      <w:lvlJc w:val="left"/>
      <w:pPr>
        <w:ind w:left="640" w:firstLine="0"/>
      </w:p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2EC3AE17"/>
    <w:multiLevelType w:val="singleLevel"/>
    <w:tmpl w:val="2EC3AE17"/>
    <w:lvl w:ilvl="0" w:tentative="0">
      <w:start w:val="2"/>
      <w:numFmt w:val="chineseCounting"/>
      <w:suff w:val="nothing"/>
      <w:lvlText w:val="（%1）"/>
      <w:lvlJc w:val="left"/>
      <w:pPr>
        <w:ind w:left="0" w:firstLine="0"/>
      </w:pPr>
      <w:rPr>
        <w:rFonts w:hint="eastAsia"/>
      </w:rPr>
    </w:lvl>
  </w:abstractNum>
  <w:abstractNum w:abstractNumId="3">
    <w:nsid w:val="57F01489"/>
    <w:multiLevelType w:val="singleLevel"/>
    <w:tmpl w:val="57F01489"/>
    <w:lvl w:ilvl="0" w:tentative="0">
      <w:start w:val="4"/>
      <w:numFmt w:val="chineseCounting"/>
      <w:suff w:val="nothing"/>
      <w:lvlText w:val="%1、"/>
      <w:lvlJc w:val="left"/>
      <w:pPr>
        <w:ind w:left="0" w:firstLine="0"/>
      </w:pPr>
      <w:rPr>
        <w:rFonts w:hint="eastAsia"/>
      </w:rPr>
    </w:lvl>
  </w:abstractNum>
  <w:abstractNum w:abstractNumId="4">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abstractNum w:abstractNumId="5">
    <w:nsid w:val="6F344F38"/>
    <w:multiLevelType w:val="singleLevel"/>
    <w:tmpl w:val="6F344F38"/>
    <w:lvl w:ilvl="0" w:tentative="0">
      <w:start w:val="1"/>
      <w:numFmt w:val="decimal"/>
      <w:suff w:val="nothing"/>
      <w:lvlText w:val="（%1）"/>
      <w:lvlJc w:val="left"/>
      <w:pPr>
        <w:ind w:left="0" w:firstLine="0"/>
      </w:pPr>
    </w:lvl>
  </w:abstractNum>
  <w:num w:numId="1">
    <w:abstractNumId w:val="2"/>
  </w:num>
  <w:num w:numId="2">
    <w:abstractNumId w:val="1"/>
  </w:num>
  <w:num w:numId="3">
    <w:abstractNumId w:val="4"/>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RkYjc0YzU5YmE3MWY2NGVlZTc4Y2RlM2Q0N2ZlZDMifQ=="/>
  </w:docVars>
  <w:rsids>
    <w:rsidRoot w:val="00000000"/>
    <w:rsid w:val="2264274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autoRedefine/>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autoRedefine/>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autoRedefine/>
    <w:uiPriority w:val="0"/>
    <w:pPr>
      <w:keepNext/>
      <w:keepLines/>
      <w:widowControl w:val="0"/>
      <w:spacing w:before="260" w:after="260" w:line="415" w:lineRule="auto"/>
      <w:outlineLvl w:val="2"/>
    </w:pPr>
    <w:rPr>
      <w:b/>
      <w:bCs/>
      <w:sz w:val="32"/>
      <w:szCs w:val="32"/>
    </w:rPr>
  </w:style>
  <w:style w:type="character" w:default="1" w:styleId="8">
    <w:name w:val="Default Paragraph Font"/>
    <w:autoRedefine/>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autoRedefine/>
    <w:uiPriority w:val="0"/>
    <w:pPr>
      <w:tabs>
        <w:tab w:val="center" w:pos="4153"/>
        <w:tab w:val="right" w:pos="8306"/>
      </w:tabs>
      <w:snapToGrid w:val="0"/>
      <w:jc w:val="left"/>
    </w:pPr>
    <w:rPr>
      <w:sz w:val="18"/>
    </w:rPr>
  </w:style>
  <w:style w:type="paragraph" w:styleId="6">
    <w:name w:val="header"/>
    <w:basedOn w:val="1"/>
    <w:autoRedefine/>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A3F3C2B-D7C7-48F7-8ED1-9C84ACFAE2C9}">
  <ds:schemaRefs/>
</ds:datastoreItem>
</file>

<file path=docProps/app.xml><?xml version="1.0" encoding="utf-8"?>
<Properties xmlns="http://schemas.openxmlformats.org/officeDocument/2006/extended-properties" xmlns:vt="http://schemas.openxmlformats.org/officeDocument/2006/docPropsVTypes">
  <Template>Normal.eit</Template>
  <Pages>6</Pages>
  <Words>2604</Words>
  <Characters>2686</Characters>
  <Lines>0</Lines>
  <Paragraphs>66</Paragraphs>
  <TotalTime>4385</TotalTime>
  <ScaleCrop>false</ScaleCrop>
  <LinksUpToDate>false</LinksUpToDate>
  <CharactersWithSpaces>2737</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2025-07-23T00:49:00Z</cp:lastPrinted>
  <dcterms:modified xsi:type="dcterms:W3CDTF">2025-10-11T08:18:51Z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D4D2DC10E24F4B95B8275E02990CE91D_13</vt:lpwstr>
  </property>
  <property fmtid="{D5CDD505-2E9C-101B-9397-08002B2CF9AE}" pid="4" name="KSOTemplateDocerSaveRecord">
    <vt:lpwstr>eyJoZGlkIjoiZjczMDZkNDRiZDdhZjExNTAyZWE2ZWI4OGU2YzBiY2EifQ==</vt:lpwstr>
  </property>
</Properties>
</file>