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1B1141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 w14:paraId="1CC64709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1073F93A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残联</w:t>
      </w:r>
      <w:r>
        <w:rPr>
          <w:rFonts w:hint="eastAsia" w:ascii="宋体" w:hAnsi="宋体" w:cs="宋体"/>
          <w:b/>
          <w:bCs/>
          <w:sz w:val="44"/>
          <w:szCs w:val="44"/>
        </w:rPr>
        <w:t>部门</w:t>
      </w:r>
    </w:p>
    <w:p w14:paraId="09430FE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ascii="宋体" w:hAnsi="宋体" w:cs="宋体"/>
          <w:b/>
          <w:bCs/>
          <w:sz w:val="44"/>
          <w:szCs w:val="44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0BDA071F">
      <w:pPr>
        <w:adjustRightInd w:val="0"/>
        <w:snapToGrid w:val="0"/>
        <w:spacing w:line="560" w:lineRule="exact"/>
        <w:ind w:firstLine="640" w:firstLineChars="200"/>
        <w:rPr>
          <w:rFonts w:ascii="宋体" w:hAnsi="宋体" w:cs="宋体"/>
          <w:sz w:val="32"/>
          <w:szCs w:val="32"/>
        </w:rPr>
      </w:pPr>
    </w:p>
    <w:p w14:paraId="6E5A8A25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5FAFA2C0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ascii="仿宋" w:hAnsi="仿宋" w:eastAsia="仿宋"/>
          <w:sz w:val="32"/>
          <w:szCs w:val="32"/>
        </w:rPr>
        <w:t>区委区政府</w:t>
      </w:r>
      <w:r>
        <w:rPr>
          <w:rFonts w:hint="eastAsia" w:ascii="仿宋" w:hAnsi="仿宋" w:eastAsia="仿宋"/>
          <w:sz w:val="32"/>
          <w:szCs w:val="32"/>
        </w:rPr>
        <w:t>《关于全面落实预算绩效管理的实施意见》（</w:t>
      </w:r>
      <w:r>
        <w:rPr>
          <w:rFonts w:ascii="仿宋" w:hAnsi="仿宋" w:eastAsia="仿宋"/>
          <w:sz w:val="32"/>
          <w:szCs w:val="32"/>
        </w:rPr>
        <w:t>矿</w:t>
      </w:r>
      <w:r>
        <w:rPr>
          <w:rFonts w:hint="eastAsia" w:ascii="仿宋" w:hAnsi="仿宋" w:eastAsia="仿宋"/>
          <w:sz w:val="32"/>
          <w:szCs w:val="32"/>
        </w:rPr>
        <w:t>发﹝2019﹞</w:t>
      </w: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号）文件精神，遵循“科学性、规范性、客观性和公正性”的原则，对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eastAsia="zh-CN"/>
        </w:rPr>
        <w:t>残联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ascii="仿宋" w:hAnsi="仿宋" w:eastAsia="仿宋"/>
          <w:sz w:val="32"/>
          <w:szCs w:val="32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7D0E2429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1C451EBB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610D92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0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kern w:val="0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kern w:val="0"/>
          <w:sz w:val="30"/>
          <w:szCs w:val="30"/>
        </w:rPr>
        <w:t>（1）听取残疾人意见，反映残疾人需求，维护残疾人合法权益，为残疾人服务。</w:t>
      </w:r>
    </w:p>
    <w:p w14:paraId="3AAE23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0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kern w:val="0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kern w:val="0"/>
          <w:sz w:val="30"/>
          <w:szCs w:val="30"/>
        </w:rPr>
        <w:t>（2）团结、教育残疾人，遵守法律，履行应尽的义务，发扬乐观进取精神，自尊、自信、自强、自立、为社会主义建设贡献力量。</w:t>
      </w:r>
    </w:p>
    <w:p w14:paraId="42DB06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0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kern w:val="0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kern w:val="0"/>
          <w:sz w:val="30"/>
          <w:szCs w:val="30"/>
        </w:rPr>
        <w:t>（3）弘扬人道主义，宣传残疾人事业，沟通政府、社会与残疾人之间的联系，动员社会理解、尊重、关心、帮助残疾人。</w:t>
      </w:r>
    </w:p>
    <w:p w14:paraId="7A5EF9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0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kern w:val="0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kern w:val="0"/>
          <w:sz w:val="30"/>
          <w:szCs w:val="30"/>
        </w:rPr>
        <w:t>（4）贯彻执行党和国家关于残疾人工作的方针、政策，协助政府研究、制定和实施残疾人事业的地方性法规、政策、规划和计划，对残疾人事业的有关业务领域进行指导和管理。</w:t>
      </w:r>
    </w:p>
    <w:p w14:paraId="4000A8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0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kern w:val="0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kern w:val="0"/>
          <w:sz w:val="30"/>
          <w:szCs w:val="30"/>
        </w:rPr>
        <w:t>（5）依靠政府和社会开展残疾人的康复、教育、培训、劳动就业、文化、体育、用品用具供应、福利、社会服务、无障碍设施的改造、建设和残疾预防工作，协调落实对残疾人的各种优惠政策，创造良好的环境和条件，扶助残疾人平等参与社会生活。</w:t>
      </w:r>
    </w:p>
    <w:p w14:paraId="7D4055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0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kern w:val="0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kern w:val="0"/>
          <w:sz w:val="30"/>
          <w:szCs w:val="30"/>
        </w:rPr>
        <w:t>（6）承担区政府残疾人工作协调委员会的日常工作，做好综合、组织、协调和服务。</w:t>
      </w:r>
    </w:p>
    <w:p w14:paraId="2F9AAF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0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kern w:val="0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kern w:val="0"/>
          <w:sz w:val="30"/>
          <w:szCs w:val="30"/>
        </w:rPr>
        <w:t>（7）指导各乡（镇）、办事处残联工作。</w:t>
      </w:r>
    </w:p>
    <w:p w14:paraId="57A24D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0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kern w:val="0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kern w:val="0"/>
          <w:sz w:val="30"/>
          <w:szCs w:val="30"/>
        </w:rPr>
        <w:t>（8）指导和管理各类残疾人社团组织。</w:t>
      </w:r>
    </w:p>
    <w:p w14:paraId="7FF8CCB2">
      <w:pPr>
        <w:pStyle w:val="2"/>
        <w:spacing w:before="0" w:after="0" w:line="600" w:lineRule="exact"/>
        <w:ind w:firstLine="600" w:firstLineChars="200"/>
        <w:jc w:val="left"/>
        <w:rPr>
          <w:rFonts w:hint="eastAsia" w:asciiTheme="minorEastAsia" w:hAnsiTheme="minorEastAsia" w:eastAsiaTheme="minorEastAsia" w:cstheme="minorEastAsia"/>
          <w:b w:val="0"/>
          <w:bCs w:val="0"/>
          <w:kern w:val="0"/>
          <w:sz w:val="30"/>
          <w:szCs w:val="30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0"/>
          <w:sz w:val="30"/>
          <w:szCs w:val="30"/>
          <w:lang w:val="en-US" w:eastAsia="zh-CN" w:bidi="ar-SA"/>
        </w:rPr>
        <w:t>（9）承担区委、区政府交办的其他工作。</w:t>
      </w:r>
    </w:p>
    <w:p w14:paraId="7A8EF01D">
      <w:pPr>
        <w:snapToGrid w:val="0"/>
        <w:spacing w:line="520" w:lineRule="exact"/>
        <w:ind w:firstLine="600" w:firstLineChars="200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2．机构情况，包括当年变动情况及原因。</w:t>
      </w:r>
    </w:p>
    <w:tbl>
      <w:tblPr>
        <w:tblStyle w:val="9"/>
        <w:tblpPr w:leftFromText="180" w:rightFromText="180" w:vertAnchor="text" w:horzAnchor="page" w:tblpX="2319" w:tblpY="55"/>
        <w:tblOverlap w:val="never"/>
        <w:tblW w:w="7800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47"/>
        <w:gridCol w:w="1810"/>
        <w:gridCol w:w="1865"/>
        <w:gridCol w:w="1778"/>
      </w:tblGrid>
      <w:tr w14:paraId="6CB671B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tblHeader/>
        </w:trPr>
        <w:tc>
          <w:tcPr>
            <w:tcW w:w="2347" w:type="dxa"/>
            <w:vMerge w:val="restart"/>
            <w:vAlign w:val="center"/>
          </w:tcPr>
          <w:p w14:paraId="476F907F"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30"/>
                <w:szCs w:val="30"/>
              </w:rPr>
              <w:t>单位名称</w:t>
            </w:r>
          </w:p>
        </w:tc>
        <w:tc>
          <w:tcPr>
            <w:tcW w:w="1810" w:type="dxa"/>
            <w:vMerge w:val="restart"/>
            <w:vAlign w:val="center"/>
          </w:tcPr>
          <w:p w14:paraId="448AD56C"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30"/>
                <w:szCs w:val="30"/>
              </w:rPr>
              <w:t>单位性质</w:t>
            </w:r>
          </w:p>
        </w:tc>
        <w:tc>
          <w:tcPr>
            <w:tcW w:w="1865" w:type="dxa"/>
            <w:vMerge w:val="restart"/>
            <w:vAlign w:val="center"/>
          </w:tcPr>
          <w:p w14:paraId="18642899"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30"/>
                <w:szCs w:val="30"/>
              </w:rPr>
              <w:t>单位规格</w:t>
            </w:r>
          </w:p>
        </w:tc>
        <w:tc>
          <w:tcPr>
            <w:tcW w:w="1778" w:type="dxa"/>
            <w:vMerge w:val="restart"/>
            <w:vAlign w:val="center"/>
          </w:tcPr>
          <w:p w14:paraId="3DFDA737"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30"/>
                <w:szCs w:val="30"/>
              </w:rPr>
              <w:t>经费保障形式</w:t>
            </w:r>
          </w:p>
        </w:tc>
      </w:tr>
      <w:tr w14:paraId="1890B4F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tblHeader/>
        </w:trPr>
        <w:tc>
          <w:tcPr>
            <w:tcW w:w="2347" w:type="dxa"/>
            <w:vMerge w:val="continue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52DE663C">
            <w:pP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</w:tc>
        <w:tc>
          <w:tcPr>
            <w:tcW w:w="1810" w:type="dxa"/>
            <w:vMerge w:val="continue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256BBC11">
            <w:pP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</w:tc>
        <w:tc>
          <w:tcPr>
            <w:tcW w:w="1865" w:type="dxa"/>
            <w:vMerge w:val="continue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1E53B4D0">
            <w:pP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</w:tc>
        <w:tc>
          <w:tcPr>
            <w:tcW w:w="1778" w:type="dxa"/>
            <w:vMerge w:val="continue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5A5D2EAD">
            <w:pP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</w:tc>
      </w:tr>
      <w:tr w14:paraId="0F5C5A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2347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63BF49D2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井陉矿区残疾人联合会</w:t>
            </w:r>
          </w:p>
        </w:tc>
        <w:tc>
          <w:tcPr>
            <w:tcW w:w="1810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0025417A"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  <w:lang w:eastAsia="zh-CN"/>
              </w:rPr>
              <w:t>事业</w:t>
            </w:r>
          </w:p>
        </w:tc>
        <w:tc>
          <w:tcPr>
            <w:tcW w:w="1865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7F4D070F"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正科级</w:t>
            </w:r>
          </w:p>
        </w:tc>
        <w:tc>
          <w:tcPr>
            <w:tcW w:w="1778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19705F40"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财政拨款</w:t>
            </w:r>
          </w:p>
        </w:tc>
      </w:tr>
    </w:tbl>
    <w:p w14:paraId="313DD12B">
      <w:pPr>
        <w:snapToGrid w:val="0"/>
        <w:spacing w:line="520" w:lineRule="exact"/>
        <w:ind w:left="0" w:firstLine="300" w:firstLineChars="100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 xml:space="preserve">  </w:t>
      </w:r>
    </w:p>
    <w:p w14:paraId="5A985A84">
      <w:pPr>
        <w:snapToGrid w:val="0"/>
        <w:spacing w:line="520" w:lineRule="exact"/>
        <w:ind w:left="0" w:firstLine="300" w:firstLineChars="100"/>
        <w:rPr>
          <w:rFonts w:hint="eastAsia" w:asciiTheme="minorEastAsia" w:hAnsiTheme="minorEastAsia" w:eastAsiaTheme="minorEastAsia" w:cstheme="minorEastAsia"/>
          <w:sz w:val="30"/>
          <w:szCs w:val="30"/>
        </w:rPr>
      </w:pPr>
    </w:p>
    <w:p w14:paraId="5CAD000A">
      <w:pPr>
        <w:snapToGrid w:val="0"/>
        <w:spacing w:line="520" w:lineRule="exact"/>
        <w:ind w:left="596" w:leftChars="284" w:firstLine="0" w:firstLineChars="0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3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>3.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人员情况，包括当年变动情况及原因。</w:t>
      </w:r>
    </w:p>
    <w:p w14:paraId="1A74C0E7">
      <w:pPr>
        <w:snapToGrid w:val="0"/>
        <w:spacing w:line="520" w:lineRule="exact"/>
        <w:ind w:left="0" w:firstLine="600" w:firstLineChars="200"/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>根据矿办发[2002]51号文件精神，井陉矿区残疾人联合会编制3人（2024年年初实有2人，年末实有3人）。</w:t>
      </w:r>
    </w:p>
    <w:p w14:paraId="55D456BD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53062B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textAlignment w:val="auto"/>
        <w:outlineLvl w:val="9"/>
        <w:rPr>
          <w:rFonts w:hint="eastAsia" w:ascii="楷体" w:hAnsi="楷体" w:eastAsia="楷体" w:cs="楷体_GB2312"/>
          <w:bCs/>
          <w:color w:val="000000" w:themeColor="text1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 w:themeColor="text1"/>
          <w:sz w:val="30"/>
          <w:szCs w:val="30"/>
          <w:lang w:val="en-US" w:eastAsia="zh-CN"/>
        </w:rPr>
        <w:t>2024年实际支出79.95万元，其中基本支出35.13万元，包括人员经费32.85万元，日常公用经费2.28万元；项目支出44.82万元。</w:t>
      </w:r>
    </w:p>
    <w:p w14:paraId="4EFDA6A3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53AE04B9">
      <w:pPr>
        <w:widowControl/>
        <w:ind w:firstLine="600" w:firstLineChars="200"/>
        <w:jc w:val="left"/>
        <w:textAlignment w:val="top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color w:val="000000"/>
          <w:kern w:val="0"/>
          <w:sz w:val="30"/>
          <w:szCs w:val="30"/>
        </w:rPr>
        <w:t>对残疾人进行精准康复，健全康复保障措施，加强医疗康复和残疾预防。多渠道推进残疾人就业，提高残疾人生活质量；开展多样的残疾人文化服务活动，提升残疾人文化活动参与率；完善残疾人无障碍建设。对残疾人进行法律救助，开展普法宣传，维护残疾人合法权益；对定点帮扶村进行帮扶，改善困难户生活条件，提升帮扶村经济质量及困难户幸福感。通过五大残疾人协会开展各类残疾人活动，促进残疾人平等参与社会生活，为残疾人工作提出建议。对全市用人部门残保金征收材料审核，扩大残保金政策宣传，完成全年征收目标，为财政运行水平提供保障。大力推进残疾人事业高质量全面发展，更好的为残疾人提供康复服务，做好残疾人就业、解困脱困及教育工作，加大残疾人职业培训力度，进一步促进残疾人就业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。</w:t>
      </w:r>
    </w:p>
    <w:p w14:paraId="6D9B26A3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09FEEDAA">
      <w:pPr>
        <w:spacing w:line="560" w:lineRule="exact"/>
        <w:ind w:firstLine="642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21FE6559">
      <w:pPr>
        <w:spacing w:line="560" w:lineRule="exact"/>
        <w:ind w:firstLine="642"/>
        <w:rPr>
          <w:rFonts w:hint="eastAsia" w:asciiTheme="minorEastAsia" w:hAnsiTheme="minorEastAsia" w:eastAsiaTheme="minorEastAsia" w:cstheme="minorEastAsia"/>
          <w:color w:val="000000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</w:rPr>
        <w:t>为进一步提高我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  <w:lang w:eastAsia="zh-CN"/>
        </w:rPr>
        <w:t>单位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</w:rPr>
        <w:t>绩效预算管理工作，根据《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  <w:lang w:eastAsia="zh-CN"/>
        </w:rPr>
        <w:t>中共井陉矿区委、井陉矿区人民政府关于全面落实预算绩效管理的实施意见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</w:rPr>
        <w:t>》（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  <w:lang w:eastAsia="zh-CN"/>
        </w:rPr>
        <w:t>矿发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</w:rPr>
        <w:t>〔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  <w:lang w:val="en-US" w:eastAsia="zh-CN"/>
        </w:rPr>
        <w:t>2019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</w:rPr>
        <w:t>〕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  <w:lang w:val="en-US" w:eastAsia="zh-CN"/>
        </w:rPr>
        <w:t>7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</w:rPr>
        <w:t>号）要求，成立绩效评价工作组，对我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  <w:lang w:eastAsia="zh-CN"/>
        </w:rPr>
        <w:t>单位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</w:rPr>
        <w:t>所有的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  <w:lang w:eastAsia="zh-CN"/>
        </w:rPr>
        <w:t>资金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</w:rPr>
        <w:t>项目，开展20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  <w:lang w:val="en-US" w:eastAsia="zh-CN"/>
        </w:rPr>
        <w:t>24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</w:rPr>
        <w:t>年度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  <w:lang w:eastAsia="zh-CN"/>
        </w:rPr>
        <w:t>部门整体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</w:rPr>
        <w:t>绩效自评工作。</w:t>
      </w:r>
    </w:p>
    <w:p w14:paraId="33621E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0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</w:rPr>
        <w:t>绩效评价工作组根据工作方案，明确任务分工，确定评价程序及时间安排。根据20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  <w:lang w:val="en-US" w:eastAsia="zh-CN"/>
        </w:rPr>
        <w:t>24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</w:rPr>
        <w:t>年初设定的绩效目标完成情况和各绩效指标完成情况进行核实分析，填报《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  <w:lang w:val="en-US" w:eastAsia="zh-CN"/>
        </w:rPr>
        <w:t>2024年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  <w:lang w:eastAsia="zh-CN"/>
        </w:rPr>
        <w:t>区级</w:t>
      </w:r>
      <w:r>
        <w:rPr>
          <w:rFonts w:hint="eastAsia" w:asciiTheme="minorEastAsia" w:hAnsiTheme="minorEastAsia" w:eastAsiaTheme="minorEastAsia" w:cstheme="minorEastAsia"/>
          <w:color w:val="000000"/>
          <w:sz w:val="30"/>
          <w:szCs w:val="30"/>
        </w:rPr>
        <w:t>项目绩效自评表》，并撰写绩效自评报告。</w:t>
      </w:r>
    </w:p>
    <w:p w14:paraId="4A52456C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7A828958">
      <w:pPr>
        <w:pStyle w:val="5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kern w:val="2"/>
          <w:sz w:val="30"/>
          <w:szCs w:val="30"/>
          <w:lang w:val="en-US" w:eastAsia="zh-CN" w:bidi="ar-SA"/>
        </w:rPr>
        <w:t>本次绩效评价证据收集方法包括了：研究、分析项目预算股室提供的相关文件；整理汇总项目预算股室提供的项目资料、工作总结和合同；根据预算股室提供的基础数据表逐项进行核实；根据项目服务对象填写的问卷调查结果汇总满意度情况。项目在前期的调研基础上，完成了项目绩效评价工作方案，设计了指标体系、评价标准、问卷调查方案等，明确了评价的目的、方法，评价原则。项目严格按照工作方案，通过调研、相关文件的解读、数据采集、文件调查、数据分析、指标评分和撰写的环节，顺利完成了本次绩效评价工作。</w:t>
      </w:r>
    </w:p>
    <w:p w14:paraId="7A375EDA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5C920469">
      <w:pPr>
        <w:numPr>
          <w:ilvl w:val="0"/>
          <w:numId w:val="3"/>
        </w:numPr>
        <w:spacing w:line="560" w:lineRule="exact"/>
        <w:ind w:left="0"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27DD6DD1">
      <w:pPr>
        <w:widowControl/>
        <w:ind w:firstLine="600" w:firstLineChars="200"/>
        <w:jc w:val="left"/>
        <w:textAlignment w:val="top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color w:val="000000"/>
          <w:kern w:val="0"/>
          <w:sz w:val="30"/>
          <w:szCs w:val="30"/>
        </w:rPr>
        <w:t>对残疾人进行精准康复，健全康复保障措施，加强医疗康复和残疾预防。多渠道推进残疾人就业，提高残疾人生活质量；开展多样的残疾人文化服务活动，提升残疾人文化活动参与率；完善残疾人无障碍建设。对残疾人进行法律救助，开展普法宣传，维护残疾人合法权益；对定点帮扶村进行帮扶，改善困难户生活条件，提升帮扶村经济质量及困难户幸福感。通过五大残疾人协会开展各类残疾人活动，促进残疾人平等参与社会生活，为残疾人工作提出建议。对全市用人部门残保金征收材料审核，扩大残保金政策宣传，完成全年征收目标，为财政运行水平提供保障。大力推进残疾人事业高质量全面发展，更好的为残疾人提供康复服务，做好残疾人就业、解困脱困及教育工作，加大残疾人职业培训力度，进一步促进残疾人就业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。</w:t>
      </w:r>
    </w:p>
    <w:p w14:paraId="20E56688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20857033">
      <w:pPr>
        <w:widowControl/>
        <w:ind w:firstLine="600" w:firstLineChars="200"/>
        <w:jc w:val="left"/>
        <w:textAlignment w:val="top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color w:val="000000"/>
          <w:kern w:val="0"/>
          <w:sz w:val="30"/>
          <w:szCs w:val="30"/>
        </w:rPr>
        <w:t>对残疾人进行精准康复，健全康复保障措施，加强医疗康复和残疾预防。多渠道推进残疾人就业，提高残疾人生活质量；开展多样的残疾人文化服务活动，提升残疾人文化活动参与率；完善残疾人无障碍建设。对残疾人进行法律救助，开展普法宣传，维护残疾人合法权益；对定点帮扶村进行帮扶，改善困难户生活条件，提升帮扶村经济质量及困难户幸福感。通过五大残疾人协会开展各类残疾人活动，促进残疾人平等参与社会生活，为残疾人工作提出建议。对全市用人部门残保金征收材料审核，扩大残保金政策宣传，完成全年征收目标，为财政运行水平提供保障。大力推进残疾人事业高质量全面发展，更好的为残疾人提供康复服务，做好残疾人就业、解困脱困及教育工作，加大残疾人职业培训力度，进一步促进残疾人就业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。</w:t>
      </w:r>
    </w:p>
    <w:p w14:paraId="5D972CF8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6DB1792F">
      <w:pPr>
        <w:pStyle w:val="11"/>
        <w:rPr>
          <w:rFonts w:ascii="仿宋" w:hAnsi="仿宋" w:eastAsia="仿宋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kern w:val="0"/>
          <w:sz w:val="30"/>
          <w:szCs w:val="30"/>
          <w:lang w:val="en-US" w:eastAsia="zh-CN" w:bidi="ar-SA"/>
        </w:rPr>
        <w:t>根据部门职责定位和各项工作履职情况进行综合评价，给出得分为96分，得出综合绩效评价等级。部门整体支出综合绩效评价为优秀。</w:t>
      </w:r>
    </w:p>
    <w:p w14:paraId="64BC8B9A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0BCBF287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59BE4013">
      <w:pPr>
        <w:spacing w:line="560" w:lineRule="exact"/>
        <w:ind w:firstLine="60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kern w:val="0"/>
          <w:sz w:val="30"/>
          <w:szCs w:val="30"/>
          <w:lang w:val="en-US" w:eastAsia="zh-CN" w:bidi="ar-SA"/>
        </w:rPr>
        <w:t>绩效评价在目标设定上过于简单，对于绩效考核来讲，目标就是方向，如果在绩效考核目标设定上出现问题、或者是设计不合理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color w:val="000000"/>
          <w:kern w:val="0"/>
          <w:sz w:val="30"/>
          <w:szCs w:val="30"/>
          <w:lang w:val="en-US" w:eastAsia="zh-CN" w:bidi="ar-SA"/>
        </w:rPr>
        <w:t xml:space="preserve">势必要影响到绩效考核的全局。当前绩效考核在目标设定上不能实现多元化的目标，考核结果仅仅是停留在作为薪金或晋升的依据，还不能成为考量职工发展的标杆。绩效评价在指标设定上存在偏离的现象。在当前绩效考核指标设定上，德能勤绩这种传统的固化思维模式依旧存在，不能紧紧围绕工作重点、偏离实际的现象依旧凸显。 </w:t>
      </w:r>
    </w:p>
    <w:p w14:paraId="2B0B954D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7784E4A2">
      <w:pPr>
        <w:pStyle w:val="11"/>
        <w:rPr>
          <w:rFonts w:hint="eastAsia" w:asciiTheme="minorEastAsia" w:hAnsiTheme="minorEastAsia" w:eastAsiaTheme="minorEastAsia" w:cstheme="minorEastAsia"/>
          <w:color w:val="000000"/>
          <w:kern w:val="0"/>
          <w:sz w:val="30"/>
          <w:szCs w:val="30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color w:val="000000"/>
          <w:kern w:val="0"/>
          <w:sz w:val="30"/>
          <w:szCs w:val="30"/>
          <w:lang w:val="en-US" w:eastAsia="zh-CN" w:bidi="ar-SA"/>
        </w:rPr>
        <w:t>针对绩效指标设定中存在的问题，从实际出发，在2024年项目绩效目标填报中增强指标的可评价性和可量化性，合理如实的反映资金使用的绩效成果，审核实现绩效目标所需资金的合理性以及填报的规范性、完整性，提高财政支出产生的社会效益和经济效益，重点考虑项目的外界因素对年度任务的影响。</w:t>
      </w:r>
    </w:p>
    <w:p w14:paraId="32B1685D">
      <w:pPr>
        <w:pStyle w:val="11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kern w:val="0"/>
          <w:sz w:val="30"/>
          <w:szCs w:val="30"/>
          <w:lang w:val="en-US" w:eastAsia="zh-CN" w:bidi="ar-SA"/>
        </w:rPr>
        <w:t>在以后的工作中，要根据年度工作计划制定具体、可衡量、可实现的绩效目标，明确支出的必要性、可行性和有效性，并围绕绩效目标编制清晰、量化、便于考核的绩效指标。要重视绩效评价工作，切实发挥绩效评价结果应用的作用，通过绩效评价应用实践，积累连续的数据库，优化对比分析，总结实践中的经验和教训，强化财政资金管理水平、提高财政资金使用效益，在更高层次上实现财政资源配置的公平性和合理性。</w:t>
      </w:r>
    </w:p>
    <w:p w14:paraId="02D659FA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52C5F473">
      <w:pPr>
        <w:adjustRightInd w:val="0"/>
        <w:snapToGrid w:val="0"/>
        <w:spacing w:line="560" w:lineRule="exact"/>
        <w:ind w:firstLine="880" w:firstLineChars="200"/>
        <w:rPr>
          <w:rFonts w:hint="eastAsia" w:ascii="宋体" w:hAnsi="宋体" w:eastAsia="宋体" w:cs="宋体"/>
          <w:color w:val="000000"/>
          <w:sz w:val="44"/>
          <w:szCs w:val="44"/>
          <w:lang w:eastAsia="zh-CN"/>
        </w:rPr>
      </w:pPr>
    </w:p>
    <w:p w14:paraId="46C7AB15">
      <w:pPr>
        <w:widowControl w:val="0"/>
        <w:wordWrap/>
        <w:spacing w:line="560" w:lineRule="exact"/>
        <w:ind w:left="0" w:right="0"/>
        <w:jc w:val="center"/>
        <w:textAlignment w:val="auto"/>
        <w:outlineLvl w:val="9"/>
        <w:rPr>
          <w:rFonts w:hint="eastAsia" w:ascii="宋体" w:hAnsi="宋体" w:eastAsia="宋体" w:cs="宋体"/>
          <w:color w:val="000000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color w:val="000000"/>
          <w:sz w:val="44"/>
          <w:szCs w:val="44"/>
          <w:lang w:eastAsia="zh-CN"/>
        </w:rPr>
        <w:t>评价工作组人员名单</w:t>
      </w:r>
    </w:p>
    <w:tbl>
      <w:tblPr>
        <w:tblStyle w:val="9"/>
        <w:tblW w:w="90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8"/>
        <w:gridCol w:w="1815"/>
        <w:gridCol w:w="1485"/>
        <w:gridCol w:w="2250"/>
        <w:gridCol w:w="2572"/>
      </w:tblGrid>
      <w:tr w14:paraId="2A487E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958" w:type="dxa"/>
          </w:tcPr>
          <w:p w14:paraId="3745F9CD">
            <w:pPr>
              <w:pStyle w:val="11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  <w:t>序号</w:t>
            </w:r>
          </w:p>
        </w:tc>
        <w:tc>
          <w:tcPr>
            <w:tcW w:w="1815" w:type="dxa"/>
          </w:tcPr>
          <w:p w14:paraId="37821319">
            <w:pPr>
              <w:pStyle w:val="11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  <w:t xml:space="preserve"> 姓名</w:t>
            </w:r>
          </w:p>
        </w:tc>
        <w:tc>
          <w:tcPr>
            <w:tcW w:w="1485" w:type="dxa"/>
          </w:tcPr>
          <w:p w14:paraId="1625F29C">
            <w:pPr>
              <w:pStyle w:val="11"/>
              <w:ind w:left="0" w:leftChars="0" w:firstLine="210" w:firstLineChars="100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  <w:t>工作单位</w:t>
            </w:r>
          </w:p>
        </w:tc>
        <w:tc>
          <w:tcPr>
            <w:tcW w:w="2250" w:type="dxa"/>
          </w:tcPr>
          <w:p w14:paraId="2BBCC6F5">
            <w:pPr>
              <w:pStyle w:val="11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  <w:t>职务</w:t>
            </w:r>
          </w:p>
        </w:tc>
        <w:tc>
          <w:tcPr>
            <w:tcW w:w="2572" w:type="dxa"/>
          </w:tcPr>
          <w:p w14:paraId="26C10753">
            <w:pPr>
              <w:pStyle w:val="5"/>
              <w:jc w:val="both"/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签名</w:t>
            </w:r>
          </w:p>
        </w:tc>
      </w:tr>
      <w:tr w14:paraId="141317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95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9050676">
            <w:pPr>
              <w:pStyle w:val="11"/>
              <w:ind w:left="0" w:leftChars="0" w:firstLine="420" w:firstLineChars="200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936B7F7">
            <w:pPr>
              <w:pStyle w:val="11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  <w:t>王会生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17DA993">
            <w:pPr>
              <w:pStyle w:val="11"/>
              <w:ind w:left="0" w:leftChars="0" w:firstLine="420" w:firstLineChars="200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  <w:t>区残联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7255821">
            <w:pPr>
              <w:pStyle w:val="11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  <w:t>理事长</w:t>
            </w:r>
          </w:p>
        </w:tc>
        <w:tc>
          <w:tcPr>
            <w:tcW w:w="25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A00B57A">
            <w:pPr>
              <w:pStyle w:val="5"/>
              <w:jc w:val="both"/>
              <w:rPr>
                <w:rFonts w:hint="eastAsia"/>
                <w:color w:val="000000"/>
                <w:vertAlign w:val="baseline"/>
                <w:lang w:eastAsia="zh-CN"/>
              </w:rPr>
            </w:pPr>
          </w:p>
        </w:tc>
      </w:tr>
      <w:tr w14:paraId="35B8DD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95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7267997">
            <w:pPr>
              <w:pStyle w:val="11"/>
              <w:ind w:left="0" w:leftChars="0" w:firstLine="420" w:firstLineChars="200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BF3DEB8">
            <w:pPr>
              <w:pStyle w:val="11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  <w:t>高彦生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54B44AA">
            <w:pPr>
              <w:pStyle w:val="11"/>
              <w:ind w:left="0" w:leftChars="0" w:firstLine="420" w:firstLineChars="200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  <w:t>区残联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928F127">
            <w:pPr>
              <w:pStyle w:val="11"/>
              <w:ind w:left="0" w:leftChars="0" w:firstLine="420" w:firstLineChars="200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  <w:t>一级主任科员</w:t>
            </w:r>
          </w:p>
        </w:tc>
        <w:tc>
          <w:tcPr>
            <w:tcW w:w="25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9FD1FCD">
            <w:pPr>
              <w:pStyle w:val="5"/>
              <w:jc w:val="both"/>
              <w:rPr>
                <w:rFonts w:hint="eastAsia"/>
                <w:color w:val="000000"/>
                <w:vertAlign w:val="baseline"/>
                <w:lang w:eastAsia="zh-CN"/>
              </w:rPr>
            </w:pPr>
          </w:p>
        </w:tc>
      </w:tr>
      <w:tr w14:paraId="5498BC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</w:trPr>
        <w:tc>
          <w:tcPr>
            <w:tcW w:w="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7EE742">
            <w:pPr>
              <w:pStyle w:val="11"/>
              <w:ind w:left="0" w:leftChars="0" w:firstLine="420" w:firstLineChars="200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  <w:t>3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41013FF">
            <w:pPr>
              <w:pStyle w:val="11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  <w:t>左计花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45E5B9">
            <w:pPr>
              <w:pStyle w:val="11"/>
              <w:ind w:left="0" w:leftChars="0" w:firstLine="420" w:firstLineChars="200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  <w:t>区残联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C4B1BF7">
            <w:pPr>
              <w:pStyle w:val="11"/>
              <w:ind w:left="0" w:leftChars="0" w:firstLine="420" w:firstLineChars="200"/>
              <w:jc w:val="both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  <w:t>三级主任科员</w:t>
            </w:r>
          </w:p>
        </w:tc>
        <w:tc>
          <w:tcPr>
            <w:tcW w:w="2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2A5DEAF">
            <w:pPr>
              <w:pStyle w:val="5"/>
              <w:jc w:val="both"/>
              <w:rPr>
                <w:rFonts w:hint="eastAsia"/>
                <w:color w:val="000000"/>
                <w:vertAlign w:val="baseline"/>
                <w:lang w:eastAsia="zh-CN"/>
              </w:rPr>
            </w:pPr>
          </w:p>
        </w:tc>
      </w:tr>
      <w:tr w14:paraId="333C68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</w:trPr>
        <w:tc>
          <w:tcPr>
            <w:tcW w:w="95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9C8123F">
            <w:pPr>
              <w:pStyle w:val="11"/>
              <w:ind w:left="0" w:leftChars="0" w:firstLine="420" w:firstLineChars="200"/>
              <w:jc w:val="both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  <w:t>4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72F1531">
            <w:pPr>
              <w:pStyle w:val="11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  <w:t>高菊菊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59D0FF0">
            <w:pPr>
              <w:pStyle w:val="11"/>
              <w:ind w:left="0" w:leftChars="0" w:firstLine="420" w:firstLineChars="200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  <w:t>区残联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BA03174">
            <w:pPr>
              <w:pStyle w:val="11"/>
              <w:ind w:left="0" w:leftChars="0" w:firstLine="420" w:firstLineChars="200"/>
              <w:jc w:val="both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  <w:t>工作人员</w:t>
            </w:r>
          </w:p>
        </w:tc>
        <w:tc>
          <w:tcPr>
            <w:tcW w:w="25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8233805">
            <w:pPr>
              <w:pStyle w:val="5"/>
              <w:jc w:val="both"/>
              <w:rPr>
                <w:rFonts w:hint="eastAsia"/>
                <w:color w:val="000000"/>
                <w:vertAlign w:val="baseline"/>
                <w:lang w:eastAsia="zh-CN"/>
              </w:rPr>
            </w:pPr>
          </w:p>
        </w:tc>
      </w:tr>
    </w:tbl>
    <w:p w14:paraId="54B2D6DD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16CE93">
    <w:pPr>
      <w:pStyle w:val="7"/>
    </w:pPr>
    <w:r>
      <mc:AlternateContent>
        <mc:Choice Requires="wps">
          <w:drawing>
            <wp:anchor distT="0" distB="0" distL="90805" distR="9080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9550" cy="16256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9492" cy="162820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miter/>
                      </a:ln>
                    </wps:spPr>
                    <wps:txbx>
                      <w:txbxContent>
                        <w:p w14:paraId="4DA743A4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8pt;width:16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talImdEAAAAD&#10;AQAADwAAAGRycy9kb3ducmV2LnhtbE2PzWrDMBCE74W+g9hCb40Uh4bgWs4hEGhLL3H6AIq1/iHS&#10;ykhKnL59t720l4Fhlplvq+3NO3HFmMZAGpYLBQKpDXakXsPncf+0AZGyIWtcINTwhQm29f1dZUob&#10;Zjrgtcm94BJKpdEw5DyVUqZ2QG/SIkxInHUhepPZxl7aaGYu904WSq2lNyPxwmAm3A3YnpuL1yCP&#10;zX7eNC6q8F50H+7t9dBh0PrxYaleQGS85b9j+MFndKiZ6RQuZJNwGviR/KucrVbsThqK5zXIupL/&#10;2etvUEsDBBQAAAAIAIdO4kCH6IMj+wEAAPgDAAAOAAAAZHJzL2Uyb0RvYy54bWytU8tu2zAQvBfo&#10;PxC815KVJo0Ny0FQI0WBok2R9gNoirII8IVdypL79V1SshOklxx6kZbianZmONzcjdawowLU3tV8&#10;uSg5U076RrtDzX//evhwyxlG4RphvFM1Pynkd9v37zZDWKvKd940ChiBOFwPoeZdjGFdFCg7ZQUu&#10;fFCONlsPVkRawqFoQAyEbk1RleVNMXhoAnipEOnrbtrkMyK8BdC3rZZq52VvlYsTKigjIknCTgfk&#10;28y2bZWMP9oWVWSm5qQ05icNoXqfnsV2I9YHEKHTcqYg3kLhlSYrtKOhF6idiIL1oP+BslqCR9/G&#10;hfS2mIRkR0jFsnzlzVMngspayGoMF9Px/8HK78dHYLqhJHDmhKUD/9mLht0D+IFdlZ+ukkVDwDV1&#10;PoVHmFdIZdI7tmDTm5SwMdt6utiqxsgkfazK1cdVxZmkreVNdVtl24vnnwNg/KK8ZamoOdCpZTPF&#10;8RtGGkit55Y0y/kHbUw+OePYUPPVdXVN8ILS2FIKqLSBFKE7ZJgX/QlmJ7BjR0GBQG90M0XA6qiS&#10;NhplHL2S4kljquK4H2fhe9+cyDG6QMS08/CHs4HiU3NHt4Uz89XR6aSknQs4F/tzIZykH2tORKfy&#10;c5wS2QfQh45wl5k3hvs+ktZsQaIxzZ7ZUSAy3Tm8KXEv17nr+cJu/w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1qUiZ0QAAAAMBAAAPAAAAAAAAAAEAIAAAACIAAABkcnMvZG93bnJldi54bWxQSwEC&#10;FAAUAAAACACHTuJAh+iDI/sBAAD4AwAADgAAAAAAAAABACAAAAAgAQAAZHJzL2Uyb0RvYy54bWxQ&#10;SwUGAAAAAAYABgBZAQAAjQUAAAAA&#10;">
              <v:fill on="f" focussize="0,0"/>
              <v:stroke on="f" joinstyle="miter"/>
              <v:imagedata o:title=""/>
              <o:lock v:ext="edit" aspectratio="f"/>
              <v:textbox inset="0mm,0mm,0mm,0mm" style="mso-fit-shape-to-text:t;">
                <w:txbxContent>
                  <w:p w14:paraId="4DA743A4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17C88416"/>
    <w:multiLevelType w:val="singleLevel"/>
    <w:tmpl w:val="17C88416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pPr>
        <w:ind w:left="0" w:firstLine="0"/>
      </w:pPr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useAltKinsokuLineBreakRules/>
    <w:doNotSuppressIndentation/>
    <w:splitPgBreakAndParaMark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0000000"/>
    <w:rsid w:val="102A434E"/>
    <w:rsid w:val="19351E64"/>
    <w:rsid w:val="2C6170A5"/>
    <w:rsid w:val="35C3492C"/>
    <w:rsid w:val="44AE49FA"/>
    <w:rsid w:val="65501489"/>
    <w:rsid w:val="6D5A21B0"/>
    <w:rsid w:val="72DC25AE"/>
    <w:rsid w:val="7381072A"/>
    <w:rsid w:val="7816181C"/>
    <w:rsid w:val="7FA13D9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6"/>
    <w:qFormat/>
    <w:uiPriority w:val="0"/>
    <w:pPr>
      <w:ind w:firstLine="420" w:firstLineChars="200"/>
    </w:pPr>
  </w:style>
  <w:style w:type="paragraph" w:styleId="6">
    <w:name w:val="Subtitle"/>
    <w:basedOn w:val="1"/>
    <w:next w:val="1"/>
    <w:qFormat/>
    <w:uiPriority w:val="0"/>
    <w:pPr>
      <w:spacing w:line="700" w:lineRule="exact"/>
      <w:jc w:val="center"/>
      <w:outlineLvl w:val="1"/>
    </w:pPr>
    <w:rPr>
      <w:rFonts w:ascii="Arial" w:hAnsi="Arial" w:eastAsia="方正小标宋简体" w:cs="Arial"/>
      <w:b/>
      <w:bCs/>
      <w:kern w:val="28"/>
      <w:sz w:val="44"/>
      <w:szCs w:val="44"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11">
    <w:name w:val="插入文本样式-插入职责分类绩效目标文件"/>
    <w:basedOn w:val="1"/>
    <w:qFormat/>
    <w:uiPriority w:val="0"/>
    <w:pPr>
      <w:widowControl w:val="0"/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kern w:val="2"/>
      <w:sz w:val="28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CFF0AC5-597A-436C-8052-6BABDDFA8FA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6</Pages>
  <Words>2960</Words>
  <Characters>3019</Characters>
  <Lines>0</Lines>
  <Paragraphs>29</Paragraphs>
  <TotalTime>0</TotalTime>
  <ScaleCrop>false</ScaleCrop>
  <LinksUpToDate>false</LinksUpToDate>
  <CharactersWithSpaces>3036</CharactersWithSpaces>
  <Application>WPS Office_12.1.0.21915_F1E327BC-269C-435d-A152-05C5408002CA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宝麻麻</cp:lastModifiedBy>
  <cp:lastPrinted>2024-03-06T07:40:00Z</cp:lastPrinted>
  <dcterms:modified xsi:type="dcterms:W3CDTF">2025-07-16T03:15:02Z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eyJoZGlkIjoiNTFiYzZhNWRlMjIzNzU0NzQ2NGNjNmE2OTA2YWQ3YTYiLCJ1c2VySWQiOiI2MjQ0MTI2NzUifQ==</vt:lpwstr>
  </property>
</Properties>
</file>