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056E26E">
      <w:pPr>
        <w:adjustRightInd w:val="0"/>
        <w:snapToGrid w:val="0"/>
        <w:spacing w:line="560" w:lineRule="exact"/>
        <w:rPr>
          <w:rFonts w:hint="eastAsia" w:ascii="黑体" w:hAnsi="黑体" w:eastAsia="黑体" w:cs="黑体"/>
          <w:sz w:val="32"/>
          <w:szCs w:val="32"/>
        </w:rPr>
      </w:pPr>
      <w:bookmarkStart w:id="0" w:name="_GoBack"/>
      <w:bookmarkEnd w:id="0"/>
      <w:r>
        <w:rPr>
          <w:rFonts w:hint="eastAsia" w:ascii="黑体" w:hAnsi="黑体" w:eastAsia="黑体" w:cs="黑体"/>
          <w:sz w:val="32"/>
          <w:szCs w:val="32"/>
        </w:rPr>
        <w:t>附件4</w:t>
      </w:r>
    </w:p>
    <w:p w14:paraId="141B5789">
      <w:pPr>
        <w:spacing w:line="560" w:lineRule="exact"/>
        <w:jc w:val="center"/>
        <w:rPr>
          <w:rFonts w:ascii="宋体" w:hAnsi="宋体" w:cs="宋体"/>
          <w:b/>
          <w:bCs/>
          <w:sz w:val="44"/>
          <w:szCs w:val="44"/>
        </w:rPr>
      </w:pPr>
    </w:p>
    <w:p w14:paraId="5E999DB5">
      <w:pPr>
        <w:spacing w:line="560" w:lineRule="exact"/>
        <w:jc w:val="center"/>
        <w:rPr>
          <w:rFonts w:hint="eastAsia" w:ascii="宋体" w:hAnsi="宋体" w:cs="宋体"/>
          <w:b/>
          <w:bCs/>
          <w:sz w:val="44"/>
          <w:szCs w:val="44"/>
        </w:rPr>
      </w:pPr>
      <w:r>
        <w:rPr>
          <w:rFonts w:ascii="宋体" w:hAnsi="宋体" w:cs="宋体"/>
          <w:b/>
          <w:bCs/>
          <w:sz w:val="44"/>
          <w:szCs w:val="44"/>
        </w:rPr>
        <w:t>中共井陉矿区委办公室</w:t>
      </w:r>
    </w:p>
    <w:p w14:paraId="44D45C38">
      <w:pPr>
        <w:spacing w:line="560" w:lineRule="exact"/>
        <w:jc w:val="center"/>
        <w:rPr>
          <w:rFonts w:ascii="宋体" w:hAnsi="宋体" w:cs="宋体"/>
          <w:b/>
          <w:bCs/>
          <w:sz w:val="44"/>
          <w:szCs w:val="44"/>
        </w:rPr>
      </w:pPr>
      <w:r>
        <w:rPr>
          <w:rFonts w:hint="eastAsia" w:ascii="宋体" w:hAnsi="宋体" w:cs="宋体"/>
          <w:b/>
          <w:bCs/>
          <w:sz w:val="44"/>
          <w:szCs w:val="44"/>
        </w:rPr>
        <w:t>202</w:t>
      </w:r>
      <w:r>
        <w:rPr>
          <w:rFonts w:ascii="宋体" w:hAnsi="宋体" w:cs="宋体"/>
          <w:b/>
          <w:bCs/>
          <w:sz w:val="44"/>
          <w:szCs w:val="44"/>
        </w:rPr>
        <w:t>4</w:t>
      </w:r>
      <w:r>
        <w:rPr>
          <w:rFonts w:hint="eastAsia" w:ascii="宋体" w:hAnsi="宋体" w:cs="宋体"/>
          <w:b/>
          <w:bCs/>
          <w:sz w:val="44"/>
          <w:szCs w:val="44"/>
        </w:rPr>
        <w:t>年度整体支出绩效自评报告</w:t>
      </w:r>
    </w:p>
    <w:p w14:paraId="7005CEA8">
      <w:pPr>
        <w:spacing w:line="560" w:lineRule="exact"/>
        <w:jc w:val="center"/>
        <w:rPr>
          <w:rFonts w:ascii="华文楷体" w:eastAsia="华文楷体"/>
          <w:sz w:val="32"/>
          <w:szCs w:val="32"/>
        </w:rPr>
      </w:pPr>
    </w:p>
    <w:p w14:paraId="5C882F95">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w:t>
      </w:r>
      <w:r>
        <w:rPr>
          <w:rFonts w:ascii="仿宋" w:hAnsi="仿宋" w:eastAsia="仿宋"/>
          <w:sz w:val="32"/>
          <w:szCs w:val="32"/>
        </w:rPr>
        <w:t>区委区政府</w:t>
      </w:r>
      <w:r>
        <w:rPr>
          <w:rFonts w:hint="eastAsia" w:ascii="仿宋" w:hAnsi="仿宋" w:eastAsia="仿宋"/>
          <w:sz w:val="32"/>
          <w:szCs w:val="32"/>
        </w:rPr>
        <w:t>《关于全面落实预算绩效管理的实施意见》（</w:t>
      </w:r>
      <w:r>
        <w:rPr>
          <w:rFonts w:ascii="仿宋" w:hAnsi="仿宋" w:eastAsia="仿宋"/>
          <w:sz w:val="32"/>
          <w:szCs w:val="32"/>
        </w:rPr>
        <w:t>矿</w:t>
      </w:r>
      <w:r>
        <w:rPr>
          <w:rFonts w:hint="eastAsia" w:ascii="仿宋" w:hAnsi="仿宋" w:eastAsia="仿宋"/>
          <w:sz w:val="32"/>
          <w:szCs w:val="32"/>
        </w:rPr>
        <w:t>发﹝2019﹞</w:t>
      </w:r>
      <w:r>
        <w:rPr>
          <w:rFonts w:ascii="仿宋" w:hAnsi="仿宋" w:eastAsia="仿宋"/>
          <w:sz w:val="32"/>
          <w:szCs w:val="32"/>
        </w:rPr>
        <w:t>7</w:t>
      </w:r>
      <w:r>
        <w:rPr>
          <w:rFonts w:hint="eastAsia" w:ascii="仿宋" w:hAnsi="仿宋" w:eastAsia="仿宋"/>
          <w:sz w:val="32"/>
          <w:szCs w:val="32"/>
        </w:rPr>
        <w:t>号）文件精神，遵循“科学性、规范性、客观性和公正性”的原则，对</w:t>
      </w:r>
      <w:r>
        <w:rPr>
          <w:rFonts w:ascii="仿宋" w:hAnsi="仿宋" w:eastAsia="仿宋"/>
          <w:sz w:val="32"/>
          <w:szCs w:val="32"/>
        </w:rPr>
        <w:t>区委办</w:t>
      </w:r>
      <w:r>
        <w:rPr>
          <w:rFonts w:hint="eastAsia" w:ascii="仿宋" w:hAnsi="仿宋" w:eastAsia="仿宋"/>
          <w:sz w:val="32"/>
          <w:szCs w:val="32"/>
        </w:rPr>
        <w:t>202</w:t>
      </w:r>
      <w:r>
        <w:rPr>
          <w:rFonts w:ascii="仿宋" w:hAnsi="仿宋" w:eastAsia="仿宋"/>
          <w:sz w:val="32"/>
          <w:szCs w:val="32"/>
        </w:rPr>
        <w:t>4</w:t>
      </w:r>
      <w:r>
        <w:rPr>
          <w:rFonts w:hint="eastAsia" w:ascii="仿宋" w:hAnsi="仿宋" w:eastAsia="仿宋"/>
          <w:sz w:val="32"/>
          <w:szCs w:val="32"/>
        </w:rPr>
        <w:t>年整体支出情况实施了财政支出绩效自评价，形成本评价报告。</w:t>
      </w:r>
    </w:p>
    <w:p w14:paraId="352A6534">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0AC90BEB">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14:paraId="0B917967">
      <w:pPr>
        <w:snapToGrid w:val="0"/>
        <w:spacing w:line="520" w:lineRule="exact"/>
        <w:ind w:firstLine="640" w:firstLineChars="200"/>
        <w:rPr>
          <w:rFonts w:ascii="仿宋_GB2312" w:hAnsi="仿宋" w:eastAsia="仿宋_GB2312"/>
          <w:sz w:val="32"/>
          <w:szCs w:val="32"/>
        </w:rPr>
      </w:pPr>
      <w:r>
        <w:rPr>
          <w:rFonts w:hint="eastAsia" w:ascii="仿宋_GB2312" w:hAnsi="仿宋" w:eastAsia="仿宋_GB2312"/>
          <w:sz w:val="32"/>
          <w:szCs w:val="32"/>
        </w:rPr>
        <w:t>1．主要职能。</w:t>
      </w:r>
    </w:p>
    <w:p w14:paraId="07027FB1">
      <w:pPr>
        <w:snapToGrid w:val="0"/>
        <w:spacing w:line="520" w:lineRule="exact"/>
        <w:ind w:firstLine="640" w:firstLineChars="200"/>
        <w:rPr>
          <w:rFonts w:hint="eastAsia" w:ascii="仿宋" w:hAnsi="仿宋" w:eastAsia="仿宋" w:cs="楷体_GB2312"/>
          <w:b w:val="0"/>
          <w:bCs w:val="0"/>
          <w:sz w:val="32"/>
          <w:szCs w:val="32"/>
          <w:lang w:val="en-US" w:eastAsia="zh-CN"/>
        </w:rPr>
      </w:pPr>
      <w:r>
        <w:rPr>
          <w:rFonts w:hint="eastAsia" w:ascii="仿宋" w:hAnsi="仿宋" w:eastAsia="仿宋" w:cs="楷体_GB2312"/>
          <w:b w:val="0"/>
          <w:bCs w:val="0"/>
          <w:sz w:val="32"/>
          <w:szCs w:val="32"/>
          <w:lang w:val="en-US" w:eastAsia="zh-CN"/>
        </w:rPr>
        <w:t>（一）负责推动党中央和省、市、区委决策部署的落实，按照区委要求协调有关方面开展工作，承担区委运行保障具体事务。</w:t>
      </w:r>
    </w:p>
    <w:p w14:paraId="51FF8E48">
      <w:pPr>
        <w:snapToGrid w:val="0"/>
        <w:spacing w:line="520" w:lineRule="exact"/>
        <w:ind w:firstLine="640" w:firstLineChars="200"/>
        <w:rPr>
          <w:rFonts w:hint="eastAsia" w:ascii="仿宋" w:hAnsi="仿宋" w:eastAsia="仿宋" w:cs="楷体_GB2312"/>
          <w:b w:val="0"/>
          <w:bCs w:val="0"/>
          <w:sz w:val="32"/>
          <w:szCs w:val="32"/>
          <w:lang w:val="en-US" w:eastAsia="zh-CN"/>
        </w:rPr>
      </w:pPr>
      <w:r>
        <w:rPr>
          <w:rFonts w:hint="eastAsia" w:ascii="仿宋" w:hAnsi="仿宋" w:eastAsia="仿宋" w:cs="楷体_GB2312"/>
          <w:b w:val="0"/>
          <w:bCs w:val="0"/>
          <w:sz w:val="32"/>
          <w:szCs w:val="32"/>
          <w:lang w:val="en-US" w:eastAsia="zh-CN"/>
        </w:rPr>
        <w:t>（二）负责区委和区委办公室文件、区委领导讲话的起草、修改等工作。</w:t>
      </w:r>
    </w:p>
    <w:p w14:paraId="0ED9673A">
      <w:pPr>
        <w:snapToGrid w:val="0"/>
        <w:spacing w:line="520" w:lineRule="exact"/>
        <w:ind w:firstLine="640" w:firstLineChars="200"/>
        <w:rPr>
          <w:rFonts w:hint="eastAsia" w:ascii="仿宋" w:hAnsi="仿宋" w:eastAsia="仿宋" w:cs="楷体_GB2312"/>
          <w:b w:val="0"/>
          <w:bCs w:val="0"/>
          <w:sz w:val="32"/>
          <w:szCs w:val="32"/>
          <w:lang w:val="en-US" w:eastAsia="zh-CN"/>
        </w:rPr>
      </w:pPr>
      <w:r>
        <w:rPr>
          <w:rFonts w:hint="eastAsia" w:ascii="仿宋" w:hAnsi="仿宋" w:eastAsia="仿宋" w:cs="楷体_GB2312"/>
          <w:b w:val="0"/>
          <w:bCs w:val="0"/>
          <w:sz w:val="32"/>
          <w:szCs w:val="32"/>
          <w:lang w:val="en-US" w:eastAsia="zh-CN"/>
        </w:rPr>
        <w:t>（三）围绕党中央和省、市、区委总体工作部署开展调查研究，收集和处理信息、反映动态，提出意见建议，供区委决策参考；负责社情民意的搜集、整理和编报工作。</w:t>
      </w:r>
    </w:p>
    <w:p w14:paraId="694FBD45">
      <w:pPr>
        <w:snapToGrid w:val="0"/>
        <w:spacing w:line="520" w:lineRule="exact"/>
        <w:ind w:firstLine="640" w:firstLineChars="200"/>
        <w:rPr>
          <w:rFonts w:hint="eastAsia" w:ascii="仿宋" w:hAnsi="仿宋" w:eastAsia="仿宋" w:cs="楷体_GB2312"/>
          <w:b w:val="0"/>
          <w:bCs w:val="0"/>
          <w:sz w:val="32"/>
          <w:szCs w:val="32"/>
          <w:lang w:val="en-US" w:eastAsia="zh-CN"/>
        </w:rPr>
      </w:pPr>
      <w:r>
        <w:rPr>
          <w:rFonts w:hint="eastAsia" w:ascii="仿宋" w:hAnsi="仿宋" w:eastAsia="仿宋" w:cs="楷体_GB2312"/>
          <w:b w:val="0"/>
          <w:bCs w:val="0"/>
          <w:sz w:val="32"/>
          <w:szCs w:val="32"/>
          <w:lang w:val="en-US" w:eastAsia="zh-CN"/>
        </w:rPr>
        <w:t>（四）负责区委全会、区委常委会会议和区委其他重要会议的会务工作；负责区委领导参加重大活动和日常工作活动的组织安排；承担区委值班工作；负责编写区委大事记。</w:t>
      </w:r>
    </w:p>
    <w:p w14:paraId="473BA8DD">
      <w:pPr>
        <w:snapToGrid w:val="0"/>
        <w:spacing w:line="520" w:lineRule="exact"/>
        <w:ind w:firstLine="640" w:firstLineChars="200"/>
        <w:rPr>
          <w:rFonts w:hint="eastAsia" w:ascii="仿宋" w:hAnsi="仿宋" w:eastAsia="仿宋" w:cs="楷体_GB2312"/>
          <w:b w:val="0"/>
          <w:bCs w:val="0"/>
          <w:sz w:val="32"/>
          <w:szCs w:val="32"/>
          <w:lang w:val="en-US" w:eastAsia="zh-CN"/>
        </w:rPr>
      </w:pPr>
      <w:r>
        <w:rPr>
          <w:rFonts w:hint="eastAsia" w:ascii="仿宋" w:hAnsi="仿宋" w:eastAsia="仿宋" w:cs="楷体_GB2312"/>
          <w:b w:val="0"/>
          <w:bCs w:val="0"/>
          <w:sz w:val="32"/>
          <w:szCs w:val="32"/>
          <w:lang w:val="en-US" w:eastAsia="zh-CN"/>
        </w:rPr>
        <w:t>（五）负责区委履行全面从严治党主体责任相关工作的谋划、部署、督导、推动和落实；负责统筹协调和督促指导全区党务公开工作。</w:t>
      </w:r>
    </w:p>
    <w:p w14:paraId="16FADEB4">
      <w:pPr>
        <w:snapToGrid w:val="0"/>
        <w:spacing w:line="520" w:lineRule="exact"/>
        <w:ind w:firstLine="640" w:firstLineChars="200"/>
        <w:rPr>
          <w:rFonts w:hint="eastAsia" w:ascii="仿宋" w:hAnsi="仿宋" w:eastAsia="仿宋" w:cs="楷体_GB2312"/>
          <w:b w:val="0"/>
          <w:bCs w:val="0"/>
          <w:sz w:val="32"/>
          <w:szCs w:val="32"/>
          <w:lang w:val="en-US" w:eastAsia="zh-CN"/>
        </w:rPr>
      </w:pPr>
      <w:r>
        <w:rPr>
          <w:rFonts w:hint="eastAsia" w:ascii="仿宋" w:hAnsi="仿宋" w:eastAsia="仿宋" w:cs="楷体_GB2312"/>
          <w:b w:val="0"/>
          <w:bCs w:val="0"/>
          <w:sz w:val="32"/>
          <w:szCs w:val="32"/>
          <w:lang w:val="en-US" w:eastAsia="zh-CN"/>
        </w:rPr>
        <w:t>（六）负责区委日常文件处理；负责区委文件和区委办公室代区委行文的审核工作；负责区委制定规范性文件的工作；负责为区委领导提供法律方面的服务工作。</w:t>
      </w:r>
    </w:p>
    <w:p w14:paraId="06999B10">
      <w:pPr>
        <w:snapToGrid w:val="0"/>
        <w:spacing w:line="520" w:lineRule="exact"/>
        <w:ind w:firstLine="640" w:firstLineChars="200"/>
        <w:rPr>
          <w:rFonts w:hint="eastAsia" w:ascii="仿宋" w:hAnsi="仿宋" w:eastAsia="仿宋" w:cs="楷体_GB2312"/>
          <w:b w:val="0"/>
          <w:bCs w:val="0"/>
          <w:sz w:val="32"/>
          <w:szCs w:val="32"/>
          <w:lang w:val="en-US" w:eastAsia="zh-CN"/>
        </w:rPr>
      </w:pPr>
      <w:r>
        <w:rPr>
          <w:rFonts w:hint="eastAsia" w:ascii="仿宋" w:hAnsi="仿宋" w:eastAsia="仿宋" w:cs="楷体_GB2312"/>
          <w:b w:val="0"/>
          <w:bCs w:val="0"/>
          <w:sz w:val="32"/>
          <w:szCs w:val="32"/>
          <w:lang w:val="en-US" w:eastAsia="zh-CN"/>
        </w:rPr>
        <w:t>（七）负责省委、省政府，市委、市政府和全区党政军领导机关及要害部门核心机密的传递工作。</w:t>
      </w:r>
    </w:p>
    <w:p w14:paraId="045A50C6">
      <w:pPr>
        <w:snapToGrid w:val="0"/>
        <w:spacing w:line="520" w:lineRule="exact"/>
        <w:ind w:firstLine="640" w:firstLineChars="200"/>
        <w:rPr>
          <w:rFonts w:hint="eastAsia" w:ascii="仿宋" w:hAnsi="仿宋" w:eastAsia="仿宋" w:cs="楷体_GB2312"/>
          <w:b w:val="0"/>
          <w:bCs w:val="0"/>
          <w:sz w:val="32"/>
          <w:szCs w:val="32"/>
          <w:lang w:val="en-US" w:eastAsia="zh-CN"/>
        </w:rPr>
      </w:pPr>
      <w:r>
        <w:rPr>
          <w:rFonts w:hint="eastAsia" w:ascii="仿宋" w:hAnsi="仿宋" w:eastAsia="仿宋" w:cs="楷体_GB2312"/>
          <w:b w:val="0"/>
          <w:bCs w:val="0"/>
          <w:sz w:val="32"/>
          <w:szCs w:val="32"/>
          <w:lang w:val="en-US" w:eastAsia="zh-CN"/>
        </w:rPr>
        <w:t>（八）贯彻落实党中央和省、市、区委关于国家安全工作的各项决策部署，负责研究提出区委国家安全委员会重点工作安排，收集汇总、整理分析并上报涉及国家安全的情报信息，指导协调有关方面开展国家安全风险排查，组织全区国家安全工作督查检查、考评考核工作。</w:t>
      </w:r>
    </w:p>
    <w:p w14:paraId="5187ECB1">
      <w:pPr>
        <w:snapToGrid w:val="0"/>
        <w:spacing w:line="520" w:lineRule="exact"/>
        <w:ind w:firstLine="640" w:firstLineChars="200"/>
        <w:rPr>
          <w:rFonts w:hint="eastAsia" w:ascii="仿宋" w:hAnsi="仿宋" w:eastAsia="仿宋" w:cs="楷体_GB2312"/>
          <w:b w:val="0"/>
          <w:bCs w:val="0"/>
          <w:sz w:val="32"/>
          <w:szCs w:val="32"/>
          <w:lang w:val="en-US" w:eastAsia="zh-CN"/>
        </w:rPr>
      </w:pPr>
      <w:r>
        <w:rPr>
          <w:rFonts w:hint="eastAsia" w:ascii="仿宋" w:hAnsi="仿宋" w:eastAsia="仿宋" w:cs="楷体_GB2312"/>
          <w:b w:val="0"/>
          <w:bCs w:val="0"/>
          <w:sz w:val="32"/>
          <w:szCs w:val="32"/>
          <w:lang w:val="en-US" w:eastAsia="zh-CN"/>
        </w:rPr>
        <w:t>（九）承担区委全面深化改革委员会的日常工作，负责提交区委全面深化改革委员会会议研究的议题及相关会议的组织服务工作。</w:t>
      </w:r>
    </w:p>
    <w:p w14:paraId="08A86E67">
      <w:pPr>
        <w:snapToGrid w:val="0"/>
        <w:spacing w:line="520" w:lineRule="exact"/>
        <w:ind w:firstLine="640" w:firstLineChars="200"/>
        <w:rPr>
          <w:rFonts w:hint="eastAsia" w:ascii="仿宋" w:hAnsi="仿宋" w:eastAsia="仿宋" w:cs="楷体_GB2312"/>
          <w:b w:val="0"/>
          <w:bCs w:val="0"/>
          <w:sz w:val="32"/>
          <w:szCs w:val="32"/>
          <w:lang w:val="en-US" w:eastAsia="zh-CN"/>
        </w:rPr>
      </w:pPr>
      <w:r>
        <w:rPr>
          <w:rFonts w:hint="eastAsia" w:ascii="仿宋" w:hAnsi="仿宋" w:eastAsia="仿宋" w:cs="楷体_GB2312"/>
          <w:b w:val="0"/>
          <w:bCs w:val="0"/>
          <w:sz w:val="32"/>
          <w:szCs w:val="32"/>
          <w:lang w:val="en-US" w:eastAsia="zh-CN"/>
        </w:rPr>
        <w:t>（十）负责组织开展全区全面深化改革重大问题的调查研究，督促、推动各乡镇（街道）、区直各部门落实区委全面深化改革委员会决定事项、工作部署。</w:t>
      </w:r>
    </w:p>
    <w:p w14:paraId="19081F3A">
      <w:pPr>
        <w:snapToGrid w:val="0"/>
        <w:spacing w:line="520" w:lineRule="exact"/>
        <w:ind w:firstLine="640" w:firstLineChars="200"/>
        <w:rPr>
          <w:rFonts w:hint="eastAsia" w:ascii="仿宋" w:hAnsi="仿宋" w:eastAsia="仿宋" w:cs="楷体_GB2312"/>
          <w:b w:val="0"/>
          <w:bCs w:val="0"/>
          <w:sz w:val="32"/>
          <w:szCs w:val="32"/>
          <w:lang w:val="en-US" w:eastAsia="zh-CN"/>
        </w:rPr>
      </w:pPr>
      <w:r>
        <w:rPr>
          <w:rFonts w:hint="eastAsia" w:ascii="仿宋" w:hAnsi="仿宋" w:eastAsia="仿宋" w:cs="楷体_GB2312"/>
          <w:b w:val="0"/>
          <w:bCs w:val="0"/>
          <w:sz w:val="32"/>
          <w:szCs w:val="32"/>
          <w:lang w:val="en-US" w:eastAsia="zh-CN"/>
        </w:rPr>
        <w:t>（十一）承办各乡镇（街道）、区直各部门向区委全面深化改革委员会的请示和备案事项，向区委全面深化改革委员会提出建议。</w:t>
      </w:r>
    </w:p>
    <w:p w14:paraId="242A0C7F">
      <w:pPr>
        <w:snapToGrid w:val="0"/>
        <w:spacing w:line="520" w:lineRule="exact"/>
        <w:ind w:firstLine="640" w:firstLineChars="200"/>
        <w:rPr>
          <w:rFonts w:hint="eastAsia" w:ascii="仿宋" w:hAnsi="仿宋" w:eastAsia="仿宋" w:cs="楷体_GB2312"/>
          <w:b w:val="0"/>
          <w:bCs w:val="0"/>
          <w:sz w:val="32"/>
          <w:szCs w:val="32"/>
          <w:lang w:val="en-US" w:eastAsia="zh-CN"/>
        </w:rPr>
      </w:pPr>
      <w:r>
        <w:rPr>
          <w:rFonts w:hint="eastAsia" w:ascii="仿宋" w:hAnsi="仿宋" w:eastAsia="仿宋" w:cs="楷体_GB2312"/>
          <w:b w:val="0"/>
          <w:bCs w:val="0"/>
          <w:sz w:val="32"/>
          <w:szCs w:val="32"/>
          <w:lang w:val="en-US" w:eastAsia="zh-CN"/>
        </w:rPr>
        <w:t>（十二）负责协调提出全区中长期改革规划建议和年度工作要点，对拟出台的涉及重大改革事项的政策性文件进行审核。</w:t>
      </w:r>
    </w:p>
    <w:p w14:paraId="2167342F">
      <w:pPr>
        <w:snapToGrid w:val="0"/>
        <w:spacing w:line="520" w:lineRule="exact"/>
        <w:ind w:firstLine="640" w:firstLineChars="200"/>
        <w:rPr>
          <w:rFonts w:hint="eastAsia" w:ascii="仿宋" w:hAnsi="仿宋" w:eastAsia="仿宋" w:cs="楷体_GB2312"/>
          <w:b w:val="0"/>
          <w:bCs w:val="0"/>
          <w:sz w:val="32"/>
          <w:szCs w:val="32"/>
          <w:lang w:val="en-US" w:eastAsia="zh-CN"/>
        </w:rPr>
      </w:pPr>
      <w:r>
        <w:rPr>
          <w:rFonts w:hint="eastAsia" w:ascii="仿宋" w:hAnsi="仿宋" w:eastAsia="仿宋" w:cs="楷体_GB2312"/>
          <w:b w:val="0"/>
          <w:bCs w:val="0"/>
          <w:sz w:val="32"/>
          <w:szCs w:val="32"/>
          <w:lang w:val="en-US" w:eastAsia="zh-CN"/>
        </w:rPr>
        <w:t>（十三）负责对各专项小组和各乡镇（街道）、区直各部门全面深化改革工作机构的统筹、协调、督促、检查、推动，并进行年度改革工作考核。</w:t>
      </w:r>
    </w:p>
    <w:p w14:paraId="7176032E">
      <w:pPr>
        <w:snapToGrid w:val="0"/>
        <w:spacing w:line="520" w:lineRule="exact"/>
        <w:ind w:firstLine="640" w:firstLineChars="200"/>
        <w:rPr>
          <w:rFonts w:hint="eastAsia" w:ascii="仿宋" w:hAnsi="仿宋" w:eastAsia="仿宋" w:cs="楷体_GB2312"/>
          <w:b w:val="0"/>
          <w:bCs w:val="0"/>
          <w:sz w:val="32"/>
          <w:szCs w:val="32"/>
          <w:lang w:val="en-US" w:eastAsia="zh-CN"/>
        </w:rPr>
      </w:pPr>
      <w:r>
        <w:rPr>
          <w:rFonts w:hint="eastAsia" w:ascii="仿宋" w:hAnsi="仿宋" w:eastAsia="仿宋" w:cs="楷体_GB2312"/>
          <w:b w:val="0"/>
          <w:bCs w:val="0"/>
          <w:sz w:val="32"/>
          <w:szCs w:val="32"/>
          <w:lang w:val="en-US" w:eastAsia="zh-CN"/>
        </w:rPr>
        <w:t>（十四）承担区委保密委员会和区密码工作领导小组的日常工作。拟订全区保密、密码工作发展规划并组织实施。负责全区保密干部的教育培训和机要密码干部的考察任用工作。</w:t>
      </w:r>
    </w:p>
    <w:p w14:paraId="542B0EE9">
      <w:pPr>
        <w:snapToGrid w:val="0"/>
        <w:spacing w:line="520" w:lineRule="exact"/>
        <w:ind w:firstLine="640" w:firstLineChars="200"/>
        <w:rPr>
          <w:rFonts w:hint="eastAsia" w:ascii="仿宋" w:hAnsi="仿宋" w:eastAsia="仿宋" w:cs="楷体_GB2312"/>
          <w:b w:val="0"/>
          <w:bCs w:val="0"/>
          <w:sz w:val="32"/>
          <w:szCs w:val="32"/>
          <w:lang w:val="en-US" w:eastAsia="zh-CN"/>
        </w:rPr>
      </w:pPr>
      <w:r>
        <w:rPr>
          <w:rFonts w:hint="eastAsia" w:ascii="仿宋" w:hAnsi="仿宋" w:eastAsia="仿宋" w:cs="楷体_GB2312"/>
          <w:b w:val="0"/>
          <w:bCs w:val="0"/>
          <w:sz w:val="32"/>
          <w:szCs w:val="32"/>
          <w:lang w:val="en-US" w:eastAsia="zh-CN"/>
        </w:rPr>
        <w:t>（十五）负责全区党政机关及经济、科学等领域保密管理，通信和计算机网络的保密管理，全区核心密码、普通密码的装备、使用和管理工作；负责失泄密事件的查处工作。</w:t>
      </w:r>
    </w:p>
    <w:p w14:paraId="140764FD">
      <w:pPr>
        <w:snapToGrid w:val="0"/>
        <w:spacing w:line="520" w:lineRule="exact"/>
        <w:ind w:firstLine="640" w:firstLineChars="200"/>
        <w:rPr>
          <w:rFonts w:hint="eastAsia" w:ascii="仿宋" w:hAnsi="仿宋" w:eastAsia="仿宋" w:cs="楷体_GB2312"/>
          <w:b w:val="0"/>
          <w:bCs w:val="0"/>
          <w:sz w:val="32"/>
          <w:szCs w:val="32"/>
          <w:lang w:val="en-US" w:eastAsia="zh-CN"/>
        </w:rPr>
      </w:pPr>
      <w:r>
        <w:rPr>
          <w:rFonts w:hint="eastAsia" w:ascii="仿宋" w:hAnsi="仿宋" w:eastAsia="仿宋" w:cs="楷体_GB2312"/>
          <w:b w:val="0"/>
          <w:bCs w:val="0"/>
          <w:sz w:val="32"/>
          <w:szCs w:val="32"/>
          <w:lang w:val="en-US" w:eastAsia="zh-CN"/>
        </w:rPr>
        <w:t>（十六）负责全区党政机关的密码电报、内部明电和密传件的传输管理工作。</w:t>
      </w:r>
    </w:p>
    <w:p w14:paraId="13793AC3">
      <w:pPr>
        <w:snapToGrid w:val="0"/>
        <w:spacing w:line="520" w:lineRule="exact"/>
        <w:ind w:firstLine="640" w:firstLineChars="200"/>
        <w:rPr>
          <w:rFonts w:hint="eastAsia" w:ascii="仿宋" w:hAnsi="仿宋" w:eastAsia="仿宋" w:cs="楷体_GB2312"/>
          <w:b w:val="0"/>
          <w:bCs w:val="0"/>
          <w:sz w:val="32"/>
          <w:szCs w:val="32"/>
          <w:lang w:val="en-US" w:eastAsia="zh-CN"/>
        </w:rPr>
      </w:pPr>
      <w:r>
        <w:rPr>
          <w:rFonts w:hint="eastAsia" w:ascii="仿宋" w:hAnsi="仿宋" w:eastAsia="仿宋" w:cs="楷体_GB2312"/>
          <w:b w:val="0"/>
          <w:bCs w:val="0"/>
          <w:sz w:val="32"/>
          <w:szCs w:val="32"/>
          <w:lang w:val="en-US" w:eastAsia="zh-CN"/>
        </w:rPr>
        <w:t>（十七）负责全区电子政务内网、党委系统信息化等建设和管理工作；负责全区密码通信网络的管理工作；负责全区党政专用通信二级网的管理、维护工作。</w:t>
      </w:r>
    </w:p>
    <w:p w14:paraId="26A6B14E">
      <w:pPr>
        <w:snapToGrid w:val="0"/>
        <w:spacing w:line="520" w:lineRule="exact"/>
        <w:ind w:firstLine="640" w:firstLineChars="200"/>
        <w:rPr>
          <w:rFonts w:hint="eastAsia" w:ascii="仿宋" w:hAnsi="仿宋" w:eastAsia="仿宋" w:cs="楷体_GB2312"/>
          <w:b w:val="0"/>
          <w:bCs w:val="0"/>
          <w:sz w:val="32"/>
          <w:szCs w:val="32"/>
          <w:lang w:val="en-US" w:eastAsia="zh-CN"/>
        </w:rPr>
      </w:pPr>
      <w:r>
        <w:rPr>
          <w:rFonts w:hint="eastAsia" w:ascii="仿宋" w:hAnsi="仿宋" w:eastAsia="仿宋" w:cs="楷体_GB2312"/>
          <w:b w:val="0"/>
          <w:bCs w:val="0"/>
          <w:sz w:val="32"/>
          <w:szCs w:val="32"/>
          <w:lang w:val="en-US" w:eastAsia="zh-CN"/>
        </w:rPr>
        <w:t>（十八）负责全区档案事业宏观管理和执法复议、监督指导等工作。</w:t>
      </w:r>
    </w:p>
    <w:p w14:paraId="52651E98">
      <w:pPr>
        <w:snapToGrid w:val="0"/>
        <w:spacing w:line="520" w:lineRule="exact"/>
        <w:ind w:firstLine="640" w:firstLineChars="200"/>
        <w:rPr>
          <w:rFonts w:hint="eastAsia" w:ascii="仿宋" w:hAnsi="仿宋" w:eastAsia="仿宋" w:cs="楷体_GB2312"/>
          <w:b w:val="0"/>
          <w:bCs w:val="0"/>
          <w:sz w:val="32"/>
          <w:szCs w:val="32"/>
          <w:lang w:val="en-US" w:eastAsia="zh-CN"/>
        </w:rPr>
      </w:pPr>
      <w:r>
        <w:rPr>
          <w:rFonts w:hint="eastAsia" w:ascii="仿宋" w:hAnsi="仿宋" w:eastAsia="仿宋" w:cs="楷体_GB2312"/>
          <w:b w:val="0"/>
          <w:bCs w:val="0"/>
          <w:sz w:val="32"/>
          <w:szCs w:val="32"/>
          <w:lang w:val="en-US" w:eastAsia="zh-CN"/>
        </w:rPr>
        <w:t>（十九）负责组织指导、督促检查全区地方志工作。</w:t>
      </w:r>
    </w:p>
    <w:p w14:paraId="20B778F3">
      <w:pPr>
        <w:snapToGrid w:val="0"/>
        <w:spacing w:line="520" w:lineRule="exact"/>
        <w:ind w:firstLine="640" w:firstLineChars="200"/>
        <w:rPr>
          <w:rFonts w:hint="eastAsia" w:ascii="仿宋" w:hAnsi="仿宋" w:eastAsia="仿宋" w:cs="楷体_GB2312"/>
          <w:b w:val="0"/>
          <w:bCs w:val="0"/>
          <w:sz w:val="32"/>
          <w:szCs w:val="32"/>
          <w:lang w:val="en-US" w:eastAsia="zh-CN"/>
        </w:rPr>
      </w:pPr>
      <w:r>
        <w:rPr>
          <w:rFonts w:hint="eastAsia" w:ascii="仿宋" w:hAnsi="仿宋" w:eastAsia="仿宋" w:cs="楷体_GB2312"/>
          <w:b w:val="0"/>
          <w:bCs w:val="0"/>
          <w:sz w:val="32"/>
          <w:szCs w:val="32"/>
          <w:lang w:val="en-US" w:eastAsia="zh-CN"/>
        </w:rPr>
        <w:t>（二十）负责部分省管干部、市管干部及区委办公室离退休干部职工的服务工作；负责全区文秘干部职工的教育培训工作。</w:t>
      </w:r>
    </w:p>
    <w:p w14:paraId="600861EB">
      <w:pPr>
        <w:snapToGrid w:val="0"/>
        <w:spacing w:line="520" w:lineRule="exact"/>
        <w:ind w:firstLine="640" w:firstLineChars="200"/>
        <w:rPr>
          <w:rFonts w:hint="eastAsia" w:ascii="仿宋" w:hAnsi="仿宋" w:eastAsia="仿宋" w:cs="楷体_GB2312"/>
          <w:b w:val="0"/>
          <w:bCs w:val="0"/>
          <w:sz w:val="32"/>
          <w:szCs w:val="32"/>
          <w:lang w:val="en-US" w:eastAsia="zh-CN"/>
        </w:rPr>
      </w:pPr>
      <w:r>
        <w:rPr>
          <w:rFonts w:hint="eastAsia" w:ascii="仿宋" w:hAnsi="仿宋" w:eastAsia="仿宋" w:cs="楷体_GB2312"/>
          <w:b w:val="0"/>
          <w:bCs w:val="0"/>
          <w:sz w:val="32"/>
          <w:szCs w:val="32"/>
          <w:lang w:val="en-US" w:eastAsia="zh-CN"/>
        </w:rPr>
        <w:t>（二十一）完成区委、区委全面深化改革委员会、区委国家安全委员会、区委保密委员会、区密码工作领导小组交办的其他任务。</w:t>
      </w:r>
    </w:p>
    <w:p w14:paraId="342DFEB6">
      <w:pPr>
        <w:adjustRightInd w:val="0"/>
        <w:snapToGrid w:val="0"/>
        <w:spacing w:line="560" w:lineRule="exact"/>
        <w:ind w:firstLine="640" w:firstLineChars="200"/>
        <w:rPr>
          <w:rFonts w:ascii="仿宋" w:hAnsi="仿宋" w:eastAsia="仿宋"/>
          <w:sz w:val="32"/>
          <w:szCs w:val="32"/>
        </w:rPr>
      </w:pPr>
    </w:p>
    <w:p w14:paraId="6B5D0BDF">
      <w:pPr>
        <w:snapToGrid w:val="0"/>
        <w:spacing w:line="520" w:lineRule="exact"/>
        <w:ind w:firstLine="640" w:firstLineChars="200"/>
        <w:rPr>
          <w:rFonts w:ascii="仿宋_GB2312" w:hAnsi="仿宋" w:eastAsia="仿宋_GB2312"/>
          <w:sz w:val="32"/>
          <w:szCs w:val="32"/>
        </w:rPr>
      </w:pPr>
      <w:r>
        <w:rPr>
          <w:rFonts w:hint="eastAsia" w:ascii="仿宋_GB2312" w:hAnsi="仿宋" w:eastAsia="仿宋_GB2312"/>
          <w:sz w:val="32"/>
          <w:szCs w:val="32"/>
        </w:rPr>
        <w:t>2．机构情况。</w:t>
      </w:r>
    </w:p>
    <w:p w14:paraId="1B99DAD6">
      <w:pPr>
        <w:jc w:val="center"/>
      </w:pPr>
      <w:r>
        <w:rPr>
          <w:rFonts w:ascii="方正小标宋_GBK" w:hAnsi="方正小标宋_GBK" w:eastAsia="方正小标宋_GBK" w:cs="方正小标宋_GBK"/>
          <w:color w:val="000000"/>
          <w:sz w:val="32"/>
        </w:rPr>
        <w:t>部门机构设置情况</w:t>
      </w:r>
    </w:p>
    <w:tbl>
      <w:tblPr>
        <w:tblStyle w:val="13"/>
        <w:tblW w:w="90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268"/>
        <w:gridCol w:w="2268"/>
        <w:gridCol w:w="2268"/>
        <w:gridCol w:w="2268"/>
      </w:tblGrid>
      <w:tr w14:paraId="41C38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268" w:type="dxa"/>
            <w:vAlign w:val="center"/>
          </w:tcPr>
          <w:p w14:paraId="0A9A9348">
            <w:pPr>
              <w:pStyle w:val="15"/>
            </w:pPr>
            <w:r>
              <w:t>单位名称</w:t>
            </w:r>
          </w:p>
        </w:tc>
        <w:tc>
          <w:tcPr>
            <w:tcW w:w="2268" w:type="dxa"/>
            <w:vAlign w:val="center"/>
          </w:tcPr>
          <w:p w14:paraId="61DF302A">
            <w:pPr>
              <w:pStyle w:val="15"/>
            </w:pPr>
            <w:r>
              <w:t>单位性质</w:t>
            </w:r>
          </w:p>
        </w:tc>
        <w:tc>
          <w:tcPr>
            <w:tcW w:w="2268" w:type="dxa"/>
            <w:vAlign w:val="center"/>
          </w:tcPr>
          <w:p w14:paraId="1D248CB1">
            <w:pPr>
              <w:pStyle w:val="15"/>
            </w:pPr>
            <w:r>
              <w:t>单位规格</w:t>
            </w:r>
          </w:p>
        </w:tc>
        <w:tc>
          <w:tcPr>
            <w:tcW w:w="2268" w:type="dxa"/>
            <w:vAlign w:val="center"/>
          </w:tcPr>
          <w:p w14:paraId="14671CB0">
            <w:pPr>
              <w:pStyle w:val="15"/>
            </w:pPr>
            <w:r>
              <w:t>经费保障形式</w:t>
            </w:r>
          </w:p>
        </w:tc>
      </w:tr>
      <w:tr w14:paraId="3C2A3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68" w:type="dxa"/>
            <w:tcBorders>
              <w:top w:val="single" w:color="000000" w:sz="6" w:space="0"/>
              <w:left w:val="single" w:color="000000" w:sz="6" w:space="0"/>
              <w:right w:val="single" w:color="000000" w:sz="6" w:space="0"/>
            </w:tcBorders>
            <w:vAlign w:val="center"/>
          </w:tcPr>
          <w:p w14:paraId="419ECC25">
            <w:pPr>
              <w:pStyle w:val="16"/>
            </w:pPr>
            <w:r>
              <w:t>矿区委办公室本级</w:t>
            </w:r>
          </w:p>
        </w:tc>
        <w:tc>
          <w:tcPr>
            <w:tcW w:w="2268" w:type="dxa"/>
            <w:tcBorders>
              <w:top w:val="single" w:color="000000" w:sz="6" w:space="0"/>
              <w:left w:val="single" w:color="000000" w:sz="6" w:space="0"/>
              <w:right w:val="single" w:color="000000" w:sz="6" w:space="0"/>
            </w:tcBorders>
            <w:vAlign w:val="center"/>
          </w:tcPr>
          <w:p w14:paraId="214E5BB8">
            <w:pPr>
              <w:pStyle w:val="17"/>
            </w:pPr>
            <w:r>
              <w:t>行政</w:t>
            </w:r>
          </w:p>
        </w:tc>
        <w:tc>
          <w:tcPr>
            <w:tcW w:w="2268" w:type="dxa"/>
            <w:tcBorders>
              <w:top w:val="single" w:color="000000" w:sz="6" w:space="0"/>
              <w:left w:val="single" w:color="000000" w:sz="6" w:space="0"/>
              <w:right w:val="single" w:color="000000" w:sz="6" w:space="0"/>
            </w:tcBorders>
            <w:vAlign w:val="center"/>
          </w:tcPr>
          <w:p w14:paraId="60D9E1D6">
            <w:pPr>
              <w:pStyle w:val="17"/>
              <w:rPr>
                <w:rFonts w:hint="eastAsia" w:eastAsia="方正书宋_GBK"/>
                <w:lang w:val="en-US" w:eastAsia="zh-CN"/>
              </w:rPr>
            </w:pPr>
            <w:r>
              <w:rPr>
                <w:rFonts w:hint="eastAsia"/>
                <w:lang w:val="en-US" w:eastAsia="zh-CN"/>
              </w:rPr>
              <w:t>正科级</w:t>
            </w:r>
          </w:p>
        </w:tc>
        <w:tc>
          <w:tcPr>
            <w:tcW w:w="2268" w:type="dxa"/>
            <w:tcBorders>
              <w:top w:val="single" w:color="000000" w:sz="6" w:space="0"/>
              <w:left w:val="single" w:color="000000" w:sz="6" w:space="0"/>
              <w:right w:val="single" w:color="000000" w:sz="6" w:space="0"/>
            </w:tcBorders>
            <w:vAlign w:val="center"/>
          </w:tcPr>
          <w:p w14:paraId="7D12D4F4">
            <w:pPr>
              <w:pStyle w:val="17"/>
            </w:pPr>
            <w:r>
              <w:t>财政拨款</w:t>
            </w:r>
          </w:p>
        </w:tc>
      </w:tr>
    </w:tbl>
    <w:p w14:paraId="2D9091D3">
      <w:pPr>
        <w:snapToGrid w:val="0"/>
        <w:spacing w:line="520" w:lineRule="exact"/>
        <w:ind w:firstLine="640" w:firstLineChars="200"/>
        <w:rPr>
          <w:rFonts w:ascii="仿宋_GB2312" w:hAnsi="仿宋" w:eastAsia="仿宋_GB2312"/>
          <w:sz w:val="32"/>
          <w:szCs w:val="32"/>
        </w:rPr>
      </w:pPr>
      <w:r>
        <w:rPr>
          <w:rFonts w:hint="eastAsia" w:ascii="仿宋_GB2312" w:hAnsi="仿宋" w:eastAsia="仿宋_GB2312"/>
          <w:sz w:val="32"/>
          <w:szCs w:val="32"/>
        </w:rPr>
        <w:t>3．人员情况，包括当年变动情况及原因。</w:t>
      </w:r>
    </w:p>
    <w:p w14:paraId="42F6F01D">
      <w:pPr>
        <w:snapToGrid w:val="0"/>
        <w:spacing w:line="520" w:lineRule="exact"/>
        <w:ind w:firstLine="640" w:firstLineChars="200"/>
        <w:rPr>
          <w:rFonts w:hint="eastAsia" w:ascii="仿宋" w:hAnsi="仿宋" w:eastAsia="仿宋" w:cs="楷体_GB2312"/>
          <w:b w:val="0"/>
          <w:bCs w:val="0"/>
          <w:sz w:val="32"/>
          <w:szCs w:val="32"/>
          <w:lang w:val="en-US" w:eastAsia="zh-CN"/>
        </w:rPr>
      </w:pPr>
      <w:r>
        <w:rPr>
          <w:rFonts w:hint="eastAsia" w:ascii="仿宋" w:hAnsi="仿宋" w:eastAsia="仿宋" w:cs="楷体_GB2312"/>
          <w:b w:val="0"/>
          <w:bCs w:val="0"/>
          <w:sz w:val="32"/>
          <w:szCs w:val="32"/>
          <w:lang w:val="en-US" w:eastAsia="zh-CN"/>
        </w:rPr>
        <w:t>区委办截止202</w:t>
      </w:r>
      <w:r>
        <w:rPr>
          <w:rFonts w:ascii="仿宋" w:hAnsi="仿宋" w:eastAsia="仿宋" w:cs="楷体_GB2312"/>
          <w:b w:val="0"/>
          <w:bCs w:val="0"/>
          <w:sz w:val="32"/>
          <w:szCs w:val="32"/>
          <w:lang w:val="en-US" w:eastAsia="zh-CN"/>
        </w:rPr>
        <w:t>4</w:t>
      </w:r>
      <w:r>
        <w:rPr>
          <w:rFonts w:hint="eastAsia" w:ascii="仿宋" w:hAnsi="仿宋" w:eastAsia="仿宋" w:cs="楷体_GB2312"/>
          <w:b w:val="0"/>
          <w:bCs w:val="0"/>
          <w:sz w:val="32"/>
          <w:szCs w:val="32"/>
          <w:lang w:val="en-US" w:eastAsia="zh-CN"/>
        </w:rPr>
        <w:t>年12月31日，在职</w:t>
      </w:r>
      <w:r>
        <w:rPr>
          <w:rFonts w:ascii="仿宋" w:hAnsi="仿宋" w:eastAsia="仿宋" w:cs="楷体_GB2312"/>
          <w:b w:val="0"/>
          <w:bCs w:val="0"/>
          <w:sz w:val="32"/>
          <w:szCs w:val="32"/>
          <w:lang w:val="en-US" w:eastAsia="zh-CN"/>
        </w:rPr>
        <w:t>23</w:t>
      </w:r>
      <w:r>
        <w:rPr>
          <w:rFonts w:hint="eastAsia" w:ascii="仿宋" w:hAnsi="仿宋" w:eastAsia="仿宋" w:cs="楷体_GB2312"/>
          <w:b w:val="0"/>
          <w:bCs w:val="0"/>
          <w:sz w:val="32"/>
          <w:szCs w:val="32"/>
          <w:lang w:val="en-US" w:eastAsia="zh-CN"/>
        </w:rPr>
        <w:t>人。</w:t>
      </w:r>
    </w:p>
    <w:p w14:paraId="7EE3C196">
      <w:pPr>
        <w:snapToGrid w:val="0"/>
        <w:spacing w:line="520" w:lineRule="exact"/>
        <w:ind w:firstLine="640" w:firstLineChars="200"/>
        <w:rPr>
          <w:rFonts w:ascii="仿宋_GB2312" w:hAnsi="仿宋" w:eastAsia="仿宋_GB2312"/>
          <w:sz w:val="32"/>
          <w:szCs w:val="32"/>
        </w:rPr>
      </w:pPr>
      <w:r>
        <w:rPr>
          <w:rFonts w:hint="eastAsia" w:ascii="仿宋" w:hAnsi="仿宋" w:eastAsia="仿宋" w:cs="楷体_GB2312"/>
          <w:b w:val="0"/>
          <w:bCs w:val="0"/>
          <w:sz w:val="32"/>
          <w:szCs w:val="32"/>
          <w:lang w:val="en-US" w:eastAsia="zh-CN"/>
        </w:rPr>
        <w:t>4、资产情况</w:t>
      </w:r>
      <w:r>
        <w:rPr>
          <w:rFonts w:hint="eastAsia" w:ascii="仿宋_GB2312" w:hAnsi="仿宋" w:eastAsia="仿宋_GB2312"/>
          <w:sz w:val="32"/>
          <w:szCs w:val="32"/>
        </w:rPr>
        <w:t>，包括当年变动情况及原因。</w:t>
      </w:r>
    </w:p>
    <w:p w14:paraId="4A3638AE">
      <w:pPr>
        <w:snapToGrid w:val="0"/>
        <w:spacing w:line="520" w:lineRule="exact"/>
        <w:ind w:firstLine="640" w:firstLineChars="200"/>
        <w:rPr>
          <w:rFonts w:ascii="仿宋_GB2312" w:hAnsi="仿宋" w:eastAsia="仿宋_GB2312"/>
          <w:sz w:val="32"/>
          <w:szCs w:val="32"/>
          <w:lang w:val="en-US" w:eastAsia="zh-CN"/>
        </w:rPr>
      </w:pPr>
      <w:r>
        <w:rPr>
          <w:rFonts w:hint="eastAsia" w:ascii="仿宋" w:hAnsi="仿宋" w:eastAsia="仿宋" w:cs="仿宋"/>
          <w:sz w:val="32"/>
          <w:szCs w:val="32"/>
        </w:rPr>
        <w:t>202</w:t>
      </w:r>
      <w:r>
        <w:rPr>
          <w:rFonts w:ascii="仿宋" w:hAnsi="仿宋" w:eastAsia="仿宋" w:cs="仿宋"/>
          <w:sz w:val="32"/>
          <w:szCs w:val="32"/>
          <w:lang w:val="en-US" w:eastAsia="zh-CN"/>
        </w:rPr>
        <w:t>4</w:t>
      </w:r>
      <w:r>
        <w:rPr>
          <w:rFonts w:hint="eastAsia" w:ascii="仿宋" w:hAnsi="仿宋" w:eastAsia="仿宋" w:cs="仿宋"/>
          <w:sz w:val="32"/>
          <w:szCs w:val="32"/>
        </w:rPr>
        <w:t>年年初资产</w:t>
      </w:r>
      <w:r>
        <w:rPr>
          <w:rFonts w:ascii="仿宋" w:hAnsi="仿宋" w:eastAsia="仿宋" w:cs="仿宋"/>
          <w:sz w:val="32"/>
          <w:szCs w:val="32"/>
          <w:lang w:val="en-US" w:eastAsia="zh-CN"/>
        </w:rPr>
        <w:t>411.24</w:t>
      </w:r>
      <w:r>
        <w:rPr>
          <w:rFonts w:hint="eastAsia" w:ascii="仿宋" w:hAnsi="仿宋" w:eastAsia="仿宋" w:cs="仿宋"/>
          <w:sz w:val="32"/>
          <w:szCs w:val="32"/>
        </w:rPr>
        <w:t>万元，年末</w:t>
      </w:r>
      <w:r>
        <w:rPr>
          <w:rFonts w:ascii="仿宋" w:hAnsi="仿宋" w:eastAsia="仿宋" w:cs="仿宋"/>
          <w:sz w:val="32"/>
          <w:szCs w:val="32"/>
          <w:lang w:val="en-US" w:eastAsia="zh-CN"/>
        </w:rPr>
        <w:t>391.84</w:t>
      </w:r>
      <w:r>
        <w:rPr>
          <w:rFonts w:hint="eastAsia" w:ascii="仿宋" w:hAnsi="仿宋" w:eastAsia="仿宋" w:cs="仿宋"/>
          <w:sz w:val="32"/>
          <w:szCs w:val="32"/>
        </w:rPr>
        <w:t>万元</w:t>
      </w:r>
      <w:r>
        <w:rPr>
          <w:rFonts w:hint="eastAsia" w:ascii="仿宋" w:hAnsi="仿宋" w:eastAsia="仿宋" w:cs="仿宋"/>
          <w:sz w:val="32"/>
          <w:szCs w:val="32"/>
          <w:lang w:eastAsia="zh-CN"/>
        </w:rPr>
        <w:t>。</w:t>
      </w:r>
      <w:r>
        <w:rPr>
          <w:rFonts w:ascii="仿宋_GB2312" w:hAnsi="仿宋" w:eastAsia="仿宋_GB2312"/>
          <w:sz w:val="32"/>
          <w:szCs w:val="32"/>
        </w:rPr>
        <w:t>减少了19.4</w:t>
      </w:r>
      <w:r>
        <w:rPr>
          <w:rFonts w:hint="eastAsia" w:ascii="仿宋_GB2312" w:hAnsi="仿宋" w:eastAsia="仿宋_GB2312"/>
          <w:sz w:val="32"/>
          <w:szCs w:val="32"/>
        </w:rPr>
        <w:t>万元，主要原因是</w:t>
      </w:r>
      <w:r>
        <w:rPr>
          <w:rFonts w:ascii="仿宋_GB2312" w:hAnsi="仿宋" w:eastAsia="仿宋_GB2312"/>
          <w:sz w:val="32"/>
          <w:szCs w:val="32"/>
        </w:rPr>
        <w:t>调拨公车一辆至统战部</w:t>
      </w:r>
      <w:r>
        <w:rPr>
          <w:rFonts w:hint="eastAsia" w:ascii="仿宋_GB2312" w:hAnsi="仿宋" w:eastAsia="仿宋_GB2312"/>
          <w:sz w:val="32"/>
          <w:szCs w:val="32"/>
          <w:lang w:val="en-US" w:eastAsia="zh-CN"/>
        </w:rPr>
        <w:t>。</w:t>
      </w:r>
    </w:p>
    <w:p w14:paraId="0AE95F8D">
      <w:pPr>
        <w:widowControl w:val="0"/>
        <w:numPr>
          <w:ilvl w:val="0"/>
          <w:numId w:val="1"/>
        </w:numPr>
        <w:wordWrap/>
        <w:adjustRightInd w:val="0"/>
        <w:snapToGrid w:val="0"/>
        <w:spacing w:line="560" w:lineRule="exact"/>
        <w:ind w:left="0" w:right="0" w:firstLine="643" w:firstLineChars="200"/>
        <w:textAlignment w:val="auto"/>
        <w:outlineLvl w:val="9"/>
        <w:rPr>
          <w:rFonts w:hint="eastAsia" w:ascii="仿宋" w:hAnsi="仿宋" w:eastAsia="仿宋" w:cs="楷体_GB2312"/>
          <w:b/>
          <w:bCs/>
          <w:sz w:val="32"/>
          <w:szCs w:val="32"/>
          <w:lang w:eastAsia="zh-CN"/>
        </w:rPr>
      </w:pPr>
      <w:r>
        <w:rPr>
          <w:rFonts w:hint="eastAsia" w:ascii="仿宋" w:hAnsi="仿宋" w:eastAsia="仿宋" w:cs="楷体_GB2312"/>
          <w:b/>
          <w:bCs/>
          <w:sz w:val="32"/>
          <w:szCs w:val="32"/>
          <w:lang w:eastAsia="zh-CN"/>
        </w:rPr>
        <w:t>部门收支预决算情况</w:t>
      </w:r>
    </w:p>
    <w:p w14:paraId="7F275012">
      <w:pPr>
        <w:widowControl w:val="0"/>
        <w:wordWrap/>
        <w:adjustRightInd w:val="0"/>
        <w:snapToGrid w:val="0"/>
        <w:spacing w:line="560" w:lineRule="exact"/>
        <w:ind w:right="0"/>
        <w:textAlignment w:val="auto"/>
        <w:outlineLvl w:val="9"/>
        <w:rPr>
          <w:rFonts w:ascii="仿宋" w:hAnsi="仿宋" w:eastAsia="仿宋" w:cs="楷体_GB2312"/>
          <w:b/>
          <w:bCs/>
          <w:sz w:val="32"/>
          <w:szCs w:val="32"/>
          <w:lang w:val="en-US" w:eastAsia="zh-CN"/>
        </w:rPr>
      </w:pPr>
      <w:r>
        <w:rPr>
          <w:rFonts w:hint="eastAsia" w:ascii="仿宋" w:hAnsi="仿宋" w:eastAsia="仿宋" w:cs="楷体_GB2312"/>
          <w:b/>
          <w:bCs/>
          <w:sz w:val="32"/>
          <w:szCs w:val="32"/>
          <w:lang w:val="en-US" w:eastAsia="zh-CN"/>
        </w:rPr>
        <w:t xml:space="preserve">  </w:t>
      </w:r>
      <w:r>
        <w:rPr>
          <w:rFonts w:hint="eastAsia" w:ascii="仿宋_GB2312" w:hAnsi="仿宋" w:eastAsia="仿宋_GB2312" w:cs="Times New Roman"/>
          <w:kern w:val="2"/>
          <w:sz w:val="32"/>
          <w:szCs w:val="32"/>
        </w:rPr>
        <w:t>本年年初预算收入、支出均为</w:t>
      </w:r>
      <w:r>
        <w:rPr>
          <w:rFonts w:ascii="仿宋_GB2312" w:hAnsi="仿宋" w:eastAsia="仿宋_GB2312" w:cs="Times New Roman"/>
          <w:kern w:val="2"/>
          <w:sz w:val="32"/>
          <w:szCs w:val="32"/>
          <w:lang w:val="en-US" w:eastAsia="zh-CN"/>
        </w:rPr>
        <w:t>793.02</w:t>
      </w:r>
      <w:r>
        <w:rPr>
          <w:rFonts w:hint="eastAsia" w:ascii="仿宋_GB2312" w:hAnsi="仿宋" w:eastAsia="仿宋_GB2312" w:cs="Times New Roman"/>
          <w:kern w:val="2"/>
          <w:sz w:val="32"/>
          <w:szCs w:val="32"/>
          <w:lang w:val="en-US" w:eastAsia="zh-CN"/>
        </w:rPr>
        <w:t>万</w:t>
      </w:r>
      <w:r>
        <w:rPr>
          <w:rFonts w:hint="eastAsia" w:ascii="仿宋_GB2312" w:hAnsi="仿宋" w:eastAsia="仿宋_GB2312" w:cs="Times New Roman"/>
          <w:kern w:val="2"/>
          <w:sz w:val="32"/>
          <w:szCs w:val="32"/>
        </w:rPr>
        <w:t>元，其中包括：人员经费</w:t>
      </w:r>
      <w:r>
        <w:rPr>
          <w:rFonts w:ascii="仿宋_GB2312" w:hAnsi="仿宋" w:eastAsia="仿宋_GB2312" w:cs="Times New Roman"/>
          <w:kern w:val="2"/>
          <w:sz w:val="32"/>
          <w:szCs w:val="32"/>
          <w:lang w:val="en-US" w:eastAsia="zh-CN"/>
        </w:rPr>
        <w:t>381.8</w:t>
      </w:r>
      <w:r>
        <w:rPr>
          <w:rFonts w:hint="eastAsia" w:ascii="仿宋_GB2312" w:hAnsi="仿宋" w:eastAsia="仿宋_GB2312" w:cs="Times New Roman"/>
          <w:kern w:val="2"/>
          <w:sz w:val="32"/>
          <w:szCs w:val="32"/>
        </w:rPr>
        <w:t>万元，日常公用经费</w:t>
      </w:r>
      <w:r>
        <w:rPr>
          <w:rFonts w:ascii="仿宋_GB2312" w:hAnsi="仿宋" w:eastAsia="仿宋_GB2312" w:cs="Times New Roman"/>
          <w:kern w:val="2"/>
          <w:sz w:val="32"/>
          <w:szCs w:val="32"/>
          <w:lang w:val="en-US" w:eastAsia="zh-CN"/>
        </w:rPr>
        <w:t>29.38</w:t>
      </w:r>
      <w:r>
        <w:rPr>
          <w:rFonts w:hint="eastAsia" w:ascii="仿宋_GB2312" w:hAnsi="仿宋" w:eastAsia="仿宋_GB2312" w:cs="Times New Roman"/>
          <w:kern w:val="2"/>
          <w:sz w:val="32"/>
          <w:szCs w:val="32"/>
        </w:rPr>
        <w:t>万元，项目支出</w:t>
      </w:r>
      <w:r>
        <w:rPr>
          <w:rFonts w:ascii="仿宋_GB2312" w:hAnsi="仿宋" w:eastAsia="仿宋_GB2312" w:cs="Times New Roman"/>
          <w:kern w:val="2"/>
          <w:sz w:val="32"/>
          <w:szCs w:val="32"/>
          <w:lang w:val="en-US" w:eastAsia="zh-CN"/>
        </w:rPr>
        <w:t>307</w:t>
      </w:r>
      <w:r>
        <w:rPr>
          <w:rFonts w:hint="eastAsia" w:ascii="仿宋_GB2312" w:hAnsi="仿宋" w:eastAsia="仿宋_GB2312" w:cs="Times New Roman"/>
          <w:kern w:val="2"/>
          <w:sz w:val="32"/>
          <w:szCs w:val="32"/>
        </w:rPr>
        <w:t>万元。与上年对比</w:t>
      </w:r>
      <w:r>
        <w:rPr>
          <w:rFonts w:hint="eastAsia" w:ascii="仿宋_GB2312" w:hAnsi="仿宋" w:eastAsia="仿宋_GB2312" w:cs="Times New Roman"/>
          <w:kern w:val="2"/>
          <w:sz w:val="32"/>
          <w:szCs w:val="32"/>
          <w:lang w:eastAsia="zh-CN"/>
        </w:rPr>
        <w:t>增加</w:t>
      </w:r>
      <w:r>
        <w:rPr>
          <w:rFonts w:ascii="仿宋_GB2312" w:hAnsi="仿宋" w:eastAsia="仿宋_GB2312" w:cs="Times New Roman"/>
          <w:kern w:val="2"/>
          <w:sz w:val="32"/>
          <w:szCs w:val="32"/>
          <w:lang w:val="en-US" w:eastAsia="zh-CN"/>
        </w:rPr>
        <w:t>36.93</w:t>
      </w:r>
      <w:r>
        <w:rPr>
          <w:rFonts w:hint="eastAsia" w:ascii="仿宋_GB2312" w:hAnsi="仿宋" w:eastAsia="仿宋_GB2312" w:cs="Times New Roman"/>
          <w:kern w:val="2"/>
          <w:sz w:val="32"/>
          <w:szCs w:val="32"/>
        </w:rPr>
        <w:t>万元，</w:t>
      </w:r>
      <w:r>
        <w:rPr>
          <w:rFonts w:ascii="仿宋_GB2312" w:hAnsi="仿宋" w:eastAsia="仿宋_GB2312" w:cs="Times New Roman"/>
          <w:kern w:val="2"/>
          <w:sz w:val="32"/>
          <w:szCs w:val="32"/>
          <w:lang w:eastAsia="zh-CN"/>
        </w:rPr>
        <w:t>人员增加</w:t>
      </w:r>
      <w:r>
        <w:rPr>
          <w:rFonts w:hint="eastAsia" w:ascii="仿宋_GB2312" w:hAnsi="仿宋" w:eastAsia="仿宋_GB2312" w:cs="Times New Roman"/>
          <w:kern w:val="2"/>
          <w:sz w:val="32"/>
          <w:szCs w:val="32"/>
          <w:lang w:eastAsia="zh-CN"/>
        </w:rPr>
        <w:t>。</w:t>
      </w:r>
    </w:p>
    <w:p w14:paraId="10E9161A">
      <w:pPr>
        <w:widowControl w:val="0"/>
        <w:numPr>
          <w:ilvl w:val="0"/>
          <w:numId w:val="1"/>
        </w:numPr>
        <w:wordWrap/>
        <w:adjustRightInd w:val="0"/>
        <w:snapToGrid w:val="0"/>
        <w:spacing w:line="560" w:lineRule="exact"/>
        <w:ind w:left="0" w:right="0" w:firstLine="643" w:firstLineChars="200"/>
        <w:textAlignment w:val="auto"/>
        <w:outlineLvl w:val="9"/>
        <w:rPr>
          <w:rFonts w:hint="eastAsia" w:ascii="仿宋" w:hAnsi="仿宋" w:eastAsia="仿宋" w:cs="楷体_GB2312"/>
          <w:b/>
          <w:bCs/>
          <w:sz w:val="32"/>
          <w:szCs w:val="32"/>
          <w:lang w:eastAsia="zh-CN"/>
        </w:rPr>
      </w:pPr>
      <w:r>
        <w:rPr>
          <w:rFonts w:hint="eastAsia" w:ascii="仿宋" w:hAnsi="仿宋" w:eastAsia="仿宋" w:cs="楷体_GB2312"/>
          <w:b/>
          <w:bCs/>
          <w:sz w:val="32"/>
          <w:szCs w:val="32"/>
          <w:lang w:eastAsia="zh-CN"/>
        </w:rPr>
        <w:t>部门整体支出绩效目标、指标</w:t>
      </w:r>
    </w:p>
    <w:p w14:paraId="4C775B9C">
      <w:pPr>
        <w:pStyle w:val="18"/>
        <w:rPr>
          <w:rFonts w:ascii="仿宋" w:hAnsi="仿宋" w:eastAsia="仿宋" w:cs="黑体"/>
          <w:kern w:val="2"/>
          <w:sz w:val="32"/>
          <w:szCs w:val="32"/>
          <w:lang w:val="en-US" w:eastAsia="zh-CN" w:bidi="ar-SA"/>
        </w:rPr>
      </w:pPr>
      <w:r>
        <w:rPr>
          <w:rFonts w:hint="eastAsia"/>
          <w:lang w:val="en-US" w:eastAsia="zh-CN"/>
        </w:rPr>
        <w:t xml:space="preserve">  </w:t>
      </w:r>
      <w:r>
        <w:rPr>
          <w:rFonts w:hint="eastAsia" w:ascii="仿宋" w:hAnsi="仿宋" w:eastAsia="仿宋" w:cs="黑体"/>
          <w:kern w:val="2"/>
          <w:sz w:val="32"/>
          <w:szCs w:val="32"/>
          <w:lang w:val="en-US" w:eastAsia="zh-CN" w:bidi="ar-SA"/>
        </w:rPr>
        <w:t>202</w:t>
      </w:r>
      <w:r>
        <w:rPr>
          <w:rFonts w:ascii="仿宋" w:hAnsi="仿宋" w:eastAsia="仿宋" w:cs="黑体"/>
          <w:kern w:val="2"/>
          <w:sz w:val="32"/>
          <w:szCs w:val="32"/>
          <w:lang w:val="en-US" w:eastAsia="zh-CN" w:bidi="ar-SA"/>
        </w:rPr>
        <w:t>4</w:t>
      </w:r>
      <w:r>
        <w:rPr>
          <w:rFonts w:hint="eastAsia" w:ascii="仿宋" w:hAnsi="仿宋" w:eastAsia="仿宋" w:cs="黑体"/>
          <w:kern w:val="2"/>
          <w:sz w:val="32"/>
          <w:szCs w:val="32"/>
          <w:lang w:val="en-US" w:eastAsia="zh-CN" w:bidi="ar-SA"/>
        </w:rPr>
        <w:t>年，区委办在区委的正确领导下，深入贯彻落实党的十九届六中全会精神和习近平总书记系列重要讲话精神，紧紧围绕全区中心重点工作和区委全会确定的目标任务，求真务实、开拓创新，着力提高“三服务”水平，研究部署当前和今后一个时期工作，动员全区上下不忘初心、牢记使命，砥砺前行、接续奋斗，不断开创建设高质量转型发展示范区新局面，推动办公室工作高质量发展。</w:t>
      </w:r>
    </w:p>
    <w:p w14:paraId="0956CD3A">
      <w:pPr>
        <w:pStyle w:val="1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w:t>
      </w:r>
      <w:r>
        <w:rPr>
          <w:rFonts w:ascii="仿宋" w:hAnsi="仿宋" w:eastAsia="仿宋" w:cs="黑体"/>
          <w:kern w:val="2"/>
          <w:sz w:val="32"/>
          <w:szCs w:val="32"/>
          <w:lang w:val="en-US" w:eastAsia="zh-CN" w:bidi="ar-SA"/>
        </w:rPr>
        <w:t>一</w:t>
      </w:r>
      <w:r>
        <w:rPr>
          <w:rFonts w:hint="eastAsia" w:ascii="仿宋" w:hAnsi="仿宋" w:eastAsia="仿宋" w:cs="黑体"/>
          <w:kern w:val="2"/>
          <w:sz w:val="32"/>
          <w:szCs w:val="32"/>
          <w:lang w:val="en-US" w:eastAsia="zh-CN" w:bidi="ar-SA"/>
        </w:rPr>
        <w:t>）专项业务费</w:t>
      </w:r>
    </w:p>
    <w:p w14:paraId="6AE5484C">
      <w:pPr>
        <w:pStyle w:val="1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绩效目标：负责15楼视频会议室维护、租赁费用；全区党委办公室数字电视费用；区委办公室全年党报党刊征订费用等其他办公室日常维修、运转的费用。</w:t>
      </w:r>
    </w:p>
    <w:p w14:paraId="2EB9FDE3">
      <w:pPr>
        <w:pStyle w:val="1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绩效指标：党委办公室数字电视正常运转；15楼视频会议室每周使用不少于4次；党报党刊征订</w:t>
      </w:r>
      <w:r>
        <w:rPr>
          <w:rFonts w:ascii="仿宋" w:hAnsi="仿宋" w:eastAsia="仿宋" w:cs="黑体"/>
          <w:kern w:val="2"/>
          <w:sz w:val="32"/>
          <w:szCs w:val="32"/>
          <w:lang w:val="en-US" w:eastAsia="zh-CN" w:bidi="ar-SA"/>
        </w:rPr>
        <w:t>每</w:t>
      </w:r>
      <w:r>
        <w:rPr>
          <w:rFonts w:hint="eastAsia" w:ascii="仿宋" w:hAnsi="仿宋" w:eastAsia="仿宋" w:cs="黑体"/>
          <w:kern w:val="2"/>
          <w:sz w:val="32"/>
          <w:szCs w:val="32"/>
          <w:lang w:val="en-US" w:eastAsia="zh-CN" w:bidi="ar-SA"/>
        </w:rPr>
        <w:t>科室不少于2份。</w:t>
      </w:r>
    </w:p>
    <w:p w14:paraId="7E60292C">
      <w:pPr>
        <w:pStyle w:val="1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w:t>
      </w:r>
      <w:r>
        <w:rPr>
          <w:rFonts w:ascii="仿宋" w:hAnsi="仿宋" w:eastAsia="仿宋" w:cs="黑体"/>
          <w:kern w:val="2"/>
          <w:sz w:val="32"/>
          <w:szCs w:val="32"/>
          <w:lang w:val="en-US" w:eastAsia="zh-CN" w:bidi="ar-SA"/>
        </w:rPr>
        <w:t>二</w:t>
      </w:r>
      <w:r>
        <w:rPr>
          <w:rFonts w:hint="eastAsia" w:ascii="仿宋" w:hAnsi="仿宋" w:eastAsia="仿宋" w:cs="黑体"/>
          <w:kern w:val="2"/>
          <w:sz w:val="32"/>
          <w:szCs w:val="32"/>
          <w:lang w:val="en-US" w:eastAsia="zh-CN" w:bidi="ar-SA"/>
        </w:rPr>
        <w:t>）值班、保密、网站经费</w:t>
      </w:r>
    </w:p>
    <w:p w14:paraId="177D5D45">
      <w:pPr>
        <w:pStyle w:val="1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绩效目标：负责全区电子政务内网、党委系统信息化等建设和管理工作；区委总值班室，保证24</w:t>
      </w:r>
      <w:r>
        <w:rPr>
          <w:rFonts w:ascii="仿宋" w:hAnsi="仿宋" w:eastAsia="仿宋" w:cs="黑体"/>
          <w:kern w:val="2"/>
          <w:sz w:val="32"/>
          <w:szCs w:val="32"/>
          <w:lang w:val="en-US" w:eastAsia="zh-CN" w:bidi="ar-SA"/>
        </w:rPr>
        <w:t>小时</w:t>
      </w:r>
      <w:r>
        <w:rPr>
          <w:rFonts w:hint="eastAsia" w:ascii="仿宋" w:hAnsi="仿宋" w:eastAsia="仿宋" w:cs="黑体"/>
          <w:kern w:val="2"/>
          <w:sz w:val="32"/>
          <w:szCs w:val="32"/>
          <w:lang w:val="en-US" w:eastAsia="zh-CN" w:bidi="ar-SA"/>
        </w:rPr>
        <w:t>双人双岗，做好紧急情况重大事件信息报处工作，接收电报、发放文件、通知会议确保零失误。加强对全区各单位值班工作督导检查力度，建立起全区各部门上下联动、内外协调的值班网络体系；承担区委保密委员会和区密码工作领导小组的日常工作。拟订全区保密、密码工作发展规划并组织实施。负责全区保密干部的教育培训和机要密码干部的考察任用工作。负责全区党政机关及经济、科学等领域保密管理，通信和计算机网络的保密管理，全区核心密码、普通密码的装备、使用和管理工作；负责失泄密事件的查处工作。</w:t>
      </w:r>
    </w:p>
    <w:p w14:paraId="7FEF589C">
      <w:pPr>
        <w:pStyle w:val="1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绩效指标：每周值班不少于7次；网站每周更新不少于20次；全区保密培训检查不少于2次。</w:t>
      </w:r>
    </w:p>
    <w:p w14:paraId="5BEE0994">
      <w:pPr>
        <w:pStyle w:val="1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w:t>
      </w:r>
      <w:r>
        <w:rPr>
          <w:rFonts w:ascii="仿宋" w:hAnsi="仿宋" w:eastAsia="仿宋" w:cs="黑体"/>
          <w:kern w:val="2"/>
          <w:sz w:val="32"/>
          <w:szCs w:val="32"/>
          <w:lang w:val="en-US" w:eastAsia="zh-CN" w:bidi="ar-SA"/>
        </w:rPr>
        <w:t>三</w:t>
      </w:r>
      <w:r>
        <w:rPr>
          <w:rFonts w:hint="eastAsia" w:ascii="仿宋" w:hAnsi="仿宋" w:eastAsia="仿宋" w:cs="黑体"/>
          <w:kern w:val="2"/>
          <w:sz w:val="32"/>
          <w:szCs w:val="32"/>
          <w:lang w:val="en-US" w:eastAsia="zh-CN" w:bidi="ar-SA"/>
        </w:rPr>
        <w:t>）劳务派遣经费</w:t>
      </w:r>
    </w:p>
    <w:p w14:paraId="633BEA78">
      <w:pPr>
        <w:pStyle w:val="1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绩效目标：劳务派遣人员圆满完成相关工作。</w:t>
      </w:r>
    </w:p>
    <w:p w14:paraId="07DBB6D4">
      <w:pPr>
        <w:pStyle w:val="19"/>
        <w:rPr>
          <w:rFonts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绩效指标：劳务派遣工作人员保证全年出勤率不低于90%,年度个人考核不低于称职。</w:t>
      </w:r>
    </w:p>
    <w:p w14:paraId="2E33BDA2">
      <w:pPr>
        <w:pStyle w:val="1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w:t>
      </w:r>
      <w:r>
        <w:rPr>
          <w:rFonts w:ascii="仿宋" w:hAnsi="仿宋" w:eastAsia="仿宋" w:cs="黑体"/>
          <w:kern w:val="2"/>
          <w:sz w:val="32"/>
          <w:szCs w:val="32"/>
          <w:lang w:val="en-US" w:eastAsia="zh-CN" w:bidi="ar-SA"/>
        </w:rPr>
        <w:t>四</w:t>
      </w:r>
      <w:r>
        <w:rPr>
          <w:rFonts w:hint="eastAsia" w:ascii="仿宋" w:hAnsi="仿宋" w:eastAsia="仿宋" w:cs="黑体"/>
          <w:kern w:val="2"/>
          <w:sz w:val="32"/>
          <w:szCs w:val="32"/>
          <w:lang w:val="en-US" w:eastAsia="zh-CN" w:bidi="ar-SA"/>
        </w:rPr>
        <w:t>）党委国安办工作经费</w:t>
      </w:r>
    </w:p>
    <w:p w14:paraId="041AFA15">
      <w:pPr>
        <w:pStyle w:val="1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绩效目标：按照冀委国安发【2020】5号的通知，落实国安办工作要求。</w:t>
      </w:r>
    </w:p>
    <w:p w14:paraId="228CA0C8">
      <w:pPr>
        <w:pStyle w:val="19"/>
        <w:rPr>
          <w:rFonts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绩效指标：积极开展国安活动。</w:t>
      </w:r>
    </w:p>
    <w:p w14:paraId="1C767FA0">
      <w:pPr>
        <w:pStyle w:val="1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w:t>
      </w:r>
      <w:r>
        <w:rPr>
          <w:rFonts w:ascii="仿宋" w:hAnsi="仿宋" w:eastAsia="仿宋" w:cs="黑体"/>
          <w:kern w:val="2"/>
          <w:sz w:val="32"/>
          <w:szCs w:val="32"/>
          <w:lang w:val="en-US" w:eastAsia="zh-CN" w:bidi="ar-SA"/>
        </w:rPr>
        <w:t>五</w:t>
      </w:r>
      <w:r>
        <w:rPr>
          <w:rFonts w:hint="eastAsia" w:ascii="仿宋" w:hAnsi="仿宋" w:eastAsia="仿宋" w:cs="黑体"/>
          <w:kern w:val="2"/>
          <w:sz w:val="32"/>
          <w:szCs w:val="32"/>
          <w:lang w:val="en-US" w:eastAsia="zh-CN" w:bidi="ar-SA"/>
        </w:rPr>
        <w:t>）</w:t>
      </w:r>
      <w:r>
        <w:rPr>
          <w:rFonts w:ascii="仿宋" w:hAnsi="仿宋" w:eastAsia="仿宋" w:cs="黑体"/>
          <w:kern w:val="2"/>
          <w:sz w:val="32"/>
          <w:szCs w:val="32"/>
          <w:lang w:val="en-US" w:eastAsia="zh-CN" w:bidi="ar-SA"/>
        </w:rPr>
        <w:t>密码通讯和管理提升工程项目经费</w:t>
      </w:r>
    </w:p>
    <w:p w14:paraId="14AB2A97">
      <w:pPr>
        <w:pStyle w:val="19"/>
        <w:rPr>
          <w:rFonts w:ascii="仿宋" w:hAnsi="仿宋" w:eastAsia="仿宋"/>
          <w:sz w:val="32"/>
          <w:szCs w:val="32"/>
        </w:rPr>
      </w:pPr>
      <w:r>
        <w:rPr>
          <w:rFonts w:hint="eastAsia" w:ascii="仿宋" w:hAnsi="仿宋" w:eastAsia="仿宋" w:cs="黑体"/>
          <w:kern w:val="2"/>
          <w:sz w:val="32"/>
          <w:szCs w:val="32"/>
          <w:lang w:val="en-US" w:eastAsia="zh-CN" w:bidi="ar-SA"/>
        </w:rPr>
        <w:t>绩效目标：</w:t>
      </w:r>
      <w:r>
        <w:rPr>
          <w:rFonts w:hint="eastAsia" w:ascii="仿宋" w:hAnsi="仿宋" w:eastAsia="仿宋"/>
          <w:sz w:val="32"/>
          <w:szCs w:val="32"/>
        </w:rPr>
        <w:t>通过密码通讯设备的更换和运维，以保障单位保密工作的日常运转</w:t>
      </w:r>
      <w:r>
        <w:rPr>
          <w:rFonts w:ascii="仿宋" w:hAnsi="仿宋" w:eastAsia="仿宋"/>
          <w:sz w:val="32"/>
          <w:szCs w:val="32"/>
        </w:rPr>
        <w:t>。</w:t>
      </w:r>
    </w:p>
    <w:p w14:paraId="411C48B8">
      <w:pPr>
        <w:pStyle w:val="19"/>
        <w:rPr>
          <w:rFonts w:ascii="仿宋" w:hAnsi="仿宋" w:eastAsia="仿宋"/>
          <w:sz w:val="32"/>
          <w:szCs w:val="32"/>
        </w:rPr>
      </w:pPr>
      <w:r>
        <w:rPr>
          <w:rFonts w:hint="eastAsia" w:ascii="仿宋" w:hAnsi="仿宋" w:eastAsia="仿宋" w:cs="黑体"/>
          <w:kern w:val="2"/>
          <w:sz w:val="32"/>
          <w:szCs w:val="32"/>
          <w:lang w:val="en-US" w:eastAsia="zh-CN" w:bidi="ar-SA"/>
        </w:rPr>
        <w:t>绩效指标：</w:t>
      </w:r>
      <w:r>
        <w:rPr>
          <w:rFonts w:ascii="仿宋" w:hAnsi="仿宋" w:eastAsia="仿宋" w:cs="黑体"/>
          <w:kern w:val="2"/>
          <w:sz w:val="32"/>
          <w:szCs w:val="32"/>
          <w:lang w:val="en-US" w:eastAsia="zh-CN" w:bidi="ar-SA"/>
        </w:rPr>
        <w:t>系统运维数量和运维工作质量达标率不低于96%。</w:t>
      </w:r>
    </w:p>
    <w:p w14:paraId="55A6BE27">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4567CFAE">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14:paraId="41CD27E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sz w:val="32"/>
          <w:szCs w:val="32"/>
        </w:rPr>
        <w:t xml:space="preserve"> </w:t>
      </w:r>
      <w:r>
        <w:rPr>
          <w:rFonts w:hint="eastAsia" w:ascii="仿宋" w:hAnsi="仿宋" w:eastAsia="仿宋" w:cs="仿宋"/>
          <w:sz w:val="32"/>
          <w:szCs w:val="32"/>
        </w:rPr>
        <w:t>为进一步提高我</w:t>
      </w:r>
      <w:r>
        <w:rPr>
          <w:rFonts w:hint="eastAsia" w:ascii="仿宋" w:hAnsi="仿宋" w:eastAsia="仿宋" w:cs="仿宋"/>
          <w:sz w:val="32"/>
          <w:szCs w:val="32"/>
          <w:lang w:eastAsia="zh-CN"/>
        </w:rPr>
        <w:t>办</w:t>
      </w:r>
      <w:r>
        <w:rPr>
          <w:rFonts w:hint="eastAsia" w:ascii="仿宋" w:hAnsi="仿宋" w:eastAsia="仿宋" w:cs="仿宋"/>
          <w:sz w:val="32"/>
          <w:szCs w:val="32"/>
        </w:rPr>
        <w:t>绩效预算管理工作，根据《</w:t>
      </w:r>
      <w:r>
        <w:rPr>
          <w:rFonts w:hint="eastAsia" w:ascii="仿宋" w:hAnsi="仿宋" w:eastAsia="仿宋" w:cs="仿宋"/>
          <w:sz w:val="32"/>
          <w:szCs w:val="32"/>
          <w:lang w:eastAsia="zh-CN"/>
        </w:rPr>
        <w:t>中共井陉矿区委、井陉矿区人民政府关于全面落实预算绩效管理的实施意见</w:t>
      </w:r>
      <w:r>
        <w:rPr>
          <w:rFonts w:hint="eastAsia" w:ascii="仿宋" w:hAnsi="仿宋" w:eastAsia="仿宋" w:cs="仿宋"/>
          <w:sz w:val="32"/>
          <w:szCs w:val="32"/>
        </w:rPr>
        <w:t>》（</w:t>
      </w:r>
      <w:r>
        <w:rPr>
          <w:rFonts w:hint="eastAsia" w:ascii="仿宋" w:hAnsi="仿宋" w:eastAsia="仿宋" w:cs="仿宋"/>
          <w:sz w:val="32"/>
          <w:szCs w:val="32"/>
          <w:lang w:eastAsia="zh-CN"/>
        </w:rPr>
        <w:t>矿发</w:t>
      </w:r>
      <w:r>
        <w:rPr>
          <w:rFonts w:hint="eastAsia" w:ascii="仿宋" w:hAnsi="仿宋" w:eastAsia="仿宋" w:cs="仿宋"/>
          <w:sz w:val="32"/>
          <w:szCs w:val="32"/>
        </w:rPr>
        <w:t>〔</w:t>
      </w:r>
      <w:r>
        <w:rPr>
          <w:rFonts w:hint="eastAsia" w:ascii="仿宋" w:hAnsi="仿宋" w:eastAsia="仿宋" w:cs="仿宋"/>
          <w:sz w:val="32"/>
          <w:szCs w:val="32"/>
          <w:lang w:val="en-US" w:eastAsia="zh-CN"/>
        </w:rPr>
        <w:t>2019</w:t>
      </w:r>
      <w:r>
        <w:rPr>
          <w:rFonts w:hint="eastAsia" w:ascii="仿宋" w:hAnsi="仿宋" w:eastAsia="仿宋" w:cs="仿宋"/>
          <w:sz w:val="32"/>
          <w:szCs w:val="32"/>
        </w:rPr>
        <w:t>〕</w:t>
      </w:r>
      <w:r>
        <w:rPr>
          <w:rFonts w:hint="eastAsia" w:ascii="仿宋" w:hAnsi="仿宋" w:eastAsia="仿宋" w:cs="仿宋"/>
          <w:sz w:val="32"/>
          <w:szCs w:val="32"/>
          <w:lang w:val="en-US" w:eastAsia="zh-CN"/>
        </w:rPr>
        <w:t>7</w:t>
      </w:r>
      <w:r>
        <w:rPr>
          <w:rFonts w:hint="eastAsia" w:ascii="仿宋" w:hAnsi="仿宋" w:eastAsia="仿宋" w:cs="仿宋"/>
          <w:sz w:val="32"/>
          <w:szCs w:val="32"/>
        </w:rPr>
        <w:t>号）要求，成立绩效评价工作组，对我</w:t>
      </w:r>
      <w:r>
        <w:rPr>
          <w:rFonts w:hint="eastAsia" w:ascii="仿宋" w:hAnsi="仿宋" w:eastAsia="仿宋" w:cs="仿宋"/>
          <w:sz w:val="32"/>
          <w:szCs w:val="32"/>
          <w:lang w:eastAsia="zh-CN"/>
        </w:rPr>
        <w:t>办</w:t>
      </w:r>
      <w:r>
        <w:rPr>
          <w:rFonts w:hint="eastAsia" w:ascii="仿宋" w:hAnsi="仿宋" w:eastAsia="仿宋" w:cs="仿宋"/>
          <w:sz w:val="32"/>
          <w:szCs w:val="32"/>
        </w:rPr>
        <w:t>所有的</w:t>
      </w:r>
      <w:r>
        <w:rPr>
          <w:rFonts w:hint="eastAsia" w:ascii="仿宋" w:hAnsi="仿宋" w:eastAsia="仿宋" w:cs="仿宋"/>
          <w:sz w:val="32"/>
          <w:szCs w:val="32"/>
          <w:lang w:eastAsia="zh-CN"/>
        </w:rPr>
        <w:t>资金</w:t>
      </w:r>
      <w:r>
        <w:rPr>
          <w:rFonts w:hint="eastAsia" w:ascii="仿宋" w:hAnsi="仿宋" w:eastAsia="仿宋" w:cs="仿宋"/>
          <w:sz w:val="32"/>
          <w:szCs w:val="32"/>
        </w:rPr>
        <w:t>项目，开展20</w:t>
      </w:r>
      <w:r>
        <w:rPr>
          <w:rFonts w:hint="eastAsia" w:ascii="仿宋" w:hAnsi="仿宋" w:eastAsia="仿宋" w:cs="仿宋"/>
          <w:sz w:val="32"/>
          <w:szCs w:val="32"/>
          <w:lang w:val="en-US" w:eastAsia="zh-CN"/>
        </w:rPr>
        <w:t>2</w:t>
      </w:r>
      <w:r>
        <w:rPr>
          <w:rFonts w:ascii="仿宋" w:hAnsi="仿宋" w:eastAsia="仿宋" w:cs="仿宋"/>
          <w:sz w:val="32"/>
          <w:szCs w:val="32"/>
          <w:lang w:val="en-US" w:eastAsia="zh-CN"/>
        </w:rPr>
        <w:t>4</w:t>
      </w:r>
      <w:r>
        <w:rPr>
          <w:rFonts w:hint="eastAsia" w:ascii="仿宋" w:hAnsi="仿宋" w:eastAsia="仿宋" w:cs="仿宋"/>
          <w:sz w:val="32"/>
          <w:szCs w:val="32"/>
        </w:rPr>
        <w:t>年度</w:t>
      </w:r>
      <w:r>
        <w:rPr>
          <w:rFonts w:hint="eastAsia" w:ascii="仿宋" w:hAnsi="仿宋" w:eastAsia="仿宋" w:cs="仿宋"/>
          <w:sz w:val="32"/>
          <w:szCs w:val="32"/>
          <w:lang w:eastAsia="zh-CN"/>
        </w:rPr>
        <w:t>部门整体</w:t>
      </w:r>
      <w:r>
        <w:rPr>
          <w:rFonts w:hint="eastAsia" w:ascii="仿宋" w:hAnsi="仿宋" w:eastAsia="仿宋" w:cs="仿宋"/>
          <w:sz w:val="32"/>
          <w:szCs w:val="32"/>
        </w:rPr>
        <w:t>绩效自评工作。</w:t>
      </w:r>
    </w:p>
    <w:p w14:paraId="3DE1EABC">
      <w:pPr>
        <w:keepNext w:val="0"/>
        <w:keepLines w:val="0"/>
        <w:pageBreakBefore w:val="0"/>
        <w:widowControl w:val="0"/>
        <w:kinsoku/>
        <w:wordWrap/>
        <w:overflowPunct/>
        <w:topLinePunct w:val="0"/>
        <w:autoSpaceDE/>
        <w:autoSpaceDN/>
        <w:adjustRightInd w:val="0"/>
        <w:snapToGrid w:val="0"/>
        <w:spacing w:line="560" w:lineRule="exact"/>
        <w:ind w:firstLine="640" w:firstLineChars="200"/>
        <w:rPr>
          <w:rFonts w:ascii="仿宋_GB2312" w:hAnsi="仿宋" w:eastAsia="仿宋_GB2312" w:cs="Times New Roman"/>
          <w:kern w:val="2"/>
          <w:sz w:val="32"/>
          <w:szCs w:val="32"/>
          <w:lang w:eastAsia="zh-CN"/>
        </w:rPr>
      </w:pPr>
      <w:r>
        <w:rPr>
          <w:rFonts w:hint="eastAsia" w:ascii="仿宋" w:hAnsi="仿宋" w:eastAsia="仿宋" w:cs="仿宋"/>
          <w:sz w:val="32"/>
          <w:szCs w:val="32"/>
        </w:rPr>
        <w:t>绩效评价工作组根据工作方案，明确任务分工，确定评价程序及时间安排。根据20</w:t>
      </w:r>
      <w:r>
        <w:rPr>
          <w:rFonts w:hint="eastAsia" w:ascii="仿宋" w:hAnsi="仿宋" w:eastAsia="仿宋" w:cs="仿宋"/>
          <w:sz w:val="32"/>
          <w:szCs w:val="32"/>
          <w:lang w:val="en-US" w:eastAsia="zh-CN"/>
        </w:rPr>
        <w:t>2</w:t>
      </w:r>
      <w:r>
        <w:rPr>
          <w:rFonts w:ascii="仿宋" w:hAnsi="仿宋" w:eastAsia="仿宋" w:cs="仿宋"/>
          <w:sz w:val="32"/>
          <w:szCs w:val="32"/>
          <w:lang w:val="en-US" w:eastAsia="zh-CN"/>
        </w:rPr>
        <w:t>4</w:t>
      </w:r>
      <w:r>
        <w:rPr>
          <w:rFonts w:hint="eastAsia" w:ascii="仿宋" w:hAnsi="仿宋" w:eastAsia="仿宋" w:cs="仿宋"/>
          <w:sz w:val="32"/>
          <w:szCs w:val="32"/>
        </w:rPr>
        <w:t>年初设定的绩效目标完成情况和各绩效指标完成情况进行核实分析，填报《</w:t>
      </w:r>
      <w:r>
        <w:rPr>
          <w:rFonts w:hint="eastAsia" w:ascii="仿宋" w:hAnsi="仿宋" w:eastAsia="仿宋" w:cs="仿宋"/>
          <w:sz w:val="32"/>
          <w:szCs w:val="32"/>
          <w:lang w:val="en-US" w:eastAsia="zh-CN"/>
        </w:rPr>
        <w:t>202</w:t>
      </w:r>
      <w:r>
        <w:rPr>
          <w:rFonts w:ascii="仿宋" w:hAnsi="仿宋" w:eastAsia="仿宋" w:cs="仿宋"/>
          <w:sz w:val="32"/>
          <w:szCs w:val="32"/>
          <w:lang w:val="en-US" w:eastAsia="zh-CN"/>
        </w:rPr>
        <w:t>4</w:t>
      </w:r>
      <w:r>
        <w:rPr>
          <w:rFonts w:hint="eastAsia" w:ascii="仿宋" w:hAnsi="仿宋" w:eastAsia="仿宋" w:cs="仿宋"/>
          <w:sz w:val="32"/>
          <w:szCs w:val="32"/>
          <w:lang w:val="en-US" w:eastAsia="zh-CN"/>
        </w:rPr>
        <w:t>年</w:t>
      </w:r>
      <w:r>
        <w:rPr>
          <w:rFonts w:hint="eastAsia" w:ascii="仿宋" w:hAnsi="仿宋" w:eastAsia="仿宋" w:cs="仿宋"/>
          <w:sz w:val="32"/>
          <w:szCs w:val="32"/>
          <w:lang w:eastAsia="zh-CN"/>
        </w:rPr>
        <w:t>区级</w:t>
      </w:r>
      <w:r>
        <w:rPr>
          <w:rFonts w:hint="eastAsia" w:ascii="仿宋" w:hAnsi="仿宋" w:eastAsia="仿宋" w:cs="仿宋"/>
          <w:sz w:val="32"/>
          <w:szCs w:val="32"/>
        </w:rPr>
        <w:t>项目绩效自评表》，并撰写绩效自评报告。</w:t>
      </w:r>
      <w:r>
        <w:rPr>
          <w:rFonts w:hint="eastAsia" w:ascii="仿宋" w:hAnsi="仿宋" w:eastAsia="仿宋" w:cs="楷体_GB2312"/>
          <w:b/>
          <w:bCs/>
          <w:sz w:val="32"/>
          <w:szCs w:val="32"/>
          <w:lang w:val="en-US" w:eastAsia="zh-CN"/>
        </w:rPr>
        <w:t xml:space="preserve"> </w:t>
      </w:r>
      <w:r>
        <w:rPr>
          <w:rFonts w:hint="eastAsia" w:ascii="仿宋_GB2312" w:hAnsi="仿宋" w:eastAsia="仿宋_GB2312" w:cs="Times New Roman"/>
          <w:kern w:val="2"/>
          <w:sz w:val="32"/>
          <w:szCs w:val="32"/>
        </w:rPr>
        <w:t>本年年初预算收入、支出均为</w:t>
      </w:r>
      <w:r>
        <w:rPr>
          <w:rFonts w:ascii="仿宋_GB2312" w:hAnsi="仿宋" w:eastAsia="仿宋_GB2312" w:cs="Times New Roman"/>
          <w:kern w:val="2"/>
          <w:sz w:val="32"/>
          <w:szCs w:val="32"/>
          <w:lang w:val="en-US" w:eastAsia="zh-CN"/>
        </w:rPr>
        <w:t>793.02</w:t>
      </w:r>
      <w:r>
        <w:rPr>
          <w:rFonts w:hint="eastAsia" w:ascii="仿宋_GB2312" w:hAnsi="仿宋" w:eastAsia="仿宋_GB2312" w:cs="Times New Roman"/>
          <w:kern w:val="2"/>
          <w:sz w:val="32"/>
          <w:szCs w:val="32"/>
          <w:lang w:val="en-US" w:eastAsia="zh-CN"/>
        </w:rPr>
        <w:t>万</w:t>
      </w:r>
      <w:r>
        <w:rPr>
          <w:rFonts w:hint="eastAsia" w:ascii="仿宋_GB2312" w:hAnsi="仿宋" w:eastAsia="仿宋_GB2312" w:cs="Times New Roman"/>
          <w:kern w:val="2"/>
          <w:sz w:val="32"/>
          <w:szCs w:val="32"/>
        </w:rPr>
        <w:t>元，其中包括：人员经费</w:t>
      </w:r>
      <w:r>
        <w:rPr>
          <w:rFonts w:ascii="仿宋_GB2312" w:hAnsi="仿宋" w:eastAsia="仿宋_GB2312" w:cs="Times New Roman"/>
          <w:kern w:val="2"/>
          <w:sz w:val="32"/>
          <w:szCs w:val="32"/>
          <w:lang w:val="en-US" w:eastAsia="zh-CN"/>
        </w:rPr>
        <w:t>381.08</w:t>
      </w:r>
      <w:r>
        <w:rPr>
          <w:rFonts w:hint="eastAsia" w:ascii="仿宋_GB2312" w:hAnsi="仿宋" w:eastAsia="仿宋_GB2312" w:cs="Times New Roman"/>
          <w:kern w:val="2"/>
          <w:sz w:val="32"/>
          <w:szCs w:val="32"/>
        </w:rPr>
        <w:t>万元，日常公用经费</w:t>
      </w:r>
      <w:r>
        <w:rPr>
          <w:rFonts w:ascii="仿宋_GB2312" w:hAnsi="仿宋" w:eastAsia="仿宋_GB2312" w:cs="Times New Roman"/>
          <w:kern w:val="2"/>
          <w:sz w:val="32"/>
          <w:szCs w:val="32"/>
          <w:lang w:val="en-US" w:eastAsia="zh-CN"/>
        </w:rPr>
        <w:t>29.38</w:t>
      </w:r>
      <w:r>
        <w:rPr>
          <w:rFonts w:hint="eastAsia" w:ascii="仿宋_GB2312" w:hAnsi="仿宋" w:eastAsia="仿宋_GB2312" w:cs="Times New Roman"/>
          <w:kern w:val="2"/>
          <w:sz w:val="32"/>
          <w:szCs w:val="32"/>
        </w:rPr>
        <w:t>万元，项目支出</w:t>
      </w:r>
      <w:r>
        <w:rPr>
          <w:rFonts w:ascii="仿宋_GB2312" w:hAnsi="仿宋" w:eastAsia="仿宋_GB2312" w:cs="Times New Roman"/>
          <w:kern w:val="2"/>
          <w:sz w:val="32"/>
          <w:szCs w:val="32"/>
          <w:lang w:val="en-US" w:eastAsia="zh-CN"/>
        </w:rPr>
        <w:t>307</w:t>
      </w:r>
      <w:r>
        <w:rPr>
          <w:rFonts w:hint="eastAsia" w:ascii="仿宋_GB2312" w:hAnsi="仿宋" w:eastAsia="仿宋_GB2312" w:cs="Times New Roman"/>
          <w:kern w:val="2"/>
          <w:sz w:val="32"/>
          <w:szCs w:val="32"/>
        </w:rPr>
        <w:t>万元。与上年对比</w:t>
      </w:r>
      <w:r>
        <w:rPr>
          <w:rFonts w:hint="eastAsia" w:ascii="仿宋_GB2312" w:hAnsi="仿宋" w:eastAsia="仿宋_GB2312" w:cs="Times New Roman"/>
          <w:kern w:val="2"/>
          <w:sz w:val="32"/>
          <w:szCs w:val="32"/>
          <w:lang w:eastAsia="zh-CN"/>
        </w:rPr>
        <w:t>增加</w:t>
      </w:r>
      <w:r>
        <w:rPr>
          <w:rFonts w:ascii="仿宋_GB2312" w:hAnsi="仿宋" w:eastAsia="仿宋_GB2312" w:cs="Times New Roman"/>
          <w:kern w:val="2"/>
          <w:sz w:val="32"/>
          <w:szCs w:val="32"/>
          <w:lang w:val="en-US" w:eastAsia="zh-CN"/>
        </w:rPr>
        <w:t>36.98</w:t>
      </w:r>
      <w:r>
        <w:rPr>
          <w:rFonts w:hint="eastAsia" w:ascii="仿宋_GB2312" w:hAnsi="仿宋" w:eastAsia="仿宋_GB2312" w:cs="Times New Roman"/>
          <w:kern w:val="2"/>
          <w:sz w:val="32"/>
          <w:szCs w:val="32"/>
        </w:rPr>
        <w:t>万元，</w:t>
      </w:r>
      <w:r>
        <w:rPr>
          <w:rFonts w:hint="eastAsia" w:ascii="仿宋_GB2312" w:hAnsi="仿宋" w:eastAsia="仿宋_GB2312" w:cs="Times New Roman"/>
          <w:kern w:val="2"/>
          <w:sz w:val="32"/>
          <w:szCs w:val="32"/>
          <w:lang w:eastAsia="zh-CN"/>
        </w:rPr>
        <w:t>项目增加。</w:t>
      </w:r>
    </w:p>
    <w:p w14:paraId="2A39F24C">
      <w:pPr>
        <w:keepNext w:val="0"/>
        <w:keepLines w:val="0"/>
        <w:pageBreakBefore w:val="0"/>
        <w:widowControl w:val="0"/>
        <w:kinsoku/>
        <w:wordWrap/>
        <w:overflowPunct/>
        <w:topLinePunct w:val="0"/>
        <w:autoSpaceDE/>
        <w:autoSpaceDN/>
        <w:adjustRightInd w:val="0"/>
        <w:snapToGrid w:val="0"/>
        <w:spacing w:line="560" w:lineRule="exact"/>
        <w:ind w:firstLine="643" w:firstLineChars="200"/>
        <w:rPr>
          <w:rFonts w:hint="eastAsia" w:ascii="仿宋" w:hAnsi="仿宋" w:eastAsia="仿宋" w:cs="楷体_GB2312"/>
          <w:b/>
          <w:bCs/>
          <w:sz w:val="32"/>
          <w:szCs w:val="32"/>
        </w:rPr>
      </w:pPr>
      <w:r>
        <w:rPr>
          <w:rFonts w:hint="eastAsia" w:ascii="仿宋" w:hAnsi="仿宋" w:eastAsia="仿宋" w:cs="楷体_GB2312"/>
          <w:b/>
          <w:bCs/>
          <w:sz w:val="32"/>
          <w:szCs w:val="32"/>
        </w:rPr>
        <w:t>自评的方法和过程</w:t>
      </w:r>
    </w:p>
    <w:p w14:paraId="621A704B">
      <w:pPr>
        <w:pStyle w:val="6"/>
        <w:rPr>
          <w:rFonts w:hint="eastAsia" w:ascii="仿宋" w:hAnsi="仿宋" w:eastAsia="仿宋"/>
          <w:sz w:val="32"/>
          <w:szCs w:val="32"/>
        </w:rPr>
      </w:pPr>
      <w:r>
        <w:rPr>
          <w:rFonts w:hint="eastAsia" w:ascii="仿宋" w:hAnsi="仿宋" w:eastAsia="仿宋"/>
          <w:sz w:val="32"/>
          <w:szCs w:val="32"/>
        </w:rPr>
        <w:t>本次绩效评价证据收集方法包括了：研究、分析项目预算股室提供的相关文件；整理汇总项目预算股室提供的项目资料、工作总结和合同；根据预算股室提供的基础数据表逐项进行核实；根据项目服务对象填写的问卷调查结果汇总满意度情况。项目在前期的调研基础上，完成了项目绩效评价工作方案，设计了指标体系、评价标准、问卷调查方案等，明确了评价的目的、方法，评价原则。项目严格按照工作方案，通过调研、相关文件的解读、数据采集、文件调查、数据分析、指标评分和撰写的环节，顺利完成了本次绩效评价工作。</w:t>
      </w:r>
    </w:p>
    <w:p w14:paraId="4EA523C2">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45D690CA">
      <w:pPr>
        <w:numPr>
          <w:ilvl w:val="0"/>
          <w:numId w:val="2"/>
        </w:numPr>
        <w:spacing w:line="560" w:lineRule="exact"/>
        <w:ind w:left="0"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39A0AAAF">
      <w:pPr>
        <w:spacing w:line="560" w:lineRule="exact"/>
        <w:ind w:firstLine="800" w:firstLineChars="250"/>
        <w:rPr>
          <w:rFonts w:ascii="仿宋" w:hAnsi="仿宋" w:eastAsia="仿宋"/>
          <w:sz w:val="32"/>
          <w:szCs w:val="32"/>
        </w:rPr>
      </w:pPr>
      <w:r>
        <w:rPr>
          <w:rFonts w:hint="eastAsia" w:ascii="仿宋" w:hAnsi="仿宋" w:eastAsia="仿宋" w:cs="仿宋"/>
          <w:sz w:val="32"/>
          <w:szCs w:val="32"/>
        </w:rPr>
        <w:t>绩效目标是贯穿预算绩效管理始终的一条主线，是预算资金安排、事中绩效跟踪和事后绩效评价的重要依据。根据相关文件要求，我</w:t>
      </w:r>
      <w:r>
        <w:rPr>
          <w:rFonts w:hint="eastAsia" w:ascii="仿宋" w:hAnsi="仿宋" w:eastAsia="仿宋" w:cs="仿宋"/>
          <w:sz w:val="32"/>
          <w:szCs w:val="32"/>
          <w:lang w:eastAsia="zh-CN"/>
        </w:rPr>
        <w:t>办</w:t>
      </w:r>
      <w:r>
        <w:rPr>
          <w:rFonts w:hint="eastAsia" w:ascii="仿宋" w:hAnsi="仿宋" w:eastAsia="仿宋" w:cs="仿宋"/>
          <w:sz w:val="32"/>
          <w:szCs w:val="32"/>
        </w:rPr>
        <w:t>所有年初项目均设定了绩效目标，涉及产出指标和效果指标，但存在绩效指标不够全面、可评性不高、具体指标缺乏量化等问题。主要原因是对绩效目标的认识不够，制定多样化和细化的评价指标和标准需要在实践中不断完善。</w:t>
      </w:r>
    </w:p>
    <w:p w14:paraId="2A0A43B3">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14:paraId="130FB24B">
      <w:pPr>
        <w:pStyle w:val="19"/>
      </w:pPr>
      <w:r>
        <w:t>1.专项业务费</w:t>
      </w:r>
    </w:p>
    <w:p w14:paraId="4B2DAE1D">
      <w:pPr>
        <w:adjustRightInd w:val="0"/>
        <w:snapToGrid w:val="0"/>
        <w:spacing w:line="56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该项目预算数是</w:t>
      </w:r>
      <w:r>
        <w:rPr>
          <w:rFonts w:ascii="仿宋" w:hAnsi="仿宋" w:eastAsia="仿宋" w:cs="仿宋"/>
          <w:color w:val="auto"/>
          <w:sz w:val="32"/>
          <w:szCs w:val="32"/>
          <w:lang w:val="en-US" w:eastAsia="zh-CN"/>
        </w:rPr>
        <w:t>76.5</w:t>
      </w:r>
      <w:r>
        <w:rPr>
          <w:rFonts w:hint="eastAsia" w:ascii="仿宋" w:hAnsi="仿宋" w:eastAsia="仿宋" w:cs="仿宋"/>
          <w:color w:val="auto"/>
          <w:sz w:val="32"/>
          <w:szCs w:val="32"/>
          <w:lang w:val="en-US" w:eastAsia="zh-CN"/>
        </w:rPr>
        <w:t>万元，</w:t>
      </w:r>
      <w:r>
        <w:rPr>
          <w:rFonts w:ascii="仿宋" w:hAnsi="仿宋" w:eastAsia="仿宋" w:cs="仿宋"/>
          <w:color w:val="auto"/>
          <w:sz w:val="32"/>
          <w:szCs w:val="32"/>
          <w:lang w:val="en-US" w:eastAsia="zh-CN"/>
        </w:rPr>
        <w:t>财政拨款33万元，部门实际</w:t>
      </w:r>
      <w:r>
        <w:rPr>
          <w:rFonts w:hint="eastAsia" w:ascii="仿宋" w:hAnsi="仿宋" w:eastAsia="仿宋" w:cs="仿宋"/>
          <w:color w:val="auto"/>
          <w:sz w:val="32"/>
          <w:szCs w:val="32"/>
        </w:rPr>
        <w:t>支出</w:t>
      </w:r>
      <w:r>
        <w:rPr>
          <w:rFonts w:ascii="仿宋" w:hAnsi="仿宋" w:eastAsia="仿宋" w:cs="仿宋"/>
          <w:color w:val="auto"/>
          <w:sz w:val="32"/>
          <w:szCs w:val="32"/>
          <w:lang w:val="en-US" w:eastAsia="zh-CN"/>
        </w:rPr>
        <w:t>33</w:t>
      </w:r>
      <w:r>
        <w:rPr>
          <w:rFonts w:hint="eastAsia" w:ascii="仿宋" w:hAnsi="仿宋" w:eastAsia="仿宋" w:cs="仿宋"/>
          <w:color w:val="auto"/>
          <w:sz w:val="32"/>
          <w:szCs w:val="32"/>
        </w:rPr>
        <w:t>万元</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总体支出进度为</w:t>
      </w:r>
      <w:r>
        <w:rPr>
          <w:rFonts w:hint="eastAsia" w:ascii="仿宋" w:hAnsi="仿宋" w:eastAsia="仿宋" w:cs="仿宋"/>
          <w:color w:val="auto"/>
          <w:sz w:val="32"/>
          <w:szCs w:val="32"/>
          <w:lang w:val="en-US" w:eastAsia="zh-CN"/>
        </w:rPr>
        <w:t xml:space="preserve"> </w:t>
      </w:r>
      <w:r>
        <w:rPr>
          <w:rFonts w:ascii="仿宋" w:hAnsi="仿宋" w:eastAsia="仿宋" w:cs="仿宋"/>
          <w:color w:val="auto"/>
          <w:sz w:val="32"/>
          <w:szCs w:val="32"/>
          <w:lang w:val="en-US" w:eastAsia="zh-CN"/>
        </w:rPr>
        <w:t>43</w:t>
      </w:r>
      <w:r>
        <w:rPr>
          <w:rFonts w:hint="eastAsia" w:ascii="仿宋" w:hAnsi="仿宋" w:eastAsia="仿宋" w:cs="仿宋"/>
          <w:color w:val="auto"/>
          <w:sz w:val="32"/>
          <w:szCs w:val="32"/>
          <w:lang w:val="en-US" w:eastAsia="zh-CN"/>
        </w:rPr>
        <w:t xml:space="preserve"> </w:t>
      </w:r>
      <w:r>
        <w:rPr>
          <w:rFonts w:hint="eastAsia" w:ascii="仿宋" w:hAnsi="仿宋" w:eastAsia="仿宋" w:cs="仿宋"/>
          <w:color w:val="auto"/>
          <w:sz w:val="32"/>
          <w:szCs w:val="32"/>
        </w:rPr>
        <w:t>%。</w:t>
      </w:r>
      <w:r>
        <w:rPr>
          <w:rFonts w:ascii="仿宋" w:hAnsi="仿宋" w:eastAsia="仿宋" w:cs="仿宋"/>
          <w:color w:val="auto"/>
          <w:sz w:val="32"/>
          <w:szCs w:val="32"/>
        </w:rPr>
        <w:t>剩余未支出原因：财政资金未及时拨付到位。</w:t>
      </w:r>
    </w:p>
    <w:p w14:paraId="406FFC15">
      <w:pPr>
        <w:pStyle w:val="19"/>
      </w:pPr>
      <w:r>
        <w:t>2.值班、保密、网站经费</w:t>
      </w:r>
    </w:p>
    <w:p w14:paraId="6B030EBD">
      <w:pPr>
        <w:adjustRightInd w:val="0"/>
        <w:snapToGrid w:val="0"/>
        <w:spacing w:line="560" w:lineRule="exact"/>
        <w:ind w:firstLine="640" w:firstLineChars="200"/>
        <w:rPr>
          <w:rFonts w:hint="eastAsia" w:ascii="仿宋" w:hAnsi="仿宋" w:eastAsia="仿宋" w:cs="仿宋"/>
          <w:sz w:val="32"/>
          <w:szCs w:val="32"/>
        </w:rPr>
      </w:pPr>
      <w:r>
        <w:rPr>
          <w:rFonts w:hint="eastAsia" w:ascii="仿宋" w:hAnsi="仿宋" w:eastAsia="仿宋" w:cs="仿宋"/>
          <w:color w:val="auto"/>
          <w:sz w:val="32"/>
          <w:szCs w:val="32"/>
        </w:rPr>
        <w:t>该项目预算数是</w:t>
      </w:r>
      <w:r>
        <w:rPr>
          <w:rFonts w:hint="eastAsia" w:ascii="仿宋" w:hAnsi="仿宋" w:eastAsia="仿宋" w:cs="仿宋"/>
          <w:color w:val="auto"/>
          <w:sz w:val="32"/>
          <w:szCs w:val="32"/>
          <w:lang w:val="en-US" w:eastAsia="zh-CN"/>
        </w:rPr>
        <w:t>16.1万元，</w:t>
      </w:r>
      <w:r>
        <w:rPr>
          <w:rFonts w:ascii="仿宋" w:hAnsi="仿宋" w:eastAsia="仿宋" w:cs="仿宋"/>
          <w:color w:val="auto"/>
          <w:sz w:val="32"/>
          <w:szCs w:val="32"/>
          <w:lang w:val="en-US" w:eastAsia="zh-CN"/>
        </w:rPr>
        <w:t>财政拨款10.6万元，部门实际</w:t>
      </w:r>
      <w:r>
        <w:rPr>
          <w:rFonts w:hint="eastAsia" w:ascii="仿宋" w:hAnsi="仿宋" w:eastAsia="仿宋" w:cs="仿宋"/>
          <w:color w:val="auto"/>
          <w:sz w:val="32"/>
          <w:szCs w:val="32"/>
        </w:rPr>
        <w:t>支出</w:t>
      </w:r>
      <w:r>
        <w:rPr>
          <w:rFonts w:ascii="仿宋" w:hAnsi="仿宋" w:eastAsia="仿宋" w:cs="仿宋"/>
          <w:color w:val="auto"/>
          <w:sz w:val="32"/>
          <w:szCs w:val="32"/>
          <w:lang w:val="en-US" w:eastAsia="zh-CN"/>
        </w:rPr>
        <w:t>10.6</w:t>
      </w:r>
      <w:r>
        <w:rPr>
          <w:rFonts w:hint="eastAsia" w:ascii="仿宋" w:hAnsi="仿宋" w:eastAsia="仿宋" w:cs="仿宋"/>
          <w:color w:val="auto"/>
          <w:sz w:val="32"/>
          <w:szCs w:val="32"/>
        </w:rPr>
        <w:t>万元</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总体支出进度为</w:t>
      </w:r>
      <w:r>
        <w:rPr>
          <w:rFonts w:hint="eastAsia" w:ascii="仿宋" w:hAnsi="仿宋" w:eastAsia="仿宋" w:cs="仿宋"/>
          <w:color w:val="auto"/>
          <w:sz w:val="32"/>
          <w:szCs w:val="32"/>
          <w:lang w:val="en-US" w:eastAsia="zh-CN"/>
        </w:rPr>
        <w:t xml:space="preserve"> </w:t>
      </w:r>
      <w:r>
        <w:rPr>
          <w:rFonts w:ascii="仿宋" w:hAnsi="仿宋" w:eastAsia="仿宋" w:cs="仿宋"/>
          <w:color w:val="auto"/>
          <w:sz w:val="32"/>
          <w:szCs w:val="32"/>
          <w:lang w:val="en-US" w:eastAsia="zh-CN"/>
        </w:rPr>
        <w:t>66</w:t>
      </w:r>
      <w:r>
        <w:rPr>
          <w:rFonts w:hint="eastAsia" w:ascii="仿宋" w:hAnsi="仿宋" w:eastAsia="仿宋" w:cs="仿宋"/>
          <w:color w:val="auto"/>
          <w:sz w:val="32"/>
          <w:szCs w:val="32"/>
        </w:rPr>
        <w:t>%。</w:t>
      </w:r>
      <w:r>
        <w:rPr>
          <w:rFonts w:ascii="仿宋" w:hAnsi="仿宋" w:eastAsia="仿宋" w:cs="仿宋"/>
          <w:color w:val="auto"/>
          <w:sz w:val="32"/>
          <w:szCs w:val="32"/>
        </w:rPr>
        <w:t>剩余未支出原因：财政资金未及时拨付到位。</w:t>
      </w:r>
    </w:p>
    <w:p w14:paraId="6F5B93B5">
      <w:pPr>
        <w:pStyle w:val="19"/>
        <w:ind w:firstLine="560"/>
      </w:pPr>
      <w:r>
        <w:t>3.劳务派遣经费</w:t>
      </w:r>
    </w:p>
    <w:p w14:paraId="562097A0">
      <w:pPr>
        <w:pStyle w:val="19"/>
        <w:ind w:left="0" w:firstLine="560" w:firstLineChars="200"/>
        <w:rPr>
          <w:rFonts w:hint="eastAsia" w:ascii="仿宋" w:hAnsi="仿宋" w:eastAsia="仿宋" w:cs="仿宋"/>
          <w:color w:val="auto"/>
          <w:sz w:val="32"/>
          <w:szCs w:val="32"/>
        </w:rPr>
      </w:pPr>
      <w:r>
        <w:rPr>
          <w:rFonts w:hint="eastAsia"/>
          <w:lang w:val="en-US" w:eastAsia="zh-CN"/>
        </w:rPr>
        <w:t xml:space="preserve">  </w:t>
      </w:r>
      <w:r>
        <w:rPr>
          <w:rFonts w:hint="eastAsia" w:ascii="仿宋" w:hAnsi="仿宋" w:eastAsia="仿宋" w:cs="仿宋"/>
          <w:color w:val="auto"/>
          <w:sz w:val="32"/>
          <w:szCs w:val="32"/>
        </w:rPr>
        <w:t>该项目预算数是</w:t>
      </w:r>
      <w:r>
        <w:rPr>
          <w:rFonts w:ascii="仿宋" w:hAnsi="仿宋" w:eastAsia="仿宋" w:cs="仿宋"/>
          <w:color w:val="auto"/>
          <w:sz w:val="32"/>
          <w:szCs w:val="32"/>
          <w:lang w:val="en-US" w:eastAsia="zh-CN"/>
        </w:rPr>
        <w:t>14.6</w:t>
      </w:r>
      <w:r>
        <w:rPr>
          <w:rFonts w:hint="eastAsia" w:ascii="仿宋" w:hAnsi="仿宋" w:eastAsia="仿宋" w:cs="仿宋"/>
          <w:color w:val="auto"/>
          <w:sz w:val="32"/>
          <w:szCs w:val="32"/>
          <w:lang w:val="en-US" w:eastAsia="zh-CN"/>
        </w:rPr>
        <w:t>万元，</w:t>
      </w:r>
      <w:r>
        <w:rPr>
          <w:rFonts w:ascii="仿宋" w:hAnsi="仿宋" w:eastAsia="仿宋" w:cs="仿宋"/>
          <w:color w:val="auto"/>
          <w:sz w:val="32"/>
          <w:szCs w:val="32"/>
          <w:lang w:val="en-US" w:eastAsia="zh-CN"/>
        </w:rPr>
        <w:t>财政拨款14.6万元，部门实际</w:t>
      </w:r>
      <w:r>
        <w:rPr>
          <w:rFonts w:hint="eastAsia" w:ascii="仿宋" w:hAnsi="仿宋" w:eastAsia="仿宋" w:cs="仿宋"/>
          <w:color w:val="auto"/>
          <w:sz w:val="32"/>
          <w:szCs w:val="32"/>
        </w:rPr>
        <w:t>支出</w:t>
      </w:r>
      <w:r>
        <w:rPr>
          <w:rFonts w:ascii="仿宋" w:hAnsi="仿宋" w:eastAsia="仿宋" w:cs="仿宋"/>
          <w:color w:val="auto"/>
          <w:sz w:val="32"/>
          <w:szCs w:val="32"/>
          <w:lang w:val="en-US" w:eastAsia="zh-CN"/>
        </w:rPr>
        <w:t>14.6</w:t>
      </w:r>
      <w:r>
        <w:rPr>
          <w:rFonts w:hint="eastAsia" w:ascii="仿宋" w:hAnsi="仿宋" w:eastAsia="仿宋" w:cs="仿宋"/>
          <w:color w:val="auto"/>
          <w:sz w:val="32"/>
          <w:szCs w:val="32"/>
        </w:rPr>
        <w:t>万元</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总体支出进度为</w:t>
      </w:r>
      <w:r>
        <w:rPr>
          <w:rFonts w:hint="eastAsia" w:ascii="仿宋" w:hAnsi="仿宋" w:eastAsia="仿宋" w:cs="仿宋"/>
          <w:color w:val="auto"/>
          <w:sz w:val="32"/>
          <w:szCs w:val="32"/>
          <w:lang w:val="en-US" w:eastAsia="zh-CN"/>
        </w:rPr>
        <w:t xml:space="preserve"> 100 </w:t>
      </w:r>
      <w:r>
        <w:rPr>
          <w:rFonts w:hint="eastAsia" w:ascii="仿宋" w:hAnsi="仿宋" w:eastAsia="仿宋" w:cs="仿宋"/>
          <w:color w:val="auto"/>
          <w:sz w:val="32"/>
          <w:szCs w:val="32"/>
        </w:rPr>
        <w:t>%。</w:t>
      </w:r>
    </w:p>
    <w:p w14:paraId="19CB1B49">
      <w:pPr>
        <w:pStyle w:val="19"/>
        <w:ind w:firstLine="560"/>
      </w:pPr>
      <w:r>
        <w:t>4.党委国安办工作经费</w:t>
      </w:r>
    </w:p>
    <w:p w14:paraId="547A4EAD">
      <w:pPr>
        <w:adjustRightInd w:val="0"/>
        <w:snapToGrid w:val="0"/>
        <w:spacing w:line="560" w:lineRule="exact"/>
        <w:ind w:firstLine="420" w:firstLineChars="200"/>
        <w:rPr>
          <w:rFonts w:hint="eastAsia" w:ascii="仿宋" w:hAnsi="仿宋" w:eastAsia="仿宋" w:cs="仿宋"/>
          <w:sz w:val="32"/>
          <w:szCs w:val="32"/>
        </w:rPr>
      </w:pPr>
      <w:r>
        <w:rPr>
          <w:rFonts w:hint="eastAsia"/>
          <w:lang w:val="en-US" w:eastAsia="zh-CN"/>
        </w:rPr>
        <w:t xml:space="preserve">  </w:t>
      </w:r>
      <w:r>
        <w:rPr>
          <w:rFonts w:hint="eastAsia" w:ascii="仿宋" w:hAnsi="仿宋" w:eastAsia="仿宋" w:cs="仿宋"/>
          <w:color w:val="auto"/>
          <w:sz w:val="32"/>
          <w:szCs w:val="32"/>
        </w:rPr>
        <w:t>该项目预算数是</w:t>
      </w:r>
      <w:r>
        <w:rPr>
          <w:rFonts w:ascii="仿宋" w:hAnsi="仿宋" w:eastAsia="仿宋" w:cs="仿宋"/>
          <w:color w:val="auto"/>
          <w:sz w:val="32"/>
          <w:szCs w:val="32"/>
          <w:lang w:val="en-US" w:eastAsia="zh-CN"/>
        </w:rPr>
        <w:t>4</w:t>
      </w:r>
      <w:r>
        <w:rPr>
          <w:rFonts w:hint="eastAsia" w:ascii="仿宋" w:hAnsi="仿宋" w:eastAsia="仿宋" w:cs="仿宋"/>
          <w:color w:val="auto"/>
          <w:sz w:val="32"/>
          <w:szCs w:val="32"/>
          <w:lang w:val="en-US" w:eastAsia="zh-CN"/>
        </w:rPr>
        <w:t>万元，</w:t>
      </w:r>
      <w:r>
        <w:rPr>
          <w:rFonts w:ascii="仿宋" w:hAnsi="仿宋" w:eastAsia="仿宋" w:cs="仿宋"/>
          <w:color w:val="auto"/>
          <w:sz w:val="32"/>
          <w:szCs w:val="32"/>
          <w:lang w:val="en-US" w:eastAsia="zh-CN"/>
        </w:rPr>
        <w:t>财政拨款2.5万元，部门实际</w:t>
      </w:r>
      <w:r>
        <w:rPr>
          <w:rFonts w:hint="eastAsia" w:ascii="仿宋" w:hAnsi="仿宋" w:eastAsia="仿宋" w:cs="仿宋"/>
          <w:color w:val="auto"/>
          <w:sz w:val="32"/>
          <w:szCs w:val="32"/>
        </w:rPr>
        <w:t>支出</w:t>
      </w:r>
      <w:r>
        <w:rPr>
          <w:rFonts w:ascii="仿宋" w:hAnsi="仿宋" w:eastAsia="仿宋" w:cs="仿宋"/>
          <w:color w:val="auto"/>
          <w:sz w:val="32"/>
          <w:szCs w:val="32"/>
          <w:lang w:val="en-US" w:eastAsia="zh-CN"/>
        </w:rPr>
        <w:t>2.5</w:t>
      </w:r>
      <w:r>
        <w:rPr>
          <w:rFonts w:hint="eastAsia" w:ascii="仿宋" w:hAnsi="仿宋" w:eastAsia="仿宋" w:cs="仿宋"/>
          <w:color w:val="auto"/>
          <w:sz w:val="32"/>
          <w:szCs w:val="32"/>
        </w:rPr>
        <w:t>万元</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总体支出进度为</w:t>
      </w:r>
      <w:r>
        <w:rPr>
          <w:rFonts w:hint="eastAsia" w:ascii="仿宋" w:hAnsi="仿宋" w:eastAsia="仿宋" w:cs="仿宋"/>
          <w:color w:val="auto"/>
          <w:sz w:val="32"/>
          <w:szCs w:val="32"/>
          <w:lang w:val="en-US" w:eastAsia="zh-CN"/>
        </w:rPr>
        <w:t xml:space="preserve"> </w:t>
      </w:r>
      <w:r>
        <w:rPr>
          <w:rFonts w:ascii="仿宋" w:hAnsi="仿宋" w:eastAsia="仿宋" w:cs="仿宋"/>
          <w:color w:val="auto"/>
          <w:sz w:val="32"/>
          <w:szCs w:val="32"/>
          <w:lang w:val="en-US" w:eastAsia="zh-CN"/>
        </w:rPr>
        <w:t>63</w:t>
      </w:r>
      <w:r>
        <w:rPr>
          <w:rFonts w:hint="eastAsia" w:ascii="仿宋" w:hAnsi="仿宋" w:eastAsia="仿宋" w:cs="仿宋"/>
          <w:color w:val="auto"/>
          <w:sz w:val="32"/>
          <w:szCs w:val="32"/>
          <w:lang w:val="en-US" w:eastAsia="zh-CN"/>
        </w:rPr>
        <w:t xml:space="preserve"> </w:t>
      </w:r>
      <w:r>
        <w:rPr>
          <w:rFonts w:hint="eastAsia" w:ascii="仿宋" w:hAnsi="仿宋" w:eastAsia="仿宋" w:cs="仿宋"/>
          <w:color w:val="auto"/>
          <w:sz w:val="32"/>
          <w:szCs w:val="32"/>
        </w:rPr>
        <w:t>%。</w:t>
      </w:r>
      <w:r>
        <w:rPr>
          <w:rFonts w:ascii="仿宋" w:hAnsi="仿宋" w:eastAsia="仿宋" w:cs="仿宋"/>
          <w:color w:val="auto"/>
          <w:sz w:val="32"/>
          <w:szCs w:val="32"/>
        </w:rPr>
        <w:t>剩余未支出原因：财政资金未及时拨付到位。</w:t>
      </w:r>
    </w:p>
    <w:p w14:paraId="2B4B059D">
      <w:pPr>
        <w:pStyle w:val="19"/>
        <w:ind w:left="0" w:firstLine="640" w:firstLineChars="200"/>
        <w:rPr>
          <w:rFonts w:ascii="仿宋" w:hAnsi="仿宋" w:eastAsia="仿宋" w:cs="仿宋"/>
          <w:color w:val="auto"/>
          <w:sz w:val="32"/>
          <w:szCs w:val="32"/>
        </w:rPr>
      </w:pPr>
      <w:r>
        <w:rPr>
          <w:rFonts w:ascii="仿宋" w:hAnsi="仿宋" w:eastAsia="仿宋" w:cs="仿宋"/>
          <w:color w:val="auto"/>
          <w:sz w:val="32"/>
          <w:szCs w:val="32"/>
        </w:rPr>
        <w:t>5.密码通讯和管理提升工程项目经费</w:t>
      </w:r>
    </w:p>
    <w:p w14:paraId="07B39B60">
      <w:pPr>
        <w:adjustRightInd w:val="0"/>
        <w:snapToGrid w:val="0"/>
        <w:spacing w:line="560" w:lineRule="exact"/>
        <w:ind w:firstLine="640" w:firstLineChars="200"/>
        <w:rPr>
          <w:rFonts w:hint="eastAsia" w:ascii="仿宋" w:hAnsi="仿宋" w:eastAsia="仿宋" w:cs="仿宋"/>
          <w:sz w:val="32"/>
          <w:szCs w:val="32"/>
        </w:rPr>
      </w:pPr>
      <w:r>
        <w:rPr>
          <w:rFonts w:hint="eastAsia" w:ascii="仿宋" w:hAnsi="仿宋" w:eastAsia="仿宋" w:cs="仿宋"/>
          <w:color w:val="auto"/>
          <w:sz w:val="32"/>
          <w:szCs w:val="32"/>
        </w:rPr>
        <w:t>该项目预算数是</w:t>
      </w:r>
      <w:r>
        <w:rPr>
          <w:rFonts w:ascii="仿宋" w:hAnsi="仿宋" w:eastAsia="仿宋" w:cs="仿宋"/>
          <w:color w:val="auto"/>
          <w:sz w:val="32"/>
          <w:szCs w:val="32"/>
          <w:lang w:val="en-US" w:eastAsia="zh-CN"/>
        </w:rPr>
        <w:t>42.72</w:t>
      </w:r>
      <w:r>
        <w:rPr>
          <w:rFonts w:hint="eastAsia" w:ascii="仿宋" w:hAnsi="仿宋" w:eastAsia="仿宋" w:cs="仿宋"/>
          <w:color w:val="auto"/>
          <w:sz w:val="32"/>
          <w:szCs w:val="32"/>
          <w:lang w:val="en-US" w:eastAsia="zh-CN"/>
        </w:rPr>
        <w:t>万元，</w:t>
      </w:r>
      <w:r>
        <w:rPr>
          <w:rFonts w:ascii="仿宋" w:hAnsi="仿宋" w:eastAsia="仿宋" w:cs="仿宋"/>
          <w:color w:val="auto"/>
          <w:sz w:val="32"/>
          <w:szCs w:val="32"/>
          <w:lang w:val="en-US" w:eastAsia="zh-CN"/>
        </w:rPr>
        <w:t>财政拨款3.6万元，部门实际</w:t>
      </w:r>
      <w:r>
        <w:rPr>
          <w:rFonts w:hint="eastAsia" w:ascii="仿宋" w:hAnsi="仿宋" w:eastAsia="仿宋" w:cs="仿宋"/>
          <w:color w:val="auto"/>
          <w:sz w:val="32"/>
          <w:szCs w:val="32"/>
        </w:rPr>
        <w:t>支出</w:t>
      </w:r>
      <w:r>
        <w:rPr>
          <w:rFonts w:ascii="仿宋" w:hAnsi="仿宋" w:eastAsia="仿宋" w:cs="仿宋"/>
          <w:color w:val="auto"/>
          <w:sz w:val="32"/>
          <w:szCs w:val="32"/>
          <w:lang w:val="en-US" w:eastAsia="zh-CN"/>
        </w:rPr>
        <w:t>3.6</w:t>
      </w:r>
      <w:r>
        <w:rPr>
          <w:rFonts w:hint="eastAsia" w:ascii="仿宋" w:hAnsi="仿宋" w:eastAsia="仿宋" w:cs="仿宋"/>
          <w:color w:val="auto"/>
          <w:sz w:val="32"/>
          <w:szCs w:val="32"/>
        </w:rPr>
        <w:t>万元</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总体支出进度为</w:t>
      </w:r>
      <w:r>
        <w:rPr>
          <w:rFonts w:ascii="仿宋" w:hAnsi="仿宋" w:eastAsia="仿宋" w:cs="仿宋"/>
          <w:color w:val="auto"/>
          <w:sz w:val="32"/>
          <w:szCs w:val="32"/>
          <w:lang w:val="en-US" w:eastAsia="zh-CN"/>
        </w:rPr>
        <w:t>9</w:t>
      </w:r>
      <w:r>
        <w:rPr>
          <w:rFonts w:hint="eastAsia" w:ascii="仿宋" w:hAnsi="仿宋" w:eastAsia="仿宋" w:cs="仿宋"/>
          <w:color w:val="auto"/>
          <w:sz w:val="32"/>
          <w:szCs w:val="32"/>
        </w:rPr>
        <w:t>%。</w:t>
      </w:r>
      <w:r>
        <w:rPr>
          <w:rFonts w:ascii="仿宋" w:hAnsi="仿宋" w:eastAsia="仿宋" w:cs="仿宋"/>
          <w:color w:val="auto"/>
          <w:sz w:val="32"/>
          <w:szCs w:val="32"/>
        </w:rPr>
        <w:t>剩余未支出原因：财政资金未及时拨付到位。</w:t>
      </w:r>
    </w:p>
    <w:p w14:paraId="44DC5D01">
      <w:pPr>
        <w:adjustRightInd w:val="0"/>
        <w:snapToGrid w:val="0"/>
        <w:spacing w:line="560" w:lineRule="exact"/>
        <w:ind w:left="0" w:firstLine="320" w:firstLineChars="100"/>
        <w:rPr>
          <w:rFonts w:ascii="仿宋" w:hAnsi="仿宋" w:eastAsia="仿宋" w:cs="仿宋"/>
          <w:color w:val="auto"/>
          <w:sz w:val="32"/>
          <w:szCs w:val="32"/>
        </w:rPr>
      </w:pPr>
      <w:r>
        <w:rPr>
          <w:rFonts w:hint="eastAsia" w:ascii="仿宋" w:hAnsi="仿宋" w:eastAsia="仿宋" w:cs="仿宋"/>
          <w:color w:val="auto"/>
          <w:sz w:val="32"/>
          <w:szCs w:val="32"/>
        </w:rPr>
        <w:t>2.产出指标和效果指标完成情况</w:t>
      </w:r>
    </w:p>
    <w:p w14:paraId="70718324">
      <w:pPr>
        <w:wordWrap/>
        <w:adjustRightInd/>
        <w:snapToGrid w:val="0"/>
        <w:spacing w:line="560" w:lineRule="exact"/>
        <w:ind w:left="0" w:firstLine="640" w:firstLineChars="200"/>
        <w:rPr>
          <w:rFonts w:hint="eastAsia" w:ascii="仿宋" w:hAnsi="仿宋" w:eastAsia="仿宋" w:cs="仿宋"/>
          <w:sz w:val="32"/>
          <w:szCs w:val="32"/>
        </w:rPr>
      </w:pPr>
      <w:r>
        <w:rPr>
          <w:rFonts w:hint="eastAsia" w:ascii="仿宋" w:hAnsi="仿宋" w:eastAsia="仿宋" w:cs="仿宋"/>
          <w:sz w:val="32"/>
          <w:szCs w:val="32"/>
          <w:lang w:eastAsia="zh-CN"/>
        </w:rPr>
        <w:t>截至目前</w:t>
      </w:r>
      <w:r>
        <w:rPr>
          <w:rFonts w:hint="eastAsia" w:ascii="仿宋" w:hAnsi="仿宋" w:eastAsia="仿宋" w:cs="仿宋"/>
          <w:sz w:val="32"/>
          <w:szCs w:val="32"/>
        </w:rPr>
        <w:t>我部门绩效工作完成较好，主要完成了以下工作：</w:t>
      </w:r>
      <w:r>
        <w:rPr>
          <w:rFonts w:ascii="仿宋" w:hAnsi="仿宋" w:eastAsia="仿宋" w:cs="仿宋"/>
          <w:sz w:val="32"/>
          <w:szCs w:val="32"/>
        </w:rPr>
        <w:t>劳务派遣工资按时发放，通过运维不少于三台的网络密码机完成保密公文的上传下达、组织3次国家安全宣传教育活动，提高公民对国家安全各种领域的认识，维护值班系统做到24小时双人双岗，网站信息的发布对公民学习和掌握国家政策的影响力也大大提升。</w:t>
      </w:r>
    </w:p>
    <w:p w14:paraId="2825FAEA">
      <w:pPr>
        <w:pStyle w:val="19"/>
        <w:ind w:left="0" w:firstLine="640" w:firstLineChars="200"/>
        <w:rPr>
          <w:rFonts w:hint="eastAsia" w:ascii="仿宋" w:hAnsi="仿宋" w:eastAsia="仿宋" w:cs="仿宋"/>
          <w:color w:val="auto"/>
          <w:sz w:val="32"/>
          <w:szCs w:val="32"/>
        </w:rPr>
      </w:pPr>
      <w:r>
        <w:rPr>
          <w:rFonts w:hint="eastAsia" w:ascii="仿宋" w:hAnsi="仿宋" w:eastAsia="仿宋" w:cs="仿宋"/>
          <w:sz w:val="32"/>
          <w:szCs w:val="32"/>
        </w:rPr>
        <w:t>参与本次评价的项目共计</w:t>
      </w:r>
      <w:r>
        <w:rPr>
          <w:rFonts w:ascii="仿宋" w:hAnsi="仿宋" w:eastAsia="仿宋" w:cs="仿宋"/>
          <w:sz w:val="32"/>
          <w:szCs w:val="32"/>
          <w:lang w:val="en-US" w:eastAsia="zh-CN"/>
        </w:rPr>
        <w:t>5</w:t>
      </w:r>
      <w:r>
        <w:rPr>
          <w:rFonts w:hint="eastAsia" w:ascii="仿宋" w:hAnsi="仿宋" w:eastAsia="仿宋" w:cs="仿宋"/>
          <w:sz w:val="32"/>
          <w:szCs w:val="32"/>
        </w:rPr>
        <w:t>个，评价等级均为“</w:t>
      </w:r>
      <w:r>
        <w:rPr>
          <w:rFonts w:ascii="仿宋" w:hAnsi="仿宋" w:eastAsia="仿宋" w:cs="仿宋"/>
          <w:sz w:val="32"/>
          <w:szCs w:val="32"/>
        </w:rPr>
        <w:t>优秀</w:t>
      </w:r>
      <w:r>
        <w:rPr>
          <w:rFonts w:hint="eastAsia" w:ascii="仿宋" w:hAnsi="仿宋" w:eastAsia="仿宋" w:cs="仿宋"/>
          <w:sz w:val="32"/>
          <w:szCs w:val="32"/>
        </w:rPr>
        <w:t>”。</w:t>
      </w:r>
    </w:p>
    <w:p w14:paraId="2DDF58B0">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231E0EC3">
      <w:pPr>
        <w:spacing w:line="560" w:lineRule="exact"/>
        <w:ind w:firstLine="640" w:firstLineChars="200"/>
        <w:rPr>
          <w:rFonts w:ascii="仿宋" w:hAnsi="仿宋" w:eastAsia="仿宋"/>
          <w:sz w:val="32"/>
          <w:szCs w:val="32"/>
        </w:rPr>
      </w:pPr>
      <w:r>
        <w:rPr>
          <w:rFonts w:hint="eastAsia" w:ascii="仿宋" w:hAnsi="仿宋" w:eastAsia="仿宋"/>
          <w:sz w:val="32"/>
          <w:szCs w:val="32"/>
        </w:rPr>
        <w:t>根据部门职责定位和各项工作履职情况进行综合评价，给出总得分，满分100分，得出综合绩效评价等级。部门整体支出综合绩效评价分为4个等级：得分</w:t>
      </w:r>
      <w:r>
        <w:rPr>
          <w:rFonts w:ascii="仿宋" w:hAnsi="仿宋" w:eastAsia="仿宋" w:cs="Arial"/>
          <w:sz w:val="32"/>
          <w:szCs w:val="32"/>
        </w:rPr>
        <w:t>≥</w:t>
      </w:r>
      <w:r>
        <w:rPr>
          <w:rFonts w:hint="eastAsia" w:ascii="仿宋" w:hAnsi="仿宋" w:eastAsia="仿宋"/>
          <w:sz w:val="32"/>
          <w:szCs w:val="32"/>
        </w:rPr>
        <w:t>85分为优秀；75</w:t>
      </w:r>
      <w:r>
        <w:rPr>
          <w:rFonts w:ascii="仿宋" w:hAnsi="仿宋" w:eastAsia="仿宋" w:cs="Arial"/>
          <w:sz w:val="32"/>
          <w:szCs w:val="32"/>
        </w:rPr>
        <w:t>≤</w:t>
      </w:r>
      <w:r>
        <w:rPr>
          <w:rFonts w:hint="eastAsia" w:ascii="仿宋" w:hAnsi="仿宋" w:eastAsia="仿宋"/>
          <w:sz w:val="32"/>
          <w:szCs w:val="32"/>
        </w:rPr>
        <w:t>得分＜85分为良好；60</w:t>
      </w:r>
      <w:r>
        <w:rPr>
          <w:rFonts w:ascii="仿宋" w:hAnsi="仿宋" w:eastAsia="仿宋" w:cs="Arial"/>
          <w:sz w:val="32"/>
          <w:szCs w:val="32"/>
        </w:rPr>
        <w:t>≤</w:t>
      </w:r>
      <w:r>
        <w:rPr>
          <w:rFonts w:hint="eastAsia" w:ascii="仿宋" w:hAnsi="仿宋" w:eastAsia="仿宋"/>
          <w:sz w:val="32"/>
          <w:szCs w:val="32"/>
        </w:rPr>
        <w:t>得分＜75分为一般；得分＜60分为较差。</w:t>
      </w:r>
    </w:p>
    <w:p w14:paraId="06900343">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778EE0AE">
      <w:pPr>
        <w:widowControl w:val="0"/>
        <w:wordWrap/>
        <w:spacing w:line="560" w:lineRule="exact"/>
        <w:ind w:left="0" w:right="0" w:firstLine="643" w:firstLineChars="200"/>
        <w:textAlignment w:val="auto"/>
        <w:outlineLvl w:val="9"/>
        <w:rPr>
          <w:rFonts w:hint="eastAsia" w:ascii="仿宋" w:hAnsi="仿宋" w:eastAsia="仿宋"/>
          <w:b/>
          <w:bCs/>
          <w:sz w:val="32"/>
          <w:szCs w:val="32"/>
        </w:rPr>
      </w:pPr>
      <w:r>
        <w:rPr>
          <w:rFonts w:hint="eastAsia" w:ascii="仿宋" w:hAnsi="仿宋" w:eastAsia="仿宋"/>
          <w:b/>
          <w:bCs/>
          <w:sz w:val="32"/>
          <w:szCs w:val="32"/>
        </w:rPr>
        <w:t>（一）存在的主要问题</w:t>
      </w:r>
    </w:p>
    <w:p w14:paraId="7172654D">
      <w:pPr>
        <w:widowControl w:val="0"/>
        <w:wordWrap/>
        <w:spacing w:line="560" w:lineRule="exact"/>
        <w:ind w:left="0" w:right="0" w:firstLine="420" w:firstLineChars="200"/>
        <w:textAlignment w:val="auto"/>
        <w:outlineLvl w:val="9"/>
        <w:rPr>
          <w:rFonts w:hint="eastAsia" w:ascii="仿宋" w:hAnsi="仿宋" w:eastAsia="仿宋"/>
          <w:b/>
          <w:bCs/>
          <w:sz w:val="32"/>
          <w:szCs w:val="32"/>
        </w:rPr>
      </w:pPr>
      <w:r>
        <w:rPr>
          <w:rFonts w:hint="eastAsia"/>
          <w:lang w:val="en-US" w:eastAsia="zh-CN"/>
        </w:rPr>
        <w:t xml:space="preserve">   </w:t>
      </w:r>
      <w:r>
        <w:rPr>
          <w:rFonts w:hint="eastAsia" w:ascii="仿宋" w:hAnsi="仿宋" w:eastAsia="仿宋"/>
          <w:b w:val="0"/>
          <w:bCs w:val="0"/>
          <w:sz w:val="32"/>
          <w:szCs w:val="32"/>
        </w:rPr>
        <w:t>绩效评价在目标设定上过于简单，对于绩效考核来讲，目标就是方向，如果在绩效考核目标设定上出现问题、或者是设计不合理势必要影响到绩效考核的。当前绩效考核在目标设定上不能实现多元化的目标，考核结果仅仅是停留在作为薪金或晋升的依据，还不能成为考量</w:t>
      </w:r>
      <w:r>
        <w:rPr>
          <w:rFonts w:hint="eastAsia" w:ascii="仿宋" w:hAnsi="仿宋" w:eastAsia="仿宋"/>
          <w:b w:val="0"/>
          <w:bCs w:val="0"/>
          <w:sz w:val="32"/>
          <w:szCs w:val="32"/>
          <w:lang w:eastAsia="zh-CN"/>
        </w:rPr>
        <w:t>职工</w:t>
      </w:r>
      <w:r>
        <w:rPr>
          <w:rFonts w:hint="eastAsia" w:ascii="仿宋" w:hAnsi="仿宋" w:eastAsia="仿宋"/>
          <w:b w:val="0"/>
          <w:bCs w:val="0"/>
          <w:sz w:val="32"/>
          <w:szCs w:val="32"/>
        </w:rPr>
        <w:t xml:space="preserve">发展的标杆。绩效评价在指标设定上存在偏离的现象。在当前绩效考核指标设定上，德能勤绩这种传统的固化思维模式依旧存在，不能紧紧围绕工作重点、偏离实际的现象依旧凸显。 </w:t>
      </w:r>
      <w:r>
        <w:rPr>
          <w:rFonts w:hint="eastAsia" w:ascii="仿宋" w:hAnsi="仿宋" w:eastAsia="仿宋"/>
          <w:b/>
          <w:bCs/>
          <w:sz w:val="32"/>
          <w:szCs w:val="32"/>
        </w:rPr>
        <w:t xml:space="preserve"> </w:t>
      </w:r>
    </w:p>
    <w:p w14:paraId="6FABC0B8">
      <w:pPr>
        <w:widowControl w:val="0"/>
        <w:wordWrap/>
        <w:spacing w:line="560" w:lineRule="exact"/>
        <w:ind w:left="0" w:right="0" w:firstLine="643" w:firstLineChars="200"/>
        <w:textAlignment w:val="auto"/>
        <w:outlineLvl w:val="9"/>
        <w:rPr>
          <w:rFonts w:hint="eastAsia" w:ascii="仿宋" w:hAnsi="仿宋" w:eastAsia="仿宋"/>
          <w:b/>
          <w:bCs/>
          <w:sz w:val="32"/>
          <w:szCs w:val="32"/>
        </w:rPr>
      </w:pPr>
      <w:r>
        <w:rPr>
          <w:rFonts w:hint="eastAsia" w:ascii="仿宋" w:hAnsi="仿宋" w:eastAsia="仿宋"/>
          <w:b/>
          <w:bCs/>
          <w:sz w:val="32"/>
          <w:szCs w:val="32"/>
        </w:rPr>
        <w:t>（二）针对问题提出具体的改进措施或建议</w:t>
      </w:r>
    </w:p>
    <w:p w14:paraId="562F9324">
      <w:pPr>
        <w:adjustRightInd w:val="0"/>
        <w:snapToGrid w:val="0"/>
        <w:spacing w:line="560" w:lineRule="exact"/>
        <w:ind w:firstLine="640" w:firstLineChars="200"/>
      </w:pPr>
      <w:r>
        <w:rPr>
          <w:rFonts w:hint="eastAsia" w:ascii="仿宋" w:hAnsi="仿宋" w:eastAsia="仿宋" w:cs="仿宋"/>
          <w:sz w:val="32"/>
          <w:szCs w:val="32"/>
        </w:rPr>
        <w:t>针对绩效指标设定中存在的问题，从实际出发，在202</w:t>
      </w:r>
      <w:r>
        <w:rPr>
          <w:rFonts w:ascii="仿宋" w:hAnsi="仿宋" w:eastAsia="仿宋" w:cs="仿宋"/>
          <w:sz w:val="32"/>
          <w:szCs w:val="32"/>
          <w:lang w:val="en-US" w:eastAsia="zh-CN"/>
        </w:rPr>
        <w:t>4</w:t>
      </w:r>
      <w:r>
        <w:rPr>
          <w:rFonts w:hint="eastAsia" w:ascii="仿宋" w:hAnsi="仿宋" w:eastAsia="仿宋" w:cs="仿宋"/>
          <w:sz w:val="32"/>
          <w:szCs w:val="32"/>
        </w:rPr>
        <w:t>年项目绩效目标填报中增强指标的可评价性和可量化性，合理如实的反映资金使用的绩效成果，审核</w:t>
      </w:r>
      <w:r>
        <w:rPr>
          <w:rFonts w:ascii="仿宋" w:hAnsi="仿宋" w:eastAsia="仿宋" w:cs="仿宋"/>
          <w:sz w:val="32"/>
          <w:szCs w:val="32"/>
        </w:rPr>
        <w:t>实现绩效目标所需资金的合理性以及填报的规范性、完整性</w:t>
      </w:r>
      <w:r>
        <w:rPr>
          <w:rFonts w:hint="eastAsia" w:ascii="仿宋" w:hAnsi="仿宋" w:eastAsia="仿宋" w:cs="仿宋"/>
          <w:sz w:val="32"/>
          <w:szCs w:val="32"/>
        </w:rPr>
        <w:t>，提高财政支出产生的社会效益和经济效益，重点考虑项目的外界因素对年度任务的影响。</w:t>
      </w:r>
    </w:p>
    <w:p w14:paraId="56C2E667">
      <w:pPr>
        <w:adjustRightInd w:val="0"/>
        <w:snapToGrid w:val="0"/>
        <w:spacing w:line="560" w:lineRule="exact"/>
        <w:ind w:firstLine="640" w:firstLineChars="200"/>
        <w:rPr>
          <w:rFonts w:eastAsia="仿宋_GB2312"/>
          <w:lang w:val="en-US" w:eastAsia="zh-CN"/>
        </w:rPr>
      </w:pPr>
      <w:r>
        <w:rPr>
          <w:rFonts w:hint="eastAsia" w:ascii="仿宋" w:hAnsi="仿宋" w:eastAsia="仿宋" w:cs="仿宋"/>
          <w:sz w:val="32"/>
          <w:szCs w:val="32"/>
        </w:rPr>
        <w:t>在以后的工作中，</w:t>
      </w:r>
      <w:r>
        <w:rPr>
          <w:rFonts w:ascii="仿宋" w:hAnsi="仿宋" w:eastAsia="仿宋" w:cs="仿宋"/>
          <w:sz w:val="32"/>
          <w:szCs w:val="32"/>
        </w:rPr>
        <w:t>要根据年度工作计划制定具体、可衡量、可实现的绩效目标，明确支出的必要性、可行性和有效性，并围绕绩效目标编制清晰、量化、便于考核的绩效指标。</w:t>
      </w:r>
      <w:r>
        <w:rPr>
          <w:rFonts w:hint="eastAsia" w:ascii="仿宋" w:hAnsi="仿宋" w:eastAsia="仿宋" w:cs="仿宋"/>
          <w:sz w:val="32"/>
          <w:szCs w:val="32"/>
        </w:rPr>
        <w:t>要重视绩效评价工作，切实发挥绩效评价结果应用的作用，通过绩效评价应用实践，积累连续的数据库，优化对比分析，总结实践中的经验和教训，强化财政资金管理水平、提高财政资金使用效益，在更高层次上实现财政资源配置的公平性和合理性。</w:t>
      </w:r>
    </w:p>
    <w:p w14:paraId="0961DD3F">
      <w:pPr>
        <w:widowControl w:val="0"/>
        <w:wordWrap/>
        <w:adjustRightInd w:val="0"/>
        <w:snapToGrid w:val="0"/>
        <w:spacing w:line="560" w:lineRule="exact"/>
        <w:ind w:left="0" w:right="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rPr>
        <w:t>六、评价工作组人员名单及签字（姓名、工作单位、职务、职称）</w:t>
      </w:r>
    </w:p>
    <w:p w14:paraId="47BBCE56">
      <w:pPr>
        <w:widowControl w:val="0"/>
        <w:wordWrap/>
        <w:spacing w:line="560" w:lineRule="exact"/>
        <w:ind w:left="0" w:right="0"/>
        <w:jc w:val="center"/>
        <w:textAlignment w:val="auto"/>
        <w:outlineLvl w:val="9"/>
        <w:rPr>
          <w:rFonts w:hint="eastAsia" w:ascii="宋体" w:hAnsi="宋体" w:eastAsia="宋体" w:cs="宋体"/>
          <w:sz w:val="44"/>
          <w:szCs w:val="44"/>
          <w:lang w:eastAsia="zh-CN"/>
        </w:rPr>
      </w:pPr>
      <w:r>
        <w:rPr>
          <w:rFonts w:hint="eastAsia" w:ascii="仿宋" w:hAnsi="仿宋" w:eastAsia="仿宋"/>
          <w:lang w:val="en-US" w:eastAsia="zh-CN"/>
        </w:rPr>
        <w:t xml:space="preserve">  </w:t>
      </w:r>
      <w:r>
        <w:rPr>
          <w:rFonts w:hint="eastAsia" w:ascii="宋体" w:hAnsi="宋体" w:eastAsia="宋体" w:cs="宋体"/>
          <w:sz w:val="44"/>
          <w:szCs w:val="44"/>
          <w:lang w:eastAsia="zh-CN"/>
        </w:rPr>
        <w:t>评价工作组人员名单</w:t>
      </w:r>
    </w:p>
    <w:tbl>
      <w:tblPr>
        <w:tblStyle w:val="13"/>
        <w:tblW w:w="906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49"/>
        <w:gridCol w:w="1172"/>
        <w:gridCol w:w="1856"/>
        <w:gridCol w:w="3071"/>
        <w:gridCol w:w="1813"/>
      </w:tblGrid>
      <w:tr w14:paraId="0FFA0D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49" w:type="dxa"/>
          </w:tcPr>
          <w:p w14:paraId="59039844">
            <w:pPr>
              <w:pStyle w:val="6"/>
              <w:ind w:left="0" w:firstLine="0" w:firstLineChars="0"/>
              <w:jc w:val="both"/>
              <w:rPr>
                <w:rFonts w:hint="eastAsia"/>
                <w:vertAlign w:val="baseline"/>
                <w:lang w:eastAsia="zh-CN"/>
              </w:rPr>
            </w:pPr>
            <w:r>
              <w:rPr>
                <w:rFonts w:hint="eastAsia"/>
                <w:vertAlign w:val="baseline"/>
                <w:lang w:val="en-US" w:eastAsia="zh-CN"/>
              </w:rPr>
              <w:t xml:space="preserve"> 序</w:t>
            </w:r>
            <w:r>
              <w:rPr>
                <w:rFonts w:hint="eastAsia"/>
                <w:vertAlign w:val="baseline"/>
                <w:lang w:eastAsia="zh-CN"/>
              </w:rPr>
              <w:t>号</w:t>
            </w:r>
          </w:p>
        </w:tc>
        <w:tc>
          <w:tcPr>
            <w:tcW w:w="1172" w:type="dxa"/>
          </w:tcPr>
          <w:p w14:paraId="48066E82">
            <w:pPr>
              <w:pStyle w:val="6"/>
              <w:ind w:left="0" w:firstLine="0" w:firstLineChars="0"/>
              <w:jc w:val="both"/>
              <w:rPr>
                <w:rFonts w:hint="eastAsia"/>
                <w:vertAlign w:val="baseline"/>
                <w:lang w:eastAsia="zh-CN"/>
              </w:rPr>
            </w:pPr>
            <w:r>
              <w:rPr>
                <w:rFonts w:hint="eastAsia"/>
                <w:vertAlign w:val="baseline"/>
                <w:lang w:val="en-US" w:eastAsia="zh-CN"/>
              </w:rPr>
              <w:t xml:space="preserve"> </w:t>
            </w:r>
            <w:r>
              <w:rPr>
                <w:rFonts w:hint="eastAsia"/>
                <w:vertAlign w:val="baseline"/>
                <w:lang w:eastAsia="zh-CN"/>
              </w:rPr>
              <w:t>姓名</w:t>
            </w:r>
          </w:p>
        </w:tc>
        <w:tc>
          <w:tcPr>
            <w:tcW w:w="1856" w:type="dxa"/>
          </w:tcPr>
          <w:p w14:paraId="212A91B0">
            <w:pPr>
              <w:pStyle w:val="6"/>
              <w:ind w:left="0" w:firstLine="0" w:firstLineChars="0"/>
              <w:jc w:val="both"/>
              <w:rPr>
                <w:rFonts w:hint="eastAsia"/>
                <w:vertAlign w:val="baseline"/>
                <w:lang w:eastAsia="zh-CN"/>
              </w:rPr>
            </w:pPr>
            <w:r>
              <w:rPr>
                <w:rFonts w:hint="eastAsia"/>
                <w:vertAlign w:val="baseline"/>
                <w:lang w:val="en-US" w:eastAsia="zh-CN"/>
              </w:rPr>
              <w:t xml:space="preserve"> </w:t>
            </w:r>
            <w:r>
              <w:rPr>
                <w:rFonts w:hint="eastAsia"/>
                <w:vertAlign w:val="baseline"/>
                <w:lang w:eastAsia="zh-CN"/>
              </w:rPr>
              <w:t>工作单位</w:t>
            </w:r>
          </w:p>
        </w:tc>
        <w:tc>
          <w:tcPr>
            <w:tcW w:w="3071" w:type="dxa"/>
          </w:tcPr>
          <w:p w14:paraId="484CB224">
            <w:pPr>
              <w:pStyle w:val="6"/>
              <w:jc w:val="both"/>
              <w:rPr>
                <w:rFonts w:hint="eastAsia"/>
                <w:vertAlign w:val="baseline"/>
                <w:lang w:eastAsia="zh-CN"/>
              </w:rPr>
            </w:pPr>
            <w:r>
              <w:rPr>
                <w:rFonts w:hint="eastAsia"/>
                <w:vertAlign w:val="baseline"/>
                <w:lang w:val="en-US" w:eastAsia="zh-CN"/>
              </w:rPr>
              <w:t xml:space="preserve">  </w:t>
            </w:r>
            <w:r>
              <w:rPr>
                <w:rFonts w:hint="eastAsia"/>
                <w:vertAlign w:val="baseline"/>
                <w:lang w:eastAsia="zh-CN"/>
              </w:rPr>
              <w:t>职务</w:t>
            </w:r>
          </w:p>
        </w:tc>
        <w:tc>
          <w:tcPr>
            <w:tcW w:w="1813" w:type="dxa"/>
          </w:tcPr>
          <w:p w14:paraId="3E588763">
            <w:pPr>
              <w:pStyle w:val="6"/>
              <w:jc w:val="both"/>
              <w:rPr>
                <w:rFonts w:hint="eastAsia"/>
                <w:vertAlign w:val="baseline"/>
                <w:lang w:eastAsia="zh-CN"/>
              </w:rPr>
            </w:pPr>
            <w:r>
              <w:rPr>
                <w:rFonts w:hint="eastAsia"/>
                <w:vertAlign w:val="baseline"/>
                <w:lang w:eastAsia="zh-CN"/>
              </w:rPr>
              <w:t>签名</w:t>
            </w:r>
          </w:p>
        </w:tc>
      </w:tr>
      <w:tr w14:paraId="6751B2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49" w:type="dxa"/>
            <w:tcBorders>
              <w:top w:val="single" w:color="auto" w:sz="4" w:space="0"/>
              <w:left w:val="single" w:color="auto" w:sz="4" w:space="0"/>
              <w:right w:val="single" w:color="auto" w:sz="4" w:space="0"/>
            </w:tcBorders>
            <w:vAlign w:val="center"/>
          </w:tcPr>
          <w:p w14:paraId="48F2A0C1">
            <w:pPr>
              <w:pStyle w:val="6"/>
              <w:ind w:left="0" w:firstLine="0" w:firstLineChars="0"/>
              <w:jc w:val="both"/>
              <w:rPr>
                <w:rFonts w:hint="eastAsia"/>
                <w:vertAlign w:val="baseline"/>
                <w:lang w:val="en-US" w:eastAsia="zh-CN"/>
              </w:rPr>
            </w:pPr>
            <w:r>
              <w:rPr>
                <w:rFonts w:hint="eastAsia"/>
                <w:vertAlign w:val="baseline"/>
                <w:lang w:val="en-US" w:eastAsia="zh-CN"/>
              </w:rPr>
              <w:t xml:space="preserve">  1</w:t>
            </w:r>
          </w:p>
        </w:tc>
        <w:tc>
          <w:tcPr>
            <w:tcW w:w="1172" w:type="dxa"/>
            <w:tcBorders>
              <w:top w:val="single" w:color="auto" w:sz="4" w:space="0"/>
              <w:left w:val="single" w:color="auto" w:sz="4" w:space="0"/>
              <w:right w:val="single" w:color="auto" w:sz="4" w:space="0"/>
            </w:tcBorders>
          </w:tcPr>
          <w:p w14:paraId="3B4F3C7A">
            <w:pPr>
              <w:pStyle w:val="6"/>
              <w:ind w:left="0" w:firstLine="0" w:firstLineChars="0"/>
              <w:jc w:val="both"/>
              <w:rPr>
                <w:rFonts w:hint="eastAsia"/>
                <w:vertAlign w:val="baseline"/>
                <w:lang w:eastAsia="zh-CN"/>
              </w:rPr>
            </w:pPr>
            <w:r>
              <w:rPr>
                <w:vertAlign w:val="baseline"/>
                <w:lang w:eastAsia="zh-CN"/>
              </w:rPr>
              <w:t>许海龙</w:t>
            </w:r>
          </w:p>
        </w:tc>
        <w:tc>
          <w:tcPr>
            <w:tcW w:w="1856" w:type="dxa"/>
            <w:tcBorders>
              <w:top w:val="single" w:color="auto" w:sz="4" w:space="0"/>
              <w:left w:val="single" w:color="auto" w:sz="4" w:space="0"/>
              <w:right w:val="single" w:color="auto" w:sz="4" w:space="0"/>
            </w:tcBorders>
            <w:vAlign w:val="center"/>
          </w:tcPr>
          <w:p w14:paraId="013B9853">
            <w:pPr>
              <w:pStyle w:val="6"/>
              <w:ind w:left="0" w:firstLine="0" w:firstLineChars="0"/>
              <w:jc w:val="center"/>
              <w:rPr>
                <w:rFonts w:hint="eastAsia"/>
                <w:vertAlign w:val="baseline"/>
                <w:lang w:eastAsia="zh-CN"/>
              </w:rPr>
            </w:pPr>
            <w:r>
              <w:rPr>
                <w:rFonts w:hint="eastAsia"/>
                <w:vertAlign w:val="baseline"/>
                <w:lang w:eastAsia="zh-CN"/>
              </w:rPr>
              <w:t>区委办</w:t>
            </w:r>
          </w:p>
        </w:tc>
        <w:tc>
          <w:tcPr>
            <w:tcW w:w="3071" w:type="dxa"/>
            <w:tcBorders>
              <w:top w:val="single" w:color="auto" w:sz="4" w:space="0"/>
              <w:left w:val="single" w:color="auto" w:sz="4" w:space="0"/>
              <w:right w:val="single" w:color="auto" w:sz="4" w:space="0"/>
            </w:tcBorders>
          </w:tcPr>
          <w:p w14:paraId="0008065C">
            <w:pPr>
              <w:pStyle w:val="6"/>
              <w:ind w:left="0" w:firstLine="0" w:firstLineChars="0"/>
              <w:jc w:val="center"/>
              <w:rPr>
                <w:rFonts w:hint="eastAsia"/>
                <w:vertAlign w:val="baseline"/>
                <w:lang w:eastAsia="zh-CN"/>
              </w:rPr>
            </w:pPr>
            <w:r>
              <w:rPr>
                <w:rFonts w:hint="eastAsia"/>
                <w:vertAlign w:val="baseline"/>
                <w:lang w:eastAsia="zh-CN"/>
              </w:rPr>
              <w:t>区委办常务副主任</w:t>
            </w:r>
          </w:p>
        </w:tc>
        <w:tc>
          <w:tcPr>
            <w:tcW w:w="1813" w:type="dxa"/>
            <w:tcBorders>
              <w:top w:val="single" w:color="auto" w:sz="4" w:space="0"/>
              <w:left w:val="single" w:color="auto" w:sz="4" w:space="0"/>
              <w:right w:val="single" w:color="auto" w:sz="4" w:space="0"/>
            </w:tcBorders>
          </w:tcPr>
          <w:p w14:paraId="2CEBCC96">
            <w:pPr>
              <w:pStyle w:val="6"/>
              <w:jc w:val="both"/>
              <w:rPr>
                <w:rFonts w:hint="eastAsia"/>
                <w:vertAlign w:val="baseline"/>
                <w:lang w:eastAsia="zh-CN"/>
              </w:rPr>
            </w:pPr>
          </w:p>
        </w:tc>
      </w:tr>
      <w:tr w14:paraId="205C79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49" w:type="dxa"/>
            <w:tcBorders>
              <w:top w:val="single" w:color="auto" w:sz="4" w:space="0"/>
              <w:left w:val="single" w:color="auto" w:sz="4" w:space="0"/>
              <w:right w:val="single" w:color="auto" w:sz="4" w:space="0"/>
            </w:tcBorders>
            <w:vAlign w:val="center"/>
          </w:tcPr>
          <w:p w14:paraId="004632FF">
            <w:pPr>
              <w:pStyle w:val="6"/>
              <w:ind w:left="0" w:firstLine="0" w:firstLineChars="0"/>
              <w:jc w:val="both"/>
              <w:rPr>
                <w:rFonts w:hint="eastAsia"/>
                <w:vertAlign w:val="baseline"/>
                <w:lang w:val="en-US" w:eastAsia="zh-CN"/>
              </w:rPr>
            </w:pPr>
            <w:r>
              <w:rPr>
                <w:rFonts w:hint="eastAsia"/>
                <w:vertAlign w:val="baseline"/>
                <w:lang w:val="en-US" w:eastAsia="zh-CN"/>
              </w:rPr>
              <w:t xml:space="preserve">  2</w:t>
            </w:r>
          </w:p>
        </w:tc>
        <w:tc>
          <w:tcPr>
            <w:tcW w:w="1172" w:type="dxa"/>
            <w:tcBorders>
              <w:top w:val="single" w:color="auto" w:sz="4" w:space="0"/>
              <w:left w:val="single" w:color="auto" w:sz="4" w:space="0"/>
              <w:right w:val="single" w:color="auto" w:sz="4" w:space="0"/>
            </w:tcBorders>
          </w:tcPr>
          <w:p w14:paraId="3861BB43">
            <w:pPr>
              <w:pStyle w:val="6"/>
              <w:ind w:left="0" w:firstLine="0" w:firstLineChars="0"/>
              <w:jc w:val="both"/>
              <w:rPr>
                <w:rFonts w:hint="eastAsia" w:eastAsia="仿宋_GB2312"/>
                <w:vertAlign w:val="baseline"/>
                <w:lang w:val="en-US" w:eastAsia="zh-CN"/>
              </w:rPr>
            </w:pPr>
            <w:r>
              <w:rPr>
                <w:rFonts w:hint="eastAsia"/>
                <w:vertAlign w:val="baseline"/>
                <w:lang w:val="en-US" w:eastAsia="zh-CN"/>
              </w:rPr>
              <w:t>杨敏利</w:t>
            </w:r>
          </w:p>
        </w:tc>
        <w:tc>
          <w:tcPr>
            <w:tcW w:w="1856" w:type="dxa"/>
            <w:tcBorders>
              <w:top w:val="single" w:color="auto" w:sz="4" w:space="0"/>
              <w:left w:val="single" w:color="auto" w:sz="4" w:space="0"/>
              <w:right w:val="single" w:color="auto" w:sz="4" w:space="0"/>
            </w:tcBorders>
            <w:vAlign w:val="center"/>
          </w:tcPr>
          <w:p w14:paraId="01C42AD4">
            <w:pPr>
              <w:pStyle w:val="6"/>
              <w:ind w:left="0" w:firstLine="0" w:firstLineChars="0"/>
              <w:jc w:val="center"/>
              <w:rPr>
                <w:rFonts w:hint="eastAsia"/>
                <w:vertAlign w:val="baseline"/>
                <w:lang w:eastAsia="zh-CN"/>
              </w:rPr>
            </w:pPr>
            <w:r>
              <w:rPr>
                <w:rFonts w:hint="eastAsia"/>
                <w:vertAlign w:val="baseline"/>
                <w:lang w:eastAsia="zh-CN"/>
              </w:rPr>
              <w:t>区委办</w:t>
            </w:r>
          </w:p>
        </w:tc>
        <w:tc>
          <w:tcPr>
            <w:tcW w:w="3071" w:type="dxa"/>
            <w:tcBorders>
              <w:top w:val="single" w:color="auto" w:sz="4" w:space="0"/>
              <w:left w:val="single" w:color="auto" w:sz="4" w:space="0"/>
              <w:right w:val="single" w:color="auto" w:sz="4" w:space="0"/>
            </w:tcBorders>
          </w:tcPr>
          <w:p w14:paraId="1784B762">
            <w:pPr>
              <w:pStyle w:val="6"/>
              <w:ind w:left="0" w:firstLine="0" w:firstLineChars="0"/>
              <w:jc w:val="center"/>
              <w:rPr>
                <w:rFonts w:hint="eastAsia"/>
                <w:vertAlign w:val="baseline"/>
                <w:lang w:eastAsia="zh-CN"/>
              </w:rPr>
            </w:pPr>
            <w:r>
              <w:rPr>
                <w:vertAlign w:val="baseline"/>
                <w:lang w:eastAsia="zh-CN"/>
              </w:rPr>
              <w:t>区委办副主任</w:t>
            </w:r>
          </w:p>
        </w:tc>
        <w:tc>
          <w:tcPr>
            <w:tcW w:w="1813" w:type="dxa"/>
            <w:tcBorders>
              <w:top w:val="single" w:color="auto" w:sz="4" w:space="0"/>
              <w:left w:val="single" w:color="auto" w:sz="4" w:space="0"/>
              <w:right w:val="single" w:color="auto" w:sz="4" w:space="0"/>
            </w:tcBorders>
          </w:tcPr>
          <w:p w14:paraId="2CEB5ED7">
            <w:pPr>
              <w:pStyle w:val="6"/>
              <w:jc w:val="both"/>
              <w:rPr>
                <w:rFonts w:hint="eastAsia"/>
                <w:vertAlign w:val="baseline"/>
                <w:lang w:eastAsia="zh-CN"/>
              </w:rPr>
            </w:pPr>
          </w:p>
        </w:tc>
      </w:tr>
      <w:tr w14:paraId="6F3387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49" w:type="dxa"/>
            <w:tcBorders>
              <w:top w:val="single" w:color="auto" w:sz="4" w:space="0"/>
              <w:left w:val="single" w:color="auto" w:sz="4" w:space="0"/>
              <w:right w:val="single" w:color="auto" w:sz="4" w:space="0"/>
            </w:tcBorders>
            <w:vAlign w:val="center"/>
          </w:tcPr>
          <w:p w14:paraId="466D1E20">
            <w:pPr>
              <w:pStyle w:val="6"/>
              <w:ind w:left="0" w:firstLine="0" w:firstLineChars="0"/>
              <w:jc w:val="both"/>
              <w:rPr>
                <w:rFonts w:hint="eastAsia"/>
                <w:vertAlign w:val="baseline"/>
                <w:lang w:val="en-US" w:eastAsia="zh-CN"/>
              </w:rPr>
            </w:pPr>
            <w:r>
              <w:rPr>
                <w:rFonts w:hint="eastAsia"/>
                <w:vertAlign w:val="baseline"/>
                <w:lang w:val="en-US" w:eastAsia="zh-CN"/>
              </w:rPr>
              <w:t xml:space="preserve">  3</w:t>
            </w:r>
          </w:p>
        </w:tc>
        <w:tc>
          <w:tcPr>
            <w:tcW w:w="1172" w:type="dxa"/>
            <w:tcBorders>
              <w:top w:val="single" w:color="auto" w:sz="4" w:space="0"/>
              <w:left w:val="single" w:color="auto" w:sz="4" w:space="0"/>
              <w:right w:val="single" w:color="auto" w:sz="4" w:space="0"/>
            </w:tcBorders>
          </w:tcPr>
          <w:p w14:paraId="7B0E3FF1">
            <w:pPr>
              <w:pStyle w:val="6"/>
              <w:ind w:left="0" w:firstLine="0" w:firstLineChars="0"/>
              <w:jc w:val="both"/>
              <w:rPr>
                <w:rFonts w:hint="eastAsia" w:eastAsia="仿宋_GB2312"/>
                <w:vertAlign w:val="baseline"/>
                <w:lang w:eastAsia="zh-CN"/>
              </w:rPr>
            </w:pPr>
            <w:r>
              <w:rPr>
                <w:vertAlign w:val="baseline"/>
                <w:lang w:eastAsia="zh-CN"/>
              </w:rPr>
              <w:t>赵  星</w:t>
            </w:r>
          </w:p>
        </w:tc>
        <w:tc>
          <w:tcPr>
            <w:tcW w:w="1856" w:type="dxa"/>
            <w:tcBorders>
              <w:top w:val="single" w:color="auto" w:sz="4" w:space="0"/>
              <w:left w:val="single" w:color="auto" w:sz="4" w:space="0"/>
              <w:right w:val="single" w:color="auto" w:sz="4" w:space="0"/>
            </w:tcBorders>
            <w:vAlign w:val="center"/>
          </w:tcPr>
          <w:p w14:paraId="0C566B23">
            <w:pPr>
              <w:pStyle w:val="6"/>
              <w:ind w:left="0" w:firstLine="0" w:firstLineChars="0"/>
              <w:jc w:val="center"/>
              <w:rPr>
                <w:rFonts w:hint="eastAsia"/>
                <w:vertAlign w:val="baseline"/>
                <w:lang w:eastAsia="zh-CN"/>
              </w:rPr>
            </w:pPr>
            <w:r>
              <w:rPr>
                <w:rFonts w:hint="eastAsia"/>
                <w:vertAlign w:val="baseline"/>
                <w:lang w:eastAsia="zh-CN"/>
              </w:rPr>
              <w:t>区委办</w:t>
            </w:r>
          </w:p>
        </w:tc>
        <w:tc>
          <w:tcPr>
            <w:tcW w:w="3071" w:type="dxa"/>
            <w:tcBorders>
              <w:top w:val="single" w:color="auto" w:sz="4" w:space="0"/>
              <w:left w:val="single" w:color="auto" w:sz="4" w:space="0"/>
              <w:right w:val="single" w:color="auto" w:sz="4" w:space="0"/>
            </w:tcBorders>
          </w:tcPr>
          <w:p w14:paraId="3F5A664A">
            <w:pPr>
              <w:pStyle w:val="6"/>
              <w:ind w:left="0" w:firstLine="300" w:firstLineChars="100"/>
              <w:jc w:val="both"/>
              <w:rPr>
                <w:rFonts w:hint="eastAsia"/>
                <w:vertAlign w:val="baseline"/>
                <w:lang w:eastAsia="zh-CN"/>
              </w:rPr>
            </w:pPr>
            <w:r>
              <w:rPr>
                <w:vertAlign w:val="baseline"/>
                <w:lang w:val="en-US" w:eastAsia="zh-CN"/>
              </w:rPr>
              <w:t>政策法规股股长</w:t>
            </w:r>
          </w:p>
        </w:tc>
        <w:tc>
          <w:tcPr>
            <w:tcW w:w="1813" w:type="dxa"/>
            <w:tcBorders>
              <w:top w:val="single" w:color="auto" w:sz="4" w:space="0"/>
              <w:left w:val="single" w:color="auto" w:sz="4" w:space="0"/>
              <w:right w:val="single" w:color="auto" w:sz="4" w:space="0"/>
            </w:tcBorders>
          </w:tcPr>
          <w:p w14:paraId="12BC7BE5">
            <w:pPr>
              <w:pStyle w:val="6"/>
              <w:jc w:val="both"/>
              <w:rPr>
                <w:rFonts w:hint="eastAsia"/>
                <w:vertAlign w:val="baseline"/>
                <w:lang w:eastAsia="zh-CN"/>
              </w:rPr>
            </w:pPr>
          </w:p>
        </w:tc>
      </w:tr>
    </w:tbl>
    <w:p w14:paraId="4FBA00F0">
      <w:pPr>
        <w:widowControl w:val="0"/>
        <w:wordWrap/>
        <w:spacing w:line="560" w:lineRule="exact"/>
        <w:ind w:left="0" w:right="0"/>
        <w:textAlignment w:val="auto"/>
        <w:outlineLvl w:val="9"/>
        <w:rPr>
          <w:rFonts w:ascii="仿宋" w:hAnsi="仿宋" w:eastAsia="仿宋"/>
          <w:lang w:val="en-US" w:eastAsia="zh-CN"/>
        </w:rPr>
      </w:pPr>
    </w:p>
    <w:p w14:paraId="66AEC1E4">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方正书宋_GBK">
    <w:altName w:val="宋体"/>
    <w:panose1 w:val="00000000000000000000"/>
    <w:charset w:val="00"/>
    <w:family w:val="auto"/>
    <w:pitch w:val="default"/>
    <w:sig w:usb0="00000000" w:usb1="00000000" w:usb2="00000000" w:usb3="00000000" w:csb0="00000000" w:csb1="00000000"/>
  </w:font>
  <w:font w:name="仿宋_GB2312">
    <w:altName w:val="仿宋"/>
    <w:panose1 w:val="02010609030101010101"/>
    <w:charset w:val="86"/>
    <w:family w:val="auto"/>
    <w:pitch w:val="default"/>
    <w:sig w:usb0="00000000" w:usb1="00000000" w:usb2="00000000" w:usb3="00000000" w:csb0="00040000" w:csb1="00000000"/>
  </w:font>
  <w:font w:name="方正仿宋_GBK">
    <w:altName w:val="宋体"/>
    <w:panose1 w:val="00000000000000000000"/>
    <w:charset w:val="00"/>
    <w:family w:val="auto"/>
    <w:pitch w:val="default"/>
    <w:sig w:usb0="00000000" w:usb1="00000000" w:usb2="00000000" w:usb3="00000000" w:csb0="00000000" w:csb1="00000000"/>
  </w:font>
  <w:font w:name="华文楷体">
    <w:altName w:val="微软雅黑"/>
    <w:panose1 w:val="02010600040101010101"/>
    <w:charset w:val="86"/>
    <w:family w:val="auto"/>
    <w:pitch w:val="default"/>
    <w:sig w:usb0="00000000" w:usb1="00000000" w:usb2="00000000" w:usb3="00000000" w:csb0="0004009F" w:csb1="DFD7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方正小标宋_GBK">
    <w:altName w:val="宋体"/>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4FD851">
    <w:pPr>
      <w:pStyle w:val="10"/>
    </w:pPr>
    <w:r>
      <mc:AlternateContent>
        <mc:Choice Requires="wps">
          <w:drawing>
            <wp:anchor distT="0" distB="0" distL="90805" distR="90805" simplePos="0" relativeHeight="251659264" behindDoc="0" locked="0" layoutInCell="1" allowOverlap="1">
              <wp:simplePos x="0" y="0"/>
              <wp:positionH relativeFrom="margin">
                <wp:align>center</wp:align>
              </wp:positionH>
              <wp:positionV relativeFrom="paragraph">
                <wp:posOffset>0</wp:posOffset>
              </wp:positionV>
              <wp:extent cx="209550" cy="162560"/>
              <wp:effectExtent l="0" t="0" r="0" b="0"/>
              <wp:wrapNone/>
              <wp:docPr id="1" name="Quad Arrow 3073"/>
              <wp:cNvGraphicFramePr/>
              <a:graphic xmlns:a="http://schemas.openxmlformats.org/drawingml/2006/main">
                <a:graphicData uri="http://schemas.microsoft.com/office/word/2010/wordprocessingShape">
                  <wps:wsp>
                    <wps:cNvSpPr/>
                    <wps:spPr>
                      <a:xfrm>
                        <a:off x="0" y="0"/>
                        <a:ext cx="209492" cy="162820"/>
                      </a:xfrm>
                      <a:prstGeom prst="rect">
                        <a:avLst/>
                      </a:prstGeom>
                      <a:noFill/>
                      <a:ln w="9525" cap="flat" cmpd="sng">
                        <a:noFill/>
                        <a:prstDash val="solid"/>
                        <a:miter/>
                      </a:ln>
                    </wps:spPr>
                    <wps:txbx>
                      <w:txbxContent>
                        <w:p w14:paraId="77A3D9D5">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vert="horz" wrap="none" lIns="0" tIns="0" rIns="0" bIns="0" anchor="t" anchorCtr="0" upright="1">
                      <a:spAutoFit/>
                    </wps:bodyPr>
                  </wps:wsp>
                </a:graphicData>
              </a:graphic>
            </wp:anchor>
          </w:drawing>
        </mc:Choice>
        <mc:Fallback>
          <w:pict>
            <v:rect id="Quad Arrow 3073" o:spid="_x0000_s1026" o:spt="1" style="position:absolute;left:0pt;margin-top:0pt;height:12.8pt;width:16.5pt;mso-position-horizontal:center;mso-position-horizontal-relative:margin;mso-wrap-style:none;z-index:251659264;mso-width-relative:page;mso-height-relative:page;" filled="f" stroked="f" coordsize="21600,21600" o:gfxdata="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">
              <v:fill on="f" focussize="0,0"/>
              <v:stroke on="f" joinstyle="miter"/>
              <v:imagedata o:title=""/>
              <o:lock v:ext="edit" aspectratio="f"/>
              <v:textbox inset="0mm,0mm,0mm,0mm" style="mso-fit-shape-to-text:t;">
                <w:txbxContent>
                  <w:p w14:paraId="77A3D9D5">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rect>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CD633B7"/>
    <w:multiLevelType w:val="singleLevel"/>
    <w:tmpl w:val="8CD633B7"/>
    <w:lvl w:ilvl="0" w:tentative="0">
      <w:start w:val="2"/>
      <w:numFmt w:val="chineseCounting"/>
      <w:suff w:val="nothing"/>
      <w:lvlText w:val="（%1）"/>
      <w:lvlJc w:val="left"/>
      <w:pPr>
        <w:ind w:left="0" w:firstLine="0"/>
      </w:pPr>
      <w:rPr>
        <w:rFonts w:hint="eastAsia"/>
      </w:rPr>
    </w:lvl>
  </w:abstractNum>
  <w:abstractNum w:abstractNumId="1">
    <w:nsid w:val="5E68489B"/>
    <w:multiLevelType w:val="singleLevel"/>
    <w:tmpl w:val="5E68489B"/>
    <w:lvl w:ilvl="0" w:tentative="0">
      <w:start w:val="1"/>
      <w:numFmt w:val="chineseCounting"/>
      <w:suff w:val="nothing"/>
      <w:lvlText w:val="（%1）"/>
      <w:lvlJc w:val="left"/>
      <w:pPr>
        <w:ind w:left="0" w:firstLine="0"/>
      </w:pPr>
      <w:rPr>
        <w:rFonts w:hint="default" w:ascii="楷体" w:hAnsi="楷体" w:eastAsia="楷体"/>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1"/>
  <w:bordersDoNotSurroundFooter w:val="1"/>
  <w:documentProtection w:edit="readOnly"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xMzVhZTBlNDUyZWUxNDVhMjNkN2E1NjFlOTE5NDcifQ=="/>
  </w:docVars>
  <w:rsids>
    <w:rsidRoot w:val="00000000"/>
    <w:rsid w:val="042D61BF"/>
    <w:rsid w:val="5F97635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Arial"/>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qFormat="1" w:unhideWhenUsed="0" w:uiPriority="0" w:semiHidden="0" w:name="index 5"/>
    <w:lsdException w:qFormat="1" w:unhideWhenUsed="0" w:uiPriority="0" w:semiHidden="0" w:name="index 6"/>
    <w:lsdException w:unhideWhenUsed="0" w:uiPriority="0" w:semiHidden="0" w:name="index 7"/>
    <w:lsdException w:qFormat="1" w:unhideWhenUsed="0" w:uiPriority="0" w:semiHidden="0" w:name="index 8"/>
    <w:lsdException w:qFormat="1"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黑体"/>
      <w:kern w:val="2"/>
      <w:sz w:val="21"/>
      <w:szCs w:val="22"/>
      <w:lang w:val="en-US" w:eastAsia="zh-CN" w:bidi="ar-SA"/>
    </w:rPr>
  </w:style>
  <w:style w:type="paragraph" w:styleId="2">
    <w:name w:val="heading 1"/>
    <w:basedOn w:val="1"/>
    <w:next w:val="1"/>
    <w:qFormat/>
    <w:uiPriority w:val="0"/>
    <w:pPr>
      <w:keepNext/>
      <w:keepLines/>
      <w:widowControl w:val="0"/>
      <w:spacing w:before="340" w:after="330" w:line="578" w:lineRule="auto"/>
      <w:outlineLvl w:val="0"/>
    </w:pPr>
    <w:rPr>
      <w:b/>
      <w:bCs/>
      <w:kern w:val="44"/>
      <w:sz w:val="44"/>
      <w:szCs w:val="44"/>
    </w:rPr>
  </w:style>
  <w:style w:type="paragraph" w:styleId="3">
    <w:name w:val="heading 2"/>
    <w:basedOn w:val="1"/>
    <w:next w:val="1"/>
    <w:uiPriority w:val="0"/>
    <w:pPr>
      <w:keepNext/>
      <w:keepLines/>
      <w:widowControl w:val="0"/>
      <w:spacing w:before="260" w:after="260" w:line="415" w:lineRule="auto"/>
      <w:outlineLvl w:val="1"/>
    </w:pPr>
    <w:rPr>
      <w:rFonts w:ascii="Times New Roman" w:hAnsi="Times New Roman" w:eastAsia="黑体"/>
      <w:b/>
      <w:bCs/>
      <w:sz w:val="32"/>
      <w:szCs w:val="32"/>
    </w:rPr>
  </w:style>
  <w:style w:type="paragraph" w:styleId="4">
    <w:name w:val="heading 3"/>
    <w:basedOn w:val="1"/>
    <w:next w:val="1"/>
    <w:qFormat/>
    <w:uiPriority w:val="0"/>
    <w:pPr>
      <w:keepNext/>
      <w:keepLines/>
      <w:widowControl w:val="0"/>
      <w:spacing w:before="260" w:after="260" w:line="415" w:lineRule="auto"/>
      <w:outlineLvl w:val="2"/>
    </w:pPr>
    <w:rPr>
      <w:b/>
      <w:bCs/>
      <w:sz w:val="32"/>
      <w:szCs w:val="32"/>
    </w:rPr>
  </w:style>
  <w:style w:type="character" w:default="1" w:styleId="14">
    <w:name w:val="Default Paragraph Font"/>
    <w:uiPriority w:val="0"/>
  </w:style>
  <w:style w:type="table" w:default="1" w:styleId="13">
    <w:name w:val="Normal Table"/>
    <w:semiHidden/>
    <w:qFormat/>
    <w:uiPriority w:val="0"/>
    <w:tblPr>
      <w:tblCellMar>
        <w:top w:w="0" w:type="dxa"/>
        <w:left w:w="108" w:type="dxa"/>
        <w:bottom w:w="0" w:type="dxa"/>
        <w:right w:w="108" w:type="dxa"/>
      </w:tblCellMar>
    </w:tblPr>
  </w:style>
  <w:style w:type="paragraph" w:styleId="5">
    <w:name w:val="index 8"/>
    <w:basedOn w:val="1"/>
    <w:next w:val="1"/>
    <w:autoRedefine/>
    <w:qFormat/>
    <w:uiPriority w:val="0"/>
    <w:pPr>
      <w:ind w:left="2940"/>
    </w:pPr>
  </w:style>
  <w:style w:type="paragraph" w:styleId="6">
    <w:name w:val="Normal Indent"/>
    <w:basedOn w:val="1"/>
    <w:next w:val="7"/>
    <w:qFormat/>
    <w:uiPriority w:val="0"/>
    <w:pPr>
      <w:widowControl w:val="0"/>
      <w:ind w:firstLine="200" w:firstLineChars="200"/>
      <w:jc w:val="both"/>
    </w:pPr>
    <w:rPr>
      <w:rFonts w:ascii="Calibri" w:hAnsi="Calibri" w:eastAsia="仿宋_GB2312" w:cs="黑体"/>
      <w:kern w:val="2"/>
      <w:sz w:val="30"/>
      <w:szCs w:val="22"/>
      <w:lang w:val="en-US" w:eastAsia="zh-CN" w:bidi="ar-SA"/>
    </w:rPr>
  </w:style>
  <w:style w:type="paragraph" w:styleId="7">
    <w:name w:val="header"/>
    <w:basedOn w:val="1"/>
    <w:uiPriority w:val="0"/>
    <w:pPr>
      <w:pBdr>
        <w:top w:val="none" w:color="auto" w:sz="0" w:space="0"/>
        <w:left w:val="none" w:color="auto" w:sz="0" w:space="0"/>
        <w:bottom w:val="none" w:color="auto" w:sz="0" w:space="0"/>
        <w:right w:val="none" w:color="auto" w:sz="0" w:space="0"/>
      </w:pBdr>
      <w:tabs>
        <w:tab w:val="center" w:pos="4153"/>
        <w:tab w:val="right" w:pos="8306"/>
      </w:tabs>
      <w:snapToGrid w:val="0"/>
    </w:pPr>
    <w:rPr>
      <w:rFonts w:ascii="Times New Roman" w:hAnsi="Times New Roman"/>
      <w:sz w:val="18"/>
    </w:rPr>
  </w:style>
  <w:style w:type="paragraph" w:styleId="8">
    <w:name w:val="index 5"/>
    <w:basedOn w:val="1"/>
    <w:next w:val="1"/>
    <w:autoRedefine/>
    <w:qFormat/>
    <w:uiPriority w:val="0"/>
    <w:pPr>
      <w:ind w:left="1680"/>
    </w:pPr>
  </w:style>
  <w:style w:type="paragraph" w:styleId="9">
    <w:name w:val="index 6"/>
    <w:basedOn w:val="1"/>
    <w:next w:val="1"/>
    <w:autoRedefine/>
    <w:qFormat/>
    <w:uiPriority w:val="0"/>
    <w:pPr>
      <w:ind w:left="2100"/>
    </w:pPr>
  </w:style>
  <w:style w:type="paragraph" w:styleId="10">
    <w:name w:val="footer"/>
    <w:basedOn w:val="1"/>
    <w:qFormat/>
    <w:uiPriority w:val="0"/>
    <w:pPr>
      <w:tabs>
        <w:tab w:val="center" w:pos="4153"/>
        <w:tab w:val="right" w:pos="8306"/>
      </w:tabs>
      <w:snapToGrid w:val="0"/>
      <w:jc w:val="left"/>
    </w:pPr>
    <w:rPr>
      <w:sz w:val="18"/>
    </w:rPr>
  </w:style>
  <w:style w:type="paragraph" w:styleId="11">
    <w:name w:val="toc 1"/>
    <w:basedOn w:val="1"/>
    <w:next w:val="1"/>
    <w:autoRedefine/>
    <w:uiPriority w:val="0"/>
  </w:style>
  <w:style w:type="paragraph" w:styleId="12">
    <w:name w:val="index 9"/>
    <w:basedOn w:val="1"/>
    <w:next w:val="1"/>
    <w:autoRedefine/>
    <w:qFormat/>
    <w:uiPriority w:val="0"/>
    <w:pPr>
      <w:ind w:left="3360"/>
    </w:pPr>
  </w:style>
  <w:style w:type="paragraph" w:customStyle="1" w:styleId="15">
    <w:name w:val="单元格样式1"/>
    <w:basedOn w:val="1"/>
    <w:qFormat/>
    <w:uiPriority w:val="0"/>
    <w:pPr>
      <w:widowControl w:val="0"/>
      <w:jc w:val="center"/>
    </w:pPr>
    <w:rPr>
      <w:rFonts w:ascii="方正书宋_GBK" w:hAnsi="方正书宋_GBK" w:eastAsia="方正书宋_GBK" w:cs="方正书宋_GBK"/>
      <w:b/>
      <w:kern w:val="2"/>
      <w:sz w:val="21"/>
      <w:szCs w:val="22"/>
      <w:lang w:val="en-US" w:eastAsia="zh-CN" w:bidi="ar-SA"/>
    </w:rPr>
  </w:style>
  <w:style w:type="paragraph" w:customStyle="1" w:styleId="16">
    <w:name w:val="单元格样式2"/>
    <w:basedOn w:val="1"/>
    <w:uiPriority w:val="0"/>
    <w:pPr>
      <w:widowControl w:val="0"/>
      <w:jc w:val="both"/>
    </w:pPr>
    <w:rPr>
      <w:rFonts w:ascii="方正书宋_GBK" w:hAnsi="方正书宋_GBK" w:eastAsia="方正书宋_GBK" w:cs="方正书宋_GBK"/>
      <w:kern w:val="2"/>
      <w:sz w:val="21"/>
      <w:szCs w:val="22"/>
      <w:lang w:val="en-US" w:eastAsia="zh-CN" w:bidi="ar-SA"/>
    </w:rPr>
  </w:style>
  <w:style w:type="paragraph" w:customStyle="1" w:styleId="17">
    <w:name w:val="单元格样式3"/>
    <w:basedOn w:val="1"/>
    <w:uiPriority w:val="0"/>
    <w:pPr>
      <w:widowControl w:val="0"/>
      <w:jc w:val="center"/>
    </w:pPr>
    <w:rPr>
      <w:rFonts w:ascii="方正书宋_GBK" w:hAnsi="方正书宋_GBK" w:eastAsia="方正书宋_GBK" w:cs="方正书宋_GBK"/>
      <w:kern w:val="2"/>
      <w:sz w:val="21"/>
      <w:szCs w:val="22"/>
      <w:lang w:val="en-US" w:eastAsia="zh-CN" w:bidi="ar-SA"/>
    </w:rPr>
  </w:style>
  <w:style w:type="paragraph" w:customStyle="1" w:styleId="18">
    <w:name w:val="插入文本样式-插入总体目标文件"/>
    <w:basedOn w:val="1"/>
    <w:qFormat/>
    <w:uiPriority w:val="0"/>
    <w:pPr>
      <w:widowControl w:val="0"/>
      <w:spacing w:line="500" w:lineRule="exact"/>
      <w:ind w:firstLine="560"/>
      <w:jc w:val="both"/>
    </w:pPr>
    <w:rPr>
      <w:rFonts w:ascii="Calibri" w:hAnsi="Calibri" w:eastAsia="方正仿宋_GBK" w:cs="黑体"/>
      <w:kern w:val="2"/>
      <w:sz w:val="28"/>
      <w:szCs w:val="22"/>
      <w:lang w:val="en-US" w:eastAsia="zh-CN" w:bidi="ar-SA"/>
    </w:rPr>
  </w:style>
  <w:style w:type="paragraph" w:customStyle="1" w:styleId="19">
    <w:name w:val="插入文本样式-插入职责分类绩效目标文件"/>
    <w:basedOn w:val="1"/>
    <w:uiPriority w:val="0"/>
    <w:pPr>
      <w:widowControl w:val="0"/>
      <w:spacing w:line="500" w:lineRule="exact"/>
      <w:ind w:firstLine="560"/>
      <w:jc w:val="both"/>
    </w:pPr>
    <w:rPr>
      <w:rFonts w:ascii="Calibri" w:hAnsi="Calibri" w:eastAsia="方正仿宋_GBK" w:cs="黑体"/>
      <w:kern w:val="2"/>
      <w:sz w:val="28"/>
      <w:szCs w:val="22"/>
      <w:lang w:val="en-US" w:eastAsia="zh-CN"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2.xml><?xml version="1.0" encoding="utf-8"?>
<customData xmlns="http://www.yozosoft.com.cn/officeDocument/2016/customData">
  <customProps>
    <docPr revisions="3 0 5 0 0 0 1 0 0 0 3000 0 1 1 1 1"/>
    <sectPr/>
  </customProps>
</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5C06537-FAA0-475D-82E8-73A19D258C88}">
  <ds:schemaRefs/>
</ds:datastoreItem>
</file>

<file path=docProps/app.xml><?xml version="1.0" encoding="utf-8"?>
<Properties xmlns="http://schemas.openxmlformats.org/officeDocument/2006/extended-properties" xmlns:vt="http://schemas.openxmlformats.org/officeDocument/2006/docPropsVTypes">
  <Template>Normal.eit</Template>
  <Pages>9</Pages>
  <Words>4458</Words>
  <Characters>4615</Characters>
  <Lines>0</Lines>
  <Paragraphs>93</Paragraphs>
  <TotalTime>115</TotalTime>
  <ScaleCrop>false</ScaleCrop>
  <LinksUpToDate>false</LinksUpToDate>
  <CharactersWithSpaces>4669</CharactersWithSpaces>
  <Application>WPS Office_12.1.0.22529_F1E327BC-269C-435d-A152-05C5408002CA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CZJ</cp:lastModifiedBy>
  <cp:lastPrinted>2024-03-06T07:40:00Z</cp:lastPrinted>
  <dcterms:modified xsi:type="dcterms:W3CDTF">2025-10-11T08:42:13Z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D326253575744EC5B895C99D14204278_13</vt:lpwstr>
  </property>
  <property fmtid="{D5CDD505-2E9C-101B-9397-08002B2CF9AE}" pid="4" name="KSOTemplateDocerSaveRecord">
    <vt:lpwstr>eyJoZGlkIjoiZjczMDZkNDRiZDdhZjExNTAyZWE2ZWI4OGU2YzBiY2EifQ==</vt:lpwstr>
  </property>
</Properties>
</file>