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BE7F24">
      <w:pPr>
        <w:ind w:left="0" w:leftChars="0" w:right="0" w:rightChars="0" w:firstLine="0" w:firstLineChars="0"/>
        <w:jc w:val="center"/>
        <w:rPr>
          <w:rFonts w:hint="eastAsia"/>
          <w:sz w:val="44"/>
          <w:szCs w:val="44"/>
          <w:lang w:eastAsia="zh-CN"/>
        </w:rPr>
      </w:pPr>
      <w:bookmarkStart w:id="0" w:name="_GoBack"/>
      <w:bookmarkEnd w:id="0"/>
    </w:p>
    <w:p w14:paraId="0614239B">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中共石家庄市井陉矿区委政法委员会</w:t>
      </w:r>
    </w:p>
    <w:p w14:paraId="7C3714A5">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669D3A91">
      <w:pPr>
        <w:spacing w:line="560" w:lineRule="exact"/>
        <w:jc w:val="center"/>
        <w:rPr>
          <w:rFonts w:ascii="华文楷体" w:eastAsia="华文楷体"/>
          <w:sz w:val="32"/>
          <w:szCs w:val="32"/>
        </w:rPr>
      </w:pPr>
    </w:p>
    <w:p w14:paraId="6E30734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eastAsia="zh-CN"/>
        </w:rPr>
        <w:t>区委政法委</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10B01822">
      <w:pPr>
        <w:numPr>
          <w:ilvl w:val="0"/>
          <w:numId w:val="0"/>
        </w:numPr>
        <w:ind w:right="0" w:rightChars="0" w:firstLine="640" w:firstLineChars="200"/>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一、部门基本情况</w:t>
      </w:r>
    </w:p>
    <w:p w14:paraId="629F4541">
      <w:pPr>
        <w:numPr>
          <w:ilvl w:val="0"/>
          <w:numId w:val="0"/>
        </w:numPr>
        <w:ind w:right="0" w:rightChars="0" w:firstLine="64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（一）部门概况</w:t>
      </w:r>
    </w:p>
    <w:p w14:paraId="0A4CFD53">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根据《中共矿区委政法委员会职能配置、内设机构和人员编制规定》， 中共矿区委政法委员会的主要职责是：</w:t>
      </w:r>
    </w:p>
    <w:p w14:paraId="2570BA9B">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深入贯彻习近平新时代中国特色社会主义思想，坚持党对政法工作的绝对领导，坚决维护习近平总书记在党中央的核心、全党的核心地位，坚决维护党中央权威和集中统一领导，深入贯彻党的路线方针政策和中央、省委、市委、区委的决策部署，统一全区政法单位思想和行动，确保政法单位坚定正确的政治方向。根据上级要求，结合矿区实际，统一政法各部门的思想行动，制定全年目标工作，召开全区政法工作会议，总结上年度工作，安排部署全年工作，明确政法各部门全年重点工作。加大督导检查力度，确保各项目标工作完成。</w:t>
      </w:r>
    </w:p>
    <w:p w14:paraId="41E472CA">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强化党委对政法工作的领导，把握政法工作方向。深入研究经济社会深刻变化以及司法体制改革不断推进给政法工作带来的新情况新问题，加强对事关长远的全局性、战略性、前瞻性重大问题的研究和谋划，不断提高政法工作科学化水平。强化党建工作，提升政法队伍素质。坚持以党建带队建，充分发挥思想政治工作优势，及时研究解决苗头性倾向性问题，切实把握好思想动向、改革导向、办案方向，确保上级路线方针政策和重大决策部署在政法各单位得到贯彻落实。强化政法队伍凝聚力，坚持从优待警。在思想政治上更加关心、工作生活上更加关爱，努力用事业激励警心、用关爱温暖警心，不断增强政法队伍的凝聚力。</w:t>
      </w:r>
    </w:p>
    <w:p w14:paraId="0A61D647">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3.了解掌握和分析研判政法工作情况动态，分析社会稳定形势，创新完善多部门参与的综治维稳工作机制，协调推动预防、化解影响稳定的社会矛盾和风险，协调应对和处置重大突发事件。</w:t>
      </w:r>
    </w:p>
    <w:p w14:paraId="45F860EE">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4.掌握全区社会治安状况和综合治理情况。督导相关单位落实立体化社会治安防控体系、重点人群服务管理、整治社会治安混乱地区和突出治安问题等综合治理相关工作。</w:t>
      </w:r>
    </w:p>
    <w:p w14:paraId="20055A70">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维护社会稳定，依法做好社会矛盾纠纷排查化解协调工作，有效预防矛盾升级。依法做好信访工作。认真落实中政委关于涉法涉诉信访改革的政策文件，深入开展“涉法涉诉信访攻坚”活动，切实维护正常的信访秩序。督导有关单位依法做好社会稳定风险评估工作，努力做到“应评尽评”，真正从源头上预防和化解社会矛盾。高度重视反恐怖工作，督导有关单位毫不放松地抓好反恐怖反分裂斗争，深化严打暴恐活动专项行动。</w:t>
      </w:r>
    </w:p>
    <w:p w14:paraId="396D9D0A">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6.开展防范邪教工作，督导有关地区、单位按照“属地管理”的原则，严格实行防控责任制。督促有关单位加强辖区内公共场所的巡查，及时发现、清除“法轮功”反宣品，防止发生有影响的反宣事件。</w:t>
      </w:r>
    </w:p>
    <w:p w14:paraId="60BDEAEE">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7.加强防范邪教教育转化队伍培训，定期对基层一线帮教干部、社会志愿者进行专题业务培训，不断提高“攻坚破壳”水平和巩固帮教能力。</w:t>
      </w:r>
    </w:p>
    <w:p w14:paraId="14CCFC68">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有效利用公共安全视频监控系统，广泛动员社会资源，增加监控密度，进一步扩大视频监控系统覆盖面；依托大情报、大数据平台，完善对社会治安形势的分析研判、风险预警，提升公共安全管理的智能化水平。</w:t>
      </w:r>
    </w:p>
    <w:p w14:paraId="42C2BEB3">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整治社会治安混乱地区和突出治安问题。督导对城乡结合部、城中村等重点地区、重点场所、重点部位和歌舞娱乐、洗浴桑拿、电子游艺、废旧回收等易引发违法犯罪的特殊行业的治安管理，坚持经常性指导检查、常态化规范整治。</w:t>
      </w:r>
    </w:p>
    <w:p w14:paraId="714E6054">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10.掌握网上斗争主动权，建立和完善全区“互联网信息监管指挥平台”，落实互联网管理责任，明确相关企业、机构和信息发布者等主体责任及权责关系。</w:t>
      </w:r>
    </w:p>
    <w:p w14:paraId="0EF7F5C2">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11.深入开展“无邪教创建”活动，依法打击“法轮功”、“全能神”等邪教组织活动。广泛开展反邪教宣传，突出抓好“十个一”建设和“十进”活动，严防发生非法聚集活动，坚决防止发生重大政治性事件。</w:t>
      </w:r>
    </w:p>
    <w:p w14:paraId="7AC53D4B">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12、完成政法四级网、视频加密、政法网运行维护、综治信息上伟录入、城乡视频监控点建设、新建综治视频监控及综合业务管理、司法救助、治安保险等工作。</w:t>
      </w:r>
    </w:p>
    <w:p w14:paraId="2D61EFE3">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13.深入推进扫黑除恶专项斗争，组织开展宣传动员、线索摸排、案件侦破、彻挖清除保护伞,建立扫黑除恶长效机制。</w:t>
      </w:r>
    </w:p>
    <w:p w14:paraId="2BAC783F">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14.创新发展新时期枫桥经验，深入开展“网格化管理”工作，加强网格员队伍培训，提升网格员准确全面收集“9+X”信息、排查化解问题、化解稳定风险和服务群众的能力。</w:t>
      </w:r>
    </w:p>
    <w:p w14:paraId="30B60096">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 xml:space="preserve">15.完成上级安排的临时性工作。  </w:t>
      </w:r>
    </w:p>
    <w:p w14:paraId="628FDBB2">
      <w:pPr>
        <w:numPr>
          <w:ilvl w:val="0"/>
          <w:numId w:val="0"/>
        </w:numPr>
        <w:ind w:right="0" w:rightChars="0" w:firstLine="64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区委政法委内设机构为：办公室、综治督导科、维稳指导科、执法监督科、政治建设科。区委政法委机关行政编制10名，在职在编人员10名，退休人员2名；股级事业单位编制4名，在职在编人员1名。</w:t>
      </w:r>
    </w:p>
    <w:p w14:paraId="064DC676">
      <w:pPr>
        <w:numPr>
          <w:ilvl w:val="0"/>
          <w:numId w:val="0"/>
        </w:numPr>
        <w:ind w:right="0" w:rightChars="0" w:firstLine="64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区委政法委2024年度资产</w:t>
      </w:r>
      <w:r>
        <w:rPr>
          <w:rFonts w:hint="eastAsia" w:ascii="仿宋_GB2312" w:hAnsi="仿宋_GB2312" w:eastAsia="仿宋_GB2312" w:cs="仿宋_GB2312"/>
          <w:sz w:val="32"/>
          <w:szCs w:val="32"/>
        </w:rPr>
        <w:t>总额（账面净值）</w:t>
      </w:r>
      <w:r>
        <w:rPr>
          <w:rFonts w:hint="eastAsia" w:ascii="仿宋_GB2312" w:hAnsi="仿宋_GB2312" w:eastAsia="仿宋_GB2312" w:cs="仿宋_GB2312"/>
          <w:sz w:val="32"/>
          <w:szCs w:val="32"/>
          <w:lang w:val="en-US" w:eastAsia="zh-CN"/>
        </w:rPr>
        <w:t>7.62</w:t>
      </w:r>
      <w:r>
        <w:rPr>
          <w:rFonts w:hint="eastAsia" w:ascii="仿宋_GB2312" w:hAnsi="仿宋_GB2312" w:eastAsia="仿宋_GB2312" w:cs="仿宋_GB2312"/>
          <w:sz w:val="32"/>
          <w:szCs w:val="32"/>
        </w:rPr>
        <w:t>万元，负债总额</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净资产</w:t>
      </w:r>
      <w:r>
        <w:rPr>
          <w:rFonts w:hint="eastAsia" w:ascii="仿宋_GB2312" w:hAnsi="仿宋_GB2312" w:eastAsia="仿宋_GB2312" w:cs="仿宋_GB2312"/>
          <w:sz w:val="32"/>
          <w:szCs w:val="32"/>
          <w:lang w:val="en-US" w:eastAsia="zh-CN"/>
        </w:rPr>
        <w:t>7.62</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固定资产净值</w:t>
      </w:r>
      <w:r>
        <w:rPr>
          <w:rFonts w:hint="eastAsia" w:ascii="仿宋_GB2312" w:hAnsi="仿宋_GB2312" w:eastAsia="仿宋_GB2312" w:cs="仿宋_GB2312"/>
          <w:sz w:val="32"/>
          <w:szCs w:val="32"/>
          <w:lang w:val="en-US" w:eastAsia="zh-CN"/>
        </w:rPr>
        <w:t>7.62万元，其中通用设备4.25万元，家具、用具、装具及动植物3.37万元。</w:t>
      </w:r>
    </w:p>
    <w:p w14:paraId="02E574DC">
      <w:pPr>
        <w:numPr>
          <w:ilvl w:val="0"/>
          <w:numId w:val="1"/>
        </w:numPr>
        <w:ind w:right="0" w:rightChars="0" w:firstLine="64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部门收支预决算情况</w:t>
      </w:r>
    </w:p>
    <w:p w14:paraId="1B96FB98">
      <w:pPr>
        <w:numPr>
          <w:ilvl w:val="0"/>
          <w:numId w:val="0"/>
        </w:numPr>
        <w:ind w:right="0" w:rightChars="0" w:firstLine="640" w:firstLineChars="200"/>
        <w:jc w:val="both"/>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区委政法委2024年度预算收入423.89</w:t>
      </w:r>
      <w:r>
        <w:rPr>
          <w:rFonts w:hint="eastAsia" w:ascii="仿宋_GB2312" w:hAnsi="仿宋_GB2312" w:eastAsia="仿宋_GB2312" w:cs="仿宋_GB2312"/>
          <w:color w:val="auto"/>
          <w:sz w:val="32"/>
          <w:szCs w:val="32"/>
        </w:rPr>
        <w:t>万元，其中：一般公共预算收入</w:t>
      </w:r>
      <w:r>
        <w:rPr>
          <w:rFonts w:hint="eastAsia" w:ascii="仿宋_GB2312" w:hAnsi="仿宋_GB2312" w:eastAsia="仿宋_GB2312" w:cs="仿宋_GB2312"/>
          <w:color w:val="auto"/>
          <w:sz w:val="32"/>
          <w:szCs w:val="32"/>
          <w:lang w:val="en-US" w:eastAsia="zh-CN"/>
        </w:rPr>
        <w:t>423.89</w:t>
      </w:r>
      <w:r>
        <w:rPr>
          <w:rFonts w:hint="eastAsia" w:ascii="仿宋_GB2312" w:hAnsi="仿宋_GB2312" w:eastAsia="仿宋_GB2312" w:cs="仿宋_GB2312"/>
          <w:color w:val="auto"/>
          <w:sz w:val="32"/>
          <w:szCs w:val="32"/>
        </w:rPr>
        <w:t>万元，财政专户核拨资金0万元，政府性基金预算拨款0万元，国有资本经营预算收入0万元，事业收入0万元，其他收入</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万元。</w:t>
      </w:r>
    </w:p>
    <w:p w14:paraId="0CB74F08">
      <w:pPr>
        <w:numPr>
          <w:ilvl w:val="0"/>
          <w:numId w:val="0"/>
        </w:numPr>
        <w:ind w:right="0" w:rightChars="0" w:firstLine="640" w:firstLineChars="200"/>
        <w:jc w:val="both"/>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202</w:t>
      </w: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年支出预算</w:t>
      </w:r>
      <w:r>
        <w:rPr>
          <w:rFonts w:hint="eastAsia" w:ascii="仿宋_GB2312" w:hAnsi="仿宋_GB2312" w:eastAsia="仿宋_GB2312" w:cs="仿宋_GB2312"/>
          <w:color w:val="auto"/>
          <w:sz w:val="32"/>
          <w:szCs w:val="32"/>
          <w:lang w:val="en-US" w:eastAsia="zh-CN"/>
        </w:rPr>
        <w:t>423.89</w:t>
      </w:r>
      <w:r>
        <w:rPr>
          <w:rFonts w:hint="eastAsia" w:ascii="仿宋_GB2312" w:hAnsi="仿宋_GB2312" w:eastAsia="仿宋_GB2312" w:cs="仿宋_GB2312"/>
          <w:color w:val="auto"/>
          <w:sz w:val="32"/>
          <w:szCs w:val="32"/>
        </w:rPr>
        <w:t>万元，其中基本支出</w:t>
      </w:r>
      <w:r>
        <w:rPr>
          <w:rFonts w:hint="eastAsia" w:ascii="仿宋_GB2312" w:hAnsi="仿宋_GB2312" w:eastAsia="仿宋_GB2312" w:cs="仿宋_GB2312"/>
          <w:color w:val="auto"/>
          <w:sz w:val="32"/>
          <w:szCs w:val="32"/>
          <w:lang w:val="en-US" w:eastAsia="zh-CN"/>
        </w:rPr>
        <w:t>198.1</w:t>
      </w:r>
      <w:r>
        <w:rPr>
          <w:rFonts w:hint="eastAsia" w:ascii="仿宋_GB2312" w:hAnsi="仿宋_GB2312" w:eastAsia="仿宋_GB2312" w:cs="仿宋_GB2312"/>
          <w:color w:val="auto"/>
          <w:sz w:val="32"/>
          <w:szCs w:val="32"/>
        </w:rPr>
        <w:t>万元，包括人员经费</w:t>
      </w:r>
      <w:r>
        <w:rPr>
          <w:rFonts w:hint="eastAsia" w:ascii="仿宋_GB2312" w:hAnsi="仿宋_GB2312" w:eastAsia="仿宋_GB2312" w:cs="仿宋_GB2312"/>
          <w:color w:val="auto"/>
          <w:sz w:val="32"/>
          <w:szCs w:val="32"/>
          <w:lang w:val="en-US" w:eastAsia="zh-CN"/>
        </w:rPr>
        <w:t>185.66</w:t>
      </w:r>
      <w:r>
        <w:rPr>
          <w:rFonts w:hint="eastAsia" w:ascii="仿宋_GB2312" w:hAnsi="仿宋_GB2312" w:eastAsia="仿宋_GB2312" w:cs="仿宋_GB2312"/>
          <w:color w:val="auto"/>
          <w:sz w:val="32"/>
          <w:szCs w:val="32"/>
        </w:rPr>
        <w:t>万元和日常公用经费</w:t>
      </w:r>
      <w:r>
        <w:rPr>
          <w:rFonts w:hint="eastAsia" w:ascii="仿宋_GB2312" w:hAnsi="仿宋_GB2312" w:eastAsia="仿宋_GB2312" w:cs="仿宋_GB2312"/>
          <w:color w:val="auto"/>
          <w:sz w:val="32"/>
          <w:szCs w:val="32"/>
          <w:lang w:val="en-US" w:eastAsia="zh-CN"/>
        </w:rPr>
        <w:t>12.44</w:t>
      </w:r>
      <w:r>
        <w:rPr>
          <w:rFonts w:hint="eastAsia" w:ascii="仿宋_GB2312" w:hAnsi="仿宋_GB2312" w:eastAsia="仿宋_GB2312" w:cs="仿宋_GB2312"/>
          <w:color w:val="auto"/>
          <w:sz w:val="32"/>
          <w:szCs w:val="32"/>
        </w:rPr>
        <w:t>万元；项目支出</w:t>
      </w:r>
      <w:r>
        <w:rPr>
          <w:rFonts w:hint="eastAsia" w:ascii="仿宋_GB2312" w:hAnsi="仿宋_GB2312" w:eastAsia="仿宋_GB2312" w:cs="仿宋_GB2312"/>
          <w:color w:val="auto"/>
          <w:sz w:val="32"/>
          <w:szCs w:val="32"/>
          <w:lang w:val="en-US" w:eastAsia="zh-CN"/>
        </w:rPr>
        <w:t>225.79</w:t>
      </w:r>
      <w:r>
        <w:rPr>
          <w:rFonts w:hint="eastAsia" w:ascii="仿宋_GB2312" w:hAnsi="仿宋_GB2312" w:eastAsia="仿宋_GB2312" w:cs="仿宋_GB2312"/>
          <w:color w:val="auto"/>
          <w:sz w:val="32"/>
          <w:szCs w:val="32"/>
        </w:rPr>
        <w:t>万元。</w:t>
      </w:r>
    </w:p>
    <w:p w14:paraId="23982529">
      <w:pPr>
        <w:numPr>
          <w:ilvl w:val="0"/>
          <w:numId w:val="0"/>
        </w:numPr>
        <w:ind w:right="0" w:rightChars="0" w:firstLine="640" w:firstLineChars="200"/>
        <w:jc w:val="both"/>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区委政法委2024年度决算收入235.25</w:t>
      </w:r>
      <w:r>
        <w:rPr>
          <w:rFonts w:hint="eastAsia" w:ascii="仿宋_GB2312" w:hAnsi="仿宋_GB2312" w:eastAsia="仿宋_GB2312" w:cs="仿宋_GB2312"/>
          <w:color w:val="auto"/>
          <w:sz w:val="32"/>
          <w:szCs w:val="32"/>
        </w:rPr>
        <w:t>万元，其中：一般公共预算收入</w:t>
      </w:r>
      <w:r>
        <w:rPr>
          <w:rFonts w:hint="eastAsia" w:ascii="仿宋_GB2312" w:hAnsi="仿宋_GB2312" w:eastAsia="仿宋_GB2312" w:cs="仿宋_GB2312"/>
          <w:color w:val="auto"/>
          <w:sz w:val="32"/>
          <w:szCs w:val="32"/>
          <w:lang w:val="en-US" w:eastAsia="zh-CN"/>
        </w:rPr>
        <w:t>235.25</w:t>
      </w:r>
      <w:r>
        <w:rPr>
          <w:rFonts w:hint="eastAsia" w:ascii="仿宋_GB2312" w:hAnsi="仿宋_GB2312" w:eastAsia="仿宋_GB2312" w:cs="仿宋_GB2312"/>
          <w:color w:val="auto"/>
          <w:sz w:val="32"/>
          <w:szCs w:val="32"/>
        </w:rPr>
        <w:t>万元，财政专户核拨资金0万元，政府性基金预算拨款0万元，国有资本经营预算收入0万元，事业收入0万元，其他收入</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万元。</w:t>
      </w:r>
    </w:p>
    <w:p w14:paraId="66A8B789">
      <w:pPr>
        <w:numPr>
          <w:ilvl w:val="0"/>
          <w:numId w:val="0"/>
        </w:numPr>
        <w:ind w:right="0" w:rightChars="0" w:firstLine="640" w:firstLineChars="200"/>
        <w:jc w:val="both"/>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202</w:t>
      </w: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lang w:eastAsia="zh-CN"/>
        </w:rPr>
        <w:t>决算支出</w:t>
      </w:r>
      <w:r>
        <w:rPr>
          <w:rFonts w:hint="eastAsia" w:ascii="仿宋_GB2312" w:hAnsi="仿宋_GB2312" w:eastAsia="仿宋_GB2312" w:cs="仿宋_GB2312"/>
          <w:color w:val="auto"/>
          <w:sz w:val="32"/>
          <w:szCs w:val="32"/>
          <w:lang w:val="en-US" w:eastAsia="zh-CN"/>
        </w:rPr>
        <w:t>235.25</w:t>
      </w:r>
      <w:r>
        <w:rPr>
          <w:rFonts w:hint="eastAsia" w:ascii="仿宋_GB2312" w:hAnsi="仿宋_GB2312" w:eastAsia="仿宋_GB2312" w:cs="仿宋_GB2312"/>
          <w:color w:val="auto"/>
          <w:sz w:val="32"/>
          <w:szCs w:val="32"/>
        </w:rPr>
        <w:t>万元，其中基本支出</w:t>
      </w:r>
      <w:r>
        <w:rPr>
          <w:rFonts w:hint="eastAsia" w:ascii="仿宋_GB2312" w:hAnsi="仿宋_GB2312" w:eastAsia="仿宋_GB2312" w:cs="仿宋_GB2312"/>
          <w:color w:val="auto"/>
          <w:sz w:val="32"/>
          <w:szCs w:val="32"/>
          <w:lang w:val="en-US" w:eastAsia="zh-CN"/>
        </w:rPr>
        <w:t>194.92</w:t>
      </w:r>
      <w:r>
        <w:rPr>
          <w:rFonts w:hint="eastAsia" w:ascii="仿宋_GB2312" w:hAnsi="仿宋_GB2312" w:eastAsia="仿宋_GB2312" w:cs="仿宋_GB2312"/>
          <w:color w:val="auto"/>
          <w:sz w:val="32"/>
          <w:szCs w:val="32"/>
        </w:rPr>
        <w:t>万元，包括人员经费</w:t>
      </w:r>
      <w:r>
        <w:rPr>
          <w:rFonts w:hint="eastAsia" w:ascii="仿宋_GB2312" w:hAnsi="仿宋_GB2312" w:eastAsia="仿宋_GB2312" w:cs="仿宋_GB2312"/>
          <w:color w:val="auto"/>
          <w:sz w:val="32"/>
          <w:szCs w:val="32"/>
          <w:lang w:val="en-US" w:eastAsia="zh-CN"/>
        </w:rPr>
        <w:t>184.44</w:t>
      </w:r>
      <w:r>
        <w:rPr>
          <w:rFonts w:hint="eastAsia" w:ascii="仿宋_GB2312" w:hAnsi="仿宋_GB2312" w:eastAsia="仿宋_GB2312" w:cs="仿宋_GB2312"/>
          <w:color w:val="auto"/>
          <w:sz w:val="32"/>
          <w:szCs w:val="32"/>
        </w:rPr>
        <w:t>万元和日常公用经费</w:t>
      </w:r>
      <w:r>
        <w:rPr>
          <w:rFonts w:hint="eastAsia" w:ascii="仿宋_GB2312" w:hAnsi="仿宋_GB2312" w:eastAsia="仿宋_GB2312" w:cs="仿宋_GB2312"/>
          <w:color w:val="auto"/>
          <w:sz w:val="32"/>
          <w:szCs w:val="32"/>
          <w:lang w:val="en-US" w:eastAsia="zh-CN"/>
        </w:rPr>
        <w:t>10.48</w:t>
      </w:r>
      <w:r>
        <w:rPr>
          <w:rFonts w:hint="eastAsia" w:ascii="仿宋_GB2312" w:hAnsi="仿宋_GB2312" w:eastAsia="仿宋_GB2312" w:cs="仿宋_GB2312"/>
          <w:color w:val="auto"/>
          <w:sz w:val="32"/>
          <w:szCs w:val="32"/>
        </w:rPr>
        <w:t>万元；项目支出</w:t>
      </w:r>
      <w:r>
        <w:rPr>
          <w:rFonts w:hint="eastAsia" w:ascii="仿宋_GB2312" w:hAnsi="仿宋_GB2312" w:eastAsia="仿宋_GB2312" w:cs="仿宋_GB2312"/>
          <w:color w:val="auto"/>
          <w:sz w:val="32"/>
          <w:szCs w:val="32"/>
          <w:lang w:val="en-US" w:eastAsia="zh-CN"/>
        </w:rPr>
        <w:t>40.33</w:t>
      </w:r>
      <w:r>
        <w:rPr>
          <w:rFonts w:hint="eastAsia" w:ascii="仿宋_GB2312" w:hAnsi="仿宋_GB2312" w:eastAsia="仿宋_GB2312" w:cs="仿宋_GB2312"/>
          <w:color w:val="auto"/>
          <w:sz w:val="32"/>
          <w:szCs w:val="32"/>
        </w:rPr>
        <w:t>万元。</w:t>
      </w:r>
    </w:p>
    <w:p w14:paraId="465DCCA6">
      <w:pPr>
        <w:numPr>
          <w:ilvl w:val="0"/>
          <w:numId w:val="0"/>
        </w:numPr>
        <w:ind w:right="0" w:rightChars="0" w:firstLine="640" w:firstLineChars="200"/>
        <w:jc w:val="both"/>
        <w:rPr>
          <w:rFonts w:hint="eastAsia"/>
          <w:sz w:val="28"/>
        </w:rPr>
      </w:pPr>
      <w:r>
        <w:rPr>
          <w:rFonts w:hint="eastAsia" w:ascii="楷体_GB2312" w:hAnsi="楷体_GB2312" w:eastAsia="楷体_GB2312" w:cs="楷体_GB2312"/>
          <w:sz w:val="32"/>
          <w:szCs w:val="32"/>
          <w:lang w:eastAsia="zh-CN"/>
        </w:rPr>
        <w:t>（三）</w:t>
      </w:r>
      <w:r>
        <w:rPr>
          <w:rFonts w:hint="eastAsia" w:ascii="楷体_GB2312" w:hAnsi="楷体_GB2312" w:eastAsia="楷体_GB2312" w:cs="楷体_GB2312"/>
          <w:b/>
          <w:bCs/>
          <w:sz w:val="32"/>
          <w:szCs w:val="32"/>
          <w:lang w:val="en-US" w:eastAsia="zh-CN"/>
        </w:rPr>
        <w:t>部门整体支出绩效目标、指标</w:t>
      </w:r>
    </w:p>
    <w:p w14:paraId="4C76DA97">
      <w:pPr>
        <w:numPr>
          <w:ilvl w:val="0"/>
          <w:numId w:val="0"/>
        </w:numPr>
        <w:ind w:right="0" w:righ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坚持以习近平新时代中国特色社会主义思想为指导，深入贯彻落实中央和省、市、区委重大决策部署，坚持统筹发展与安全，凝心聚力，加快平安矿区建设步伐，聚焦维护全区社会稳定，深入开展扫黑除恶斗争，各项目标工作圆满完成，省市对区目标考核没有丢分，全区没有发生影响稳定的重特大恶性事件，保持了总体平衡可控的局面。</w:t>
      </w:r>
    </w:p>
    <w:p w14:paraId="0D5C8B11">
      <w:pPr>
        <w:numPr>
          <w:ilvl w:val="0"/>
          <w:numId w:val="0"/>
        </w:numPr>
        <w:ind w:right="0" w:rightChars="0" w:firstLine="640" w:firstLineChars="200"/>
        <w:jc w:val="both"/>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二、自评工作开展情况</w:t>
      </w:r>
    </w:p>
    <w:p w14:paraId="67483EDB">
      <w:pPr>
        <w:numPr>
          <w:ilvl w:val="0"/>
          <w:numId w:val="0"/>
        </w:numPr>
        <w:ind w:right="0" w:rightChars="0"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（一）自评组织工作</w:t>
      </w:r>
    </w:p>
    <w:p w14:paraId="7C2C82EF">
      <w:pPr>
        <w:ind w:left="0" w:leftChars="0" w:right="0" w:righ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区委政法委高度重视部门绩效自评工作，成立了绩效评价领导小组，组长由区委政法委常务副书记王永庭担任，成员有副书记张洪波、王亥奕，政治处主任、办公室主任张爱华等相关人员。绩效评价领导小组制定了自评工作方案，明确评价内容、评价程序及时间安排，并组织各相关人员提前准备资料，积极配合做好自评工作。以2024年预算确定项目绩效目标和绩效指标为依据，核实5个项目账目，梳理各绩效指标完成情况，进一步分析和总结，逐项对各项目进行自评，并完成《区级部门预算项目绩效自评表》和绩效评价报告。</w:t>
      </w:r>
    </w:p>
    <w:p w14:paraId="642E5CC4">
      <w:pPr>
        <w:ind w:left="0" w:leftChars="0" w:right="0" w:rightChars="0"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（二）自评方法和过程</w:t>
      </w:r>
    </w:p>
    <w:p w14:paraId="430E8F42">
      <w:pPr>
        <w:ind w:left="0" w:leftChars="0" w:right="0" w:righ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前期准备。成立绩效评价工作领导小组，制定相关制度和措施，严格按照相关要求和评价标准开展工作。</w:t>
      </w:r>
    </w:p>
    <w:p w14:paraId="6AC6839A">
      <w:pPr>
        <w:ind w:left="0" w:leftChars="0" w:right="0" w:rightChars="0" w:firstLine="640" w:firstLineChars="200"/>
        <w:jc w:val="both"/>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组织实施。评价小组认真检查项目支出有关账目，收集整理支出相关资料，结合评价内容，按照项目支出绩效评价指标体系相关标准和要求，针对申报内容、实施情况、财务管理、社会效益等做出自我评价，做到有计划、有安排的开展本次自评工作。</w:t>
      </w:r>
    </w:p>
    <w:p w14:paraId="49641E19">
      <w:pPr>
        <w:numPr>
          <w:ilvl w:val="0"/>
          <w:numId w:val="0"/>
        </w:numPr>
        <w:ind w:right="0" w:rightChars="0" w:firstLine="640" w:firstLineChars="200"/>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三、部门整体支出绩效目标实现情况及指标分析</w:t>
      </w:r>
    </w:p>
    <w:p w14:paraId="4A95AE1F">
      <w:pPr>
        <w:numPr>
          <w:ilvl w:val="0"/>
          <w:numId w:val="0"/>
        </w:numPr>
        <w:ind w:right="0" w:rightChars="0"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我部门绩效工作完成较好，主要完成了以下工作：政法机关坚持以</w:t>
      </w:r>
      <w:r>
        <w:rPr>
          <w:rFonts w:hint="eastAsia" w:ascii="仿宋_GB2312" w:hAnsi="仿宋_GB2312" w:eastAsia="仿宋_GB2312" w:cs="仿宋_GB2312"/>
          <w:kern w:val="2"/>
          <w:sz w:val="32"/>
          <w:szCs w:val="32"/>
          <w:lang w:val="en-US" w:eastAsia="zh-CN" w:bidi="ar-SA"/>
        </w:rPr>
        <w:t>习近平新时代中国特色社会主义思想为指导，围绕中心、服务大局，不折不扣落实中央和省市区委各项重大决策部署，统筹推进平安建设、法治建设、政法队伍建设、执法监督等工作。</w:t>
      </w:r>
      <w:r>
        <w:rPr>
          <w:rFonts w:hint="eastAsia" w:ascii="仿宋_GB2312" w:eastAsia="仿宋_GB2312" w:cs="仿宋_GB2312"/>
          <w:sz w:val="32"/>
          <w:szCs w:val="32"/>
          <w:lang w:val="en-US" w:eastAsia="zh-CN" w:bidi="ar-SA"/>
        </w:rPr>
        <w:t>我区</w:t>
      </w:r>
      <w:r>
        <w:rPr>
          <w:rFonts w:hint="eastAsia" w:ascii="仿宋_GB2312" w:hAnsi="仿宋_GB2312" w:eastAsia="仿宋_GB2312" w:cs="仿宋_GB2312"/>
          <w:snapToGrid/>
          <w:color w:val="auto"/>
          <w:spacing w:val="0"/>
          <w:w w:val="100"/>
          <w:kern w:val="2"/>
          <w:position w:val="0"/>
          <w:sz w:val="32"/>
          <w:szCs w:val="32"/>
          <w:u w:val="none" w:color="auto"/>
          <w:vertAlign w:val="baseline"/>
          <w:lang w:val="en-US" w:eastAsia="zh-CN" w:bidi="ar-SA"/>
        </w:rPr>
        <w:t>未发生涉政治安全类案事件、未发生因矛盾激化升级、民转刑案件、未发生涉稳人员脱管漏管；圆满完成了全国两会、二十届三中全会、国庆期间、重大活动等敏感时期维稳安保任务；依法治区规范化建设持续强化。上半年平安建设专项考核满分，下半年预估满分，并列全市第一；7月份，我区被授予“2023年度石家庄市平安建设先进区”称号。12月份，张洪波同志被授予“市国家安全人民防线工作先进个人”。</w:t>
      </w:r>
      <w:r>
        <w:rPr>
          <w:rFonts w:hint="eastAsia" w:ascii="仿宋_GB2312" w:hAnsi="仿宋_GB2312" w:eastAsia="仿宋_GB2312" w:cs="仿宋_GB2312"/>
          <w:b w:val="0"/>
          <w:bCs w:val="0"/>
          <w:snapToGrid/>
          <w:color w:val="auto"/>
          <w:spacing w:val="0"/>
          <w:w w:val="100"/>
          <w:kern w:val="2"/>
          <w:position w:val="0"/>
          <w:sz w:val="32"/>
          <w:szCs w:val="32"/>
          <w:u w:val="none" w:color="auto"/>
          <w:vertAlign w:val="baseline"/>
          <w:lang w:val="en-US" w:eastAsia="zh-CN" w:bidi="ar-SA"/>
        </w:rPr>
        <w:t>全区社会治安形势持续保持稳定，行政（治安）、刑事案件立案总数167、121起，同比下降6.7%、19%。省市三星级平安村（社区）总达标率90%以上。开展命案防范和重点群体排查化解攻坚行动，排查矛盾纠纷188件，化解188件，化解率100%。</w:t>
      </w:r>
    </w:p>
    <w:p w14:paraId="63427B33">
      <w:pPr>
        <w:numPr>
          <w:ilvl w:val="0"/>
          <w:numId w:val="0"/>
        </w:numPr>
        <w:ind w:right="0" w:rightChars="0" w:firstLine="640" w:firstLineChars="200"/>
        <w:jc w:val="both"/>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四、评价结果和评价等级</w:t>
      </w:r>
    </w:p>
    <w:p w14:paraId="14A8423D">
      <w:pPr>
        <w:numPr>
          <w:ilvl w:val="0"/>
          <w:numId w:val="0"/>
        </w:numPr>
        <w:ind w:left="638" w:leftChars="304" w:right="0" w:rightChars="0" w:firstLine="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与年初绩效目标相比，绩效自评结果反映出三个特点：</w:t>
      </w:r>
    </w:p>
    <w:p w14:paraId="2F7F6B1F">
      <w:pPr>
        <w:numPr>
          <w:ilvl w:val="0"/>
          <w:numId w:val="0"/>
        </w:numPr>
        <w:ind w:right="0" w:rightChars="0"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一是绩效目标设定依据清晰准确，符合部门职责，充分发挥参谋助手、综合协调和后勤保障作用，紧密围绕区委中心工作和区委政法工作要点，认真履行工作职能。</w:t>
      </w:r>
    </w:p>
    <w:p w14:paraId="34C988AB">
      <w:pPr>
        <w:numPr>
          <w:ilvl w:val="0"/>
          <w:numId w:val="0"/>
        </w:numPr>
        <w:ind w:right="0" w:rightChars="0"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二是绩效指标能够围绕绩效目标设定，从总体来看所设定的指标科学合理，易于评价，但在完整度方面尚可提升，全面真实反映被评价项目的实际情况。</w:t>
      </w:r>
    </w:p>
    <w:p w14:paraId="138DA0C6">
      <w:pPr>
        <w:numPr>
          <w:ilvl w:val="0"/>
          <w:numId w:val="0"/>
        </w:numPr>
        <w:ind w:right="0" w:rightChars="0"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三是绩效标准切实可行，客观合理，能够实际执行或实现，大部分预算资金与实际支出资金额相匹配。</w:t>
      </w:r>
    </w:p>
    <w:p w14:paraId="221F644D">
      <w:pPr>
        <w:numPr>
          <w:ilvl w:val="0"/>
          <w:numId w:val="0"/>
        </w:numPr>
        <w:ind w:right="0" w:rightChars="0"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根据自评整体支出绩效自评为“优秀”。</w:t>
      </w:r>
    </w:p>
    <w:p w14:paraId="69021BA7">
      <w:pPr>
        <w:numPr>
          <w:ilvl w:val="0"/>
          <w:numId w:val="0"/>
        </w:numPr>
        <w:ind w:right="0" w:rightChars="0" w:firstLine="640" w:firstLineChars="200"/>
        <w:jc w:val="both"/>
        <w:rPr>
          <w:rFonts w:hint="eastAsia" w:ascii="仿宋_GB2312" w:hAnsi="仿宋_GB2312" w:eastAsia="仿宋_GB2312" w:cs="仿宋_GB2312"/>
          <w:color w:val="auto"/>
          <w:sz w:val="32"/>
          <w:szCs w:val="32"/>
          <w:lang w:val="en-US" w:eastAsia="zh-CN"/>
        </w:rPr>
      </w:pPr>
      <w:r>
        <w:rPr>
          <w:rFonts w:hint="eastAsia" w:ascii="黑体" w:hAnsi="黑体" w:eastAsia="黑体" w:cs="黑体"/>
          <w:color w:val="auto"/>
          <w:sz w:val="32"/>
          <w:szCs w:val="32"/>
          <w:lang w:val="en-US" w:eastAsia="zh-CN"/>
        </w:rPr>
        <w:t>五、存在的问题及改进措施</w:t>
      </w:r>
    </w:p>
    <w:p w14:paraId="7F3F927C">
      <w:pPr>
        <w:numPr>
          <w:ilvl w:val="0"/>
          <w:numId w:val="0"/>
        </w:numPr>
        <w:ind w:right="0" w:rightChars="0" w:firstLine="643" w:firstLineChars="200"/>
        <w:jc w:val="both"/>
        <w:rPr>
          <w:rFonts w:hint="eastAsia" w:ascii="楷体_GB2312" w:hAnsi="楷体_GB2312" w:eastAsia="楷体_GB2312" w:cs="楷体_GB2312"/>
          <w:b/>
          <w:bCs/>
          <w:color w:val="auto"/>
          <w:sz w:val="32"/>
          <w:szCs w:val="32"/>
          <w:lang w:val="en-US" w:eastAsia="zh-CN"/>
        </w:rPr>
      </w:pPr>
      <w:r>
        <w:rPr>
          <w:rFonts w:hint="eastAsia" w:ascii="楷体_GB2312" w:hAnsi="楷体_GB2312" w:eastAsia="楷体_GB2312" w:cs="楷体_GB2312"/>
          <w:b/>
          <w:bCs/>
          <w:color w:val="auto"/>
          <w:sz w:val="32"/>
          <w:szCs w:val="32"/>
          <w:lang w:val="en-US" w:eastAsia="zh-CN"/>
        </w:rPr>
        <w:t>（一）存在问题</w:t>
      </w:r>
    </w:p>
    <w:p w14:paraId="5B649E70">
      <w:pPr>
        <w:numPr>
          <w:ilvl w:val="0"/>
          <w:numId w:val="0"/>
        </w:numPr>
        <w:ind w:right="0" w:rightChars="0" w:firstLine="640" w:firstLineChars="200"/>
        <w:jc w:val="both"/>
        <w:rPr>
          <w:rFonts w:hint="eastAsia" w:ascii="仿宋_GB2312" w:hAnsi="仿宋_GB2312" w:eastAsia="仿宋_GB2312" w:cs="仿宋_GB2312"/>
          <w:i w:val="0"/>
          <w:caps w:val="0"/>
          <w:color w:val="333333"/>
          <w:spacing w:val="0"/>
          <w:sz w:val="32"/>
          <w:szCs w:val="32"/>
          <w:shd w:val="clear" w:fill="FFFFFF"/>
          <w:lang w:eastAsia="zh-CN"/>
        </w:rPr>
      </w:pPr>
      <w:r>
        <w:rPr>
          <w:rFonts w:hint="eastAsia" w:ascii="仿宋_GB2312" w:hAnsi="仿宋_GB2312" w:eastAsia="仿宋_GB2312" w:cs="仿宋_GB2312"/>
          <w:i w:val="0"/>
          <w:caps w:val="0"/>
          <w:color w:val="333333"/>
          <w:spacing w:val="0"/>
          <w:sz w:val="32"/>
          <w:szCs w:val="32"/>
          <w:shd w:val="clear" w:fill="FFFFFF"/>
        </w:rPr>
        <w:t>绩效评价目标的设定过于简单</w:t>
      </w:r>
      <w:r>
        <w:rPr>
          <w:rFonts w:hint="eastAsia" w:ascii="仿宋_GB2312" w:hAnsi="仿宋_GB2312" w:eastAsia="仿宋_GB2312" w:cs="仿宋_GB2312"/>
          <w:i w:val="0"/>
          <w:caps w:val="0"/>
          <w:color w:val="333333"/>
          <w:spacing w:val="0"/>
          <w:sz w:val="32"/>
          <w:szCs w:val="32"/>
          <w:shd w:val="clear" w:fill="FFFFFF"/>
          <w:lang w:eastAsia="zh-CN"/>
        </w:rPr>
        <w:t>，</w:t>
      </w:r>
      <w:r>
        <w:rPr>
          <w:rFonts w:hint="eastAsia" w:ascii="仿宋_GB2312" w:hAnsi="仿宋_GB2312" w:eastAsia="仿宋_GB2312" w:cs="仿宋_GB2312"/>
          <w:i w:val="0"/>
          <w:caps w:val="0"/>
          <w:color w:val="333333"/>
          <w:spacing w:val="0"/>
          <w:sz w:val="32"/>
          <w:szCs w:val="32"/>
          <w:shd w:val="clear" w:fill="FFFFFF"/>
        </w:rPr>
        <w:t>项目支出绩效评价的方式方法还有待进一步改进</w:t>
      </w:r>
      <w:r>
        <w:rPr>
          <w:rFonts w:hint="eastAsia" w:ascii="仿宋_GB2312" w:hAnsi="仿宋_GB2312" w:eastAsia="仿宋_GB2312" w:cs="仿宋_GB2312"/>
          <w:i w:val="0"/>
          <w:caps w:val="0"/>
          <w:color w:val="333333"/>
          <w:spacing w:val="0"/>
          <w:sz w:val="32"/>
          <w:szCs w:val="32"/>
          <w:shd w:val="clear" w:fill="FFFFFF"/>
          <w:lang w:eastAsia="zh-CN"/>
        </w:rPr>
        <w:t>。</w:t>
      </w:r>
    </w:p>
    <w:p w14:paraId="5076522B">
      <w:pPr>
        <w:numPr>
          <w:ilvl w:val="0"/>
          <w:numId w:val="0"/>
        </w:numPr>
        <w:ind w:right="0" w:rightChars="0" w:firstLine="643" w:firstLineChars="200"/>
        <w:jc w:val="both"/>
        <w:rPr>
          <w:rFonts w:hint="eastAsia" w:ascii="仿宋_GB2312" w:hAnsi="仿宋_GB2312" w:eastAsia="仿宋_GB2312" w:cs="仿宋_GB2312"/>
          <w:b/>
          <w:bCs/>
          <w:color w:val="auto"/>
          <w:sz w:val="32"/>
          <w:szCs w:val="32"/>
          <w:lang w:val="en-US" w:eastAsia="zh-CN"/>
        </w:rPr>
      </w:pPr>
      <w:r>
        <w:rPr>
          <w:rFonts w:hint="eastAsia" w:ascii="楷体_GB2312" w:hAnsi="楷体_GB2312" w:eastAsia="楷体_GB2312" w:cs="楷体_GB2312"/>
          <w:b/>
          <w:bCs/>
          <w:i w:val="0"/>
          <w:caps w:val="0"/>
          <w:color w:val="333333"/>
          <w:spacing w:val="0"/>
          <w:sz w:val="32"/>
          <w:szCs w:val="32"/>
          <w:shd w:val="clear" w:fill="FFFFFF"/>
          <w:lang w:eastAsia="zh-CN"/>
        </w:rPr>
        <w:t>（二）针对问题提出具体改进措施或建议</w:t>
      </w:r>
    </w:p>
    <w:p w14:paraId="7A414662">
      <w:pPr>
        <w:numPr>
          <w:ilvl w:val="0"/>
          <w:numId w:val="0"/>
        </w:numPr>
        <w:ind w:right="0" w:rightChars="0"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一是进一步优化绩效目标。进一步细化、量化预算绩效指标设定，提高绩效评价指标的科学性、合理性。</w:t>
      </w:r>
    </w:p>
    <w:p w14:paraId="315E72E0">
      <w:pPr>
        <w:numPr>
          <w:ilvl w:val="0"/>
          <w:numId w:val="0"/>
        </w:numPr>
        <w:ind w:leftChars="0" w:right="0" w:rightChars="0"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二是完善预算考核。进一步强化各项目的预算资金管理，加大对预算编制与执行的监督管理力度，提高预算资金使用效率。</w:t>
      </w:r>
    </w:p>
    <w:p w14:paraId="1D473A82">
      <w:pPr>
        <w:numPr>
          <w:ilvl w:val="0"/>
          <w:numId w:val="0"/>
        </w:numPr>
        <w:ind w:leftChars="0" w:right="0" w:rightChars="0"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三是重视结果应用。重视绩效评价工作，切实发挥绩效评价结果应用的作用，通过绩效评价应用实践，积累连续的数据库，优化对比分析，总结实践中的经验和教训，强化财政资金管理水平、优化财政支出结构、提高财政资金使用效益，在更高层次上实现财政资源配置的公平性、合理性。</w:t>
      </w:r>
    </w:p>
    <w:p w14:paraId="266685FE">
      <w:pPr>
        <w:numPr>
          <w:ilvl w:val="0"/>
          <w:numId w:val="0"/>
        </w:numPr>
        <w:ind w:right="0" w:rightChars="0" w:firstLine="640" w:firstLineChars="200"/>
        <w:jc w:val="both"/>
        <w:rPr>
          <w:rFonts w:hint="eastAsia" w:ascii="黑体" w:hAnsi="黑体" w:eastAsia="黑体" w:cs="黑体"/>
          <w:color w:val="auto"/>
          <w:sz w:val="32"/>
          <w:szCs w:val="32"/>
          <w:lang w:val="en-US" w:eastAsia="zh-CN"/>
        </w:rPr>
      </w:pPr>
    </w:p>
    <w:p w14:paraId="13B7666F">
      <w:pPr>
        <w:numPr>
          <w:ilvl w:val="0"/>
          <w:numId w:val="0"/>
        </w:numPr>
        <w:ind w:right="0" w:rightChars="0" w:firstLine="640" w:firstLineChars="200"/>
        <w:jc w:val="both"/>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六、评价工作组人员名单及签字</w:t>
      </w:r>
    </w:p>
    <w:tbl>
      <w:tblPr>
        <w:tblStyle w:val="8"/>
        <w:tblpPr w:leftFromText="180" w:rightFromText="180" w:vertAnchor="text" w:horzAnchor="page" w:tblpX="1903" w:tblpY="575"/>
        <w:tblOverlap w:val="never"/>
        <w:tblW w:w="836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7"/>
        <w:gridCol w:w="1991"/>
        <w:gridCol w:w="2545"/>
        <w:gridCol w:w="1128"/>
        <w:gridCol w:w="1284"/>
      </w:tblGrid>
      <w:tr w14:paraId="2FE2C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7" w:type="dxa"/>
          </w:tcPr>
          <w:p w14:paraId="6CB3951B">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姓名</w:t>
            </w:r>
          </w:p>
        </w:tc>
        <w:tc>
          <w:tcPr>
            <w:tcW w:w="1991" w:type="dxa"/>
          </w:tcPr>
          <w:p w14:paraId="5C6DCAB1">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工作单位</w:t>
            </w:r>
          </w:p>
        </w:tc>
        <w:tc>
          <w:tcPr>
            <w:tcW w:w="2545" w:type="dxa"/>
          </w:tcPr>
          <w:p w14:paraId="1AAAE42D">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职务</w:t>
            </w:r>
          </w:p>
        </w:tc>
        <w:tc>
          <w:tcPr>
            <w:tcW w:w="1128" w:type="dxa"/>
          </w:tcPr>
          <w:p w14:paraId="1EA9C33C">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职称</w:t>
            </w:r>
          </w:p>
        </w:tc>
        <w:tc>
          <w:tcPr>
            <w:tcW w:w="1284" w:type="dxa"/>
          </w:tcPr>
          <w:p w14:paraId="1466E890">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备注</w:t>
            </w:r>
          </w:p>
        </w:tc>
      </w:tr>
      <w:tr w14:paraId="7F068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7" w:type="dxa"/>
          </w:tcPr>
          <w:p w14:paraId="517C886A">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lang w:val="en-US" w:eastAsia="zh-CN"/>
              </w:rPr>
              <w:t>王永庭</w:t>
            </w:r>
          </w:p>
        </w:tc>
        <w:tc>
          <w:tcPr>
            <w:tcW w:w="1991" w:type="dxa"/>
          </w:tcPr>
          <w:p w14:paraId="2AE681B8">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lang w:val="en-US" w:eastAsia="zh-CN"/>
              </w:rPr>
              <w:t>区委政法委</w:t>
            </w:r>
          </w:p>
        </w:tc>
        <w:tc>
          <w:tcPr>
            <w:tcW w:w="2545" w:type="dxa"/>
          </w:tcPr>
          <w:p w14:paraId="6B8BBA9D">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lang w:val="en-US" w:eastAsia="zh-CN"/>
              </w:rPr>
              <w:t>常务副书记</w:t>
            </w:r>
          </w:p>
        </w:tc>
        <w:tc>
          <w:tcPr>
            <w:tcW w:w="1128" w:type="dxa"/>
          </w:tcPr>
          <w:p w14:paraId="31560F8F">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无</w:t>
            </w:r>
          </w:p>
        </w:tc>
        <w:tc>
          <w:tcPr>
            <w:tcW w:w="1284" w:type="dxa"/>
          </w:tcPr>
          <w:p w14:paraId="20C3847F">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p>
        </w:tc>
      </w:tr>
      <w:tr w14:paraId="5306FB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7" w:type="dxa"/>
          </w:tcPr>
          <w:p w14:paraId="4DD5E473">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lang w:val="en-US" w:eastAsia="zh-CN"/>
              </w:rPr>
              <w:t>张洪波</w:t>
            </w:r>
          </w:p>
        </w:tc>
        <w:tc>
          <w:tcPr>
            <w:tcW w:w="1991" w:type="dxa"/>
          </w:tcPr>
          <w:p w14:paraId="044E63F8">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lang w:val="en-US" w:eastAsia="zh-CN"/>
              </w:rPr>
              <w:t>区委政法委</w:t>
            </w:r>
          </w:p>
        </w:tc>
        <w:tc>
          <w:tcPr>
            <w:tcW w:w="2545" w:type="dxa"/>
          </w:tcPr>
          <w:p w14:paraId="2C5785CF">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lang w:val="en-US" w:eastAsia="zh-CN"/>
              </w:rPr>
              <w:t>副书记</w:t>
            </w:r>
          </w:p>
        </w:tc>
        <w:tc>
          <w:tcPr>
            <w:tcW w:w="1128" w:type="dxa"/>
          </w:tcPr>
          <w:p w14:paraId="53F57EFF">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无</w:t>
            </w:r>
          </w:p>
        </w:tc>
        <w:tc>
          <w:tcPr>
            <w:tcW w:w="1284" w:type="dxa"/>
          </w:tcPr>
          <w:p w14:paraId="46A04DFC">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p>
        </w:tc>
      </w:tr>
      <w:tr w14:paraId="4359B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7" w:type="dxa"/>
          </w:tcPr>
          <w:p w14:paraId="00EF7AA7">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王亥奕</w:t>
            </w:r>
          </w:p>
        </w:tc>
        <w:tc>
          <w:tcPr>
            <w:tcW w:w="1991" w:type="dxa"/>
          </w:tcPr>
          <w:p w14:paraId="0CB95B70">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区委政法委</w:t>
            </w:r>
          </w:p>
        </w:tc>
        <w:tc>
          <w:tcPr>
            <w:tcW w:w="2545" w:type="dxa"/>
          </w:tcPr>
          <w:p w14:paraId="670A1AD8">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副书记</w:t>
            </w:r>
          </w:p>
        </w:tc>
        <w:tc>
          <w:tcPr>
            <w:tcW w:w="1128" w:type="dxa"/>
          </w:tcPr>
          <w:p w14:paraId="4DB2CCCA">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无</w:t>
            </w:r>
          </w:p>
        </w:tc>
        <w:tc>
          <w:tcPr>
            <w:tcW w:w="1284" w:type="dxa"/>
          </w:tcPr>
          <w:p w14:paraId="75985B2B">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p>
        </w:tc>
      </w:tr>
      <w:tr w14:paraId="05DE9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7" w:type="dxa"/>
            <w:vAlign w:val="center"/>
          </w:tcPr>
          <w:p w14:paraId="1F0CC1E4">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lang w:val="en-US" w:eastAsia="zh-CN"/>
              </w:rPr>
              <w:t>张爱华</w:t>
            </w:r>
          </w:p>
        </w:tc>
        <w:tc>
          <w:tcPr>
            <w:tcW w:w="1991" w:type="dxa"/>
            <w:vAlign w:val="center"/>
          </w:tcPr>
          <w:p w14:paraId="75F37A39">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lang w:val="en-US" w:eastAsia="zh-CN"/>
              </w:rPr>
              <w:t>区委政法委</w:t>
            </w:r>
          </w:p>
        </w:tc>
        <w:tc>
          <w:tcPr>
            <w:tcW w:w="2545" w:type="dxa"/>
            <w:vAlign w:val="center"/>
          </w:tcPr>
          <w:p w14:paraId="14D32DA3">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lang w:val="en-US" w:eastAsia="zh-CN"/>
              </w:rPr>
              <w:t>政治处主任</w:t>
            </w:r>
          </w:p>
        </w:tc>
        <w:tc>
          <w:tcPr>
            <w:tcW w:w="1128" w:type="dxa"/>
            <w:vAlign w:val="center"/>
          </w:tcPr>
          <w:p w14:paraId="0B697BD5">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无</w:t>
            </w:r>
          </w:p>
        </w:tc>
        <w:tc>
          <w:tcPr>
            <w:tcW w:w="1284" w:type="dxa"/>
          </w:tcPr>
          <w:p w14:paraId="0BEB6EBA">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p>
        </w:tc>
      </w:tr>
    </w:tbl>
    <w:p w14:paraId="274E1E7A">
      <w:pPr>
        <w:numPr>
          <w:ilvl w:val="0"/>
          <w:numId w:val="0"/>
        </w:numPr>
        <w:ind w:right="0" w:rightChars="0" w:firstLine="2880" w:firstLineChars="900"/>
        <w:jc w:val="both"/>
        <w:rPr>
          <w:rFonts w:hint="eastAsia" w:ascii="仿宋_GB2312" w:hAnsi="仿宋_GB2312" w:eastAsia="仿宋_GB2312" w:cs="仿宋_GB2312"/>
          <w:color w:val="auto"/>
          <w:sz w:val="32"/>
          <w:szCs w:val="32"/>
          <w:lang w:val="en-US" w:eastAsia="zh-CN"/>
        </w:rPr>
      </w:pPr>
    </w:p>
    <w:p w14:paraId="2FF2D309">
      <w:pPr>
        <w:numPr>
          <w:ilvl w:val="0"/>
          <w:numId w:val="0"/>
        </w:numPr>
        <w:ind w:right="0" w:rightChars="0" w:firstLine="2880" w:firstLineChars="900"/>
        <w:jc w:val="both"/>
        <w:rPr>
          <w:rFonts w:hint="eastAsia" w:ascii="仿宋_GB2312" w:hAnsi="仿宋_GB2312" w:eastAsia="仿宋_GB2312" w:cs="仿宋_GB2312"/>
          <w:color w:val="auto"/>
          <w:sz w:val="32"/>
          <w:szCs w:val="32"/>
          <w:lang w:val="en-US" w:eastAsia="zh-CN"/>
        </w:rPr>
      </w:pPr>
    </w:p>
    <w:p w14:paraId="1EE05972">
      <w:pPr>
        <w:numPr>
          <w:ilvl w:val="0"/>
          <w:numId w:val="0"/>
        </w:numPr>
        <w:ind w:right="0" w:rightChars="0" w:firstLine="2880" w:firstLineChars="9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中共石家庄市井陉矿区委政法委员会</w:t>
      </w:r>
    </w:p>
    <w:p w14:paraId="7431F78D">
      <w:pPr>
        <w:numPr>
          <w:ilvl w:val="0"/>
          <w:numId w:val="0"/>
        </w:numPr>
        <w:ind w:leftChars="0" w:right="0" w:rightChars="0" w:firstLine="2880" w:firstLineChars="900"/>
        <w:jc w:val="both"/>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color w:val="auto"/>
          <w:sz w:val="32"/>
          <w:szCs w:val="32"/>
          <w:lang w:val="en-US" w:eastAsia="zh-CN"/>
        </w:rPr>
        <w:t xml:space="preserve">         2025年7月14日</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3ECAC9">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8E7612E">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8E7612E">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EDB7D47"/>
    <w:multiLevelType w:val="singleLevel"/>
    <w:tmpl w:val="0EDB7D47"/>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hhNWRmNzc2NmMxOWY1ZGRmNzJkOTYwNWRmMGIyZTkifQ=="/>
  </w:docVars>
  <w:rsids>
    <w:rsidRoot w:val="00000000"/>
    <w:rsid w:val="0123584C"/>
    <w:rsid w:val="01632365"/>
    <w:rsid w:val="040C2627"/>
    <w:rsid w:val="04CC0352"/>
    <w:rsid w:val="051901BD"/>
    <w:rsid w:val="087561C2"/>
    <w:rsid w:val="09BF626E"/>
    <w:rsid w:val="09D04097"/>
    <w:rsid w:val="0A915E98"/>
    <w:rsid w:val="0BA14EE1"/>
    <w:rsid w:val="0C971590"/>
    <w:rsid w:val="0CDF2DB6"/>
    <w:rsid w:val="11F1047A"/>
    <w:rsid w:val="12D67F44"/>
    <w:rsid w:val="136357FC"/>
    <w:rsid w:val="16D450FA"/>
    <w:rsid w:val="17FC61B2"/>
    <w:rsid w:val="18B04312"/>
    <w:rsid w:val="1CB56024"/>
    <w:rsid w:val="20BE0270"/>
    <w:rsid w:val="23BC571A"/>
    <w:rsid w:val="27394720"/>
    <w:rsid w:val="29F51455"/>
    <w:rsid w:val="2AD358C0"/>
    <w:rsid w:val="2B2E75CF"/>
    <w:rsid w:val="2E754323"/>
    <w:rsid w:val="2EB30A91"/>
    <w:rsid w:val="30CC6D0E"/>
    <w:rsid w:val="337318C0"/>
    <w:rsid w:val="340D2580"/>
    <w:rsid w:val="399A3ED5"/>
    <w:rsid w:val="3B7109B0"/>
    <w:rsid w:val="3CC331DD"/>
    <w:rsid w:val="3CE95387"/>
    <w:rsid w:val="3E2A2A73"/>
    <w:rsid w:val="3FD2053B"/>
    <w:rsid w:val="40731FD8"/>
    <w:rsid w:val="40A07898"/>
    <w:rsid w:val="41094DEE"/>
    <w:rsid w:val="41574D78"/>
    <w:rsid w:val="45CC7490"/>
    <w:rsid w:val="45F03F92"/>
    <w:rsid w:val="4765482B"/>
    <w:rsid w:val="48DA394D"/>
    <w:rsid w:val="496731C7"/>
    <w:rsid w:val="4B465F29"/>
    <w:rsid w:val="4C6A5ACA"/>
    <w:rsid w:val="4C7A24EB"/>
    <w:rsid w:val="4E1425C0"/>
    <w:rsid w:val="4FB71C0D"/>
    <w:rsid w:val="506100AC"/>
    <w:rsid w:val="52804489"/>
    <w:rsid w:val="53BC4B37"/>
    <w:rsid w:val="53D50286"/>
    <w:rsid w:val="561D57C3"/>
    <w:rsid w:val="575D0506"/>
    <w:rsid w:val="576304B7"/>
    <w:rsid w:val="58706AC8"/>
    <w:rsid w:val="5C5019A4"/>
    <w:rsid w:val="5D0E7A4E"/>
    <w:rsid w:val="5D8D3526"/>
    <w:rsid w:val="5E47584B"/>
    <w:rsid w:val="60D73C47"/>
    <w:rsid w:val="6C9D43DC"/>
    <w:rsid w:val="6CEE502F"/>
    <w:rsid w:val="6F2A2EDF"/>
    <w:rsid w:val="70BE308A"/>
    <w:rsid w:val="742629D7"/>
    <w:rsid w:val="74E96A8F"/>
    <w:rsid w:val="76031CB3"/>
    <w:rsid w:val="76A764C6"/>
    <w:rsid w:val="791B45C5"/>
    <w:rsid w:val="7A1809E9"/>
    <w:rsid w:val="7B9310B8"/>
    <w:rsid w:val="7DFB732B"/>
    <w:rsid w:val="7FE7088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Indent"/>
    <w:basedOn w:val="1"/>
    <w:qFormat/>
    <w:uiPriority w:val="0"/>
    <w:pPr>
      <w:spacing w:after="120" w:afterLines="0"/>
      <w:ind w:left="420" w:leftChars="20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6">
    <w:name w:val="Body Text First Indent 2"/>
    <w:basedOn w:val="2"/>
    <w:qFormat/>
    <w:uiPriority w:val="0"/>
    <w:pPr>
      <w:ind w:firstLine="420" w:firstLineChars="200"/>
    </w:p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3858</Words>
  <Characters>4016</Characters>
  <Lines>0</Lines>
  <Paragraphs>0</Paragraphs>
  <TotalTime>0</TotalTime>
  <ScaleCrop>false</ScaleCrop>
  <LinksUpToDate>false</LinksUpToDate>
  <CharactersWithSpaces>4028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CZJ</cp:lastModifiedBy>
  <cp:lastPrinted>2023-05-31T06:00:00Z</cp:lastPrinted>
  <dcterms:modified xsi:type="dcterms:W3CDTF">2025-10-11T08:38:41Z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CC2B6AD5A3C848BBB5425D17832F348D_13</vt:lpwstr>
  </property>
  <property fmtid="{D5CDD505-2E9C-101B-9397-08002B2CF9AE}" pid="4" name="KSOTemplateDocerSaveRecord">
    <vt:lpwstr>eyJoZGlkIjoiZjczMDZkNDRiZDdhZjExNTAyZWE2ZWI4OGU2YzBiY2EifQ==</vt:lpwstr>
  </property>
</Properties>
</file>