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0FE236">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14:paraId="3378745D">
      <w:pPr>
        <w:spacing w:line="560" w:lineRule="exact"/>
        <w:jc w:val="center"/>
        <w:rPr>
          <w:rFonts w:ascii="宋体" w:hAnsi="宋体" w:cs="宋体"/>
          <w:b/>
          <w:bCs/>
          <w:sz w:val="44"/>
          <w:szCs w:val="44"/>
        </w:rPr>
      </w:pPr>
    </w:p>
    <w:p w14:paraId="1C00FB3A">
      <w:pPr>
        <w:spacing w:line="560" w:lineRule="exact"/>
        <w:jc w:val="center"/>
        <w:rPr>
          <w:rFonts w:hint="eastAsia" w:ascii="宋体" w:hAnsi="宋体" w:cs="宋体"/>
          <w:b/>
          <w:bCs/>
          <w:sz w:val="44"/>
          <w:szCs w:val="44"/>
        </w:rPr>
      </w:pPr>
      <w:r>
        <w:rPr>
          <w:rFonts w:ascii="宋体" w:hAnsi="宋体" w:cs="宋体"/>
          <w:b/>
          <w:bCs/>
          <w:sz w:val="44"/>
          <w:szCs w:val="44"/>
        </w:rPr>
        <w:t>井陉矿区纪委</w:t>
      </w:r>
    </w:p>
    <w:p w14:paraId="089D07BB">
      <w:pPr>
        <w:spacing w:line="560" w:lineRule="exact"/>
        <w:jc w:val="center"/>
        <w:rPr>
          <w:rFonts w:ascii="宋体" w:hAnsi="宋体" w:cs="宋体"/>
          <w:b/>
          <w:bCs/>
          <w:sz w:val="44"/>
          <w:szCs w:val="44"/>
        </w:rPr>
      </w:pPr>
      <w:r>
        <w:rPr>
          <w:rFonts w:hint="eastAsia" w:ascii="宋体" w:hAnsi="宋体" w:cs="宋体"/>
          <w:b/>
          <w:bCs/>
          <w:sz w:val="44"/>
          <w:szCs w:val="44"/>
        </w:rPr>
        <w:t>202</w:t>
      </w:r>
      <w:r>
        <w:rPr>
          <w:rFonts w:ascii="宋体" w:hAnsi="宋体" w:cs="宋体"/>
          <w:b/>
          <w:bCs/>
          <w:sz w:val="44"/>
          <w:szCs w:val="44"/>
        </w:rPr>
        <w:t>4</w:t>
      </w:r>
      <w:r>
        <w:rPr>
          <w:rFonts w:hint="eastAsia" w:ascii="宋体" w:hAnsi="宋体" w:cs="宋体"/>
          <w:b/>
          <w:bCs/>
          <w:sz w:val="44"/>
          <w:szCs w:val="44"/>
        </w:rPr>
        <w:t>年度整体支出绩效自评报告</w:t>
      </w:r>
    </w:p>
    <w:p w14:paraId="06EECE2A">
      <w:pPr>
        <w:spacing w:line="560" w:lineRule="exact"/>
        <w:jc w:val="center"/>
        <w:rPr>
          <w:rFonts w:ascii="华文楷体" w:eastAsia="华文楷体"/>
          <w:sz w:val="32"/>
          <w:szCs w:val="32"/>
        </w:rPr>
      </w:pPr>
    </w:p>
    <w:p w14:paraId="02C2C22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ascii="仿宋" w:hAnsi="仿宋" w:eastAsia="仿宋"/>
          <w:sz w:val="32"/>
          <w:szCs w:val="32"/>
        </w:rPr>
        <w:t>矿区纪委</w:t>
      </w:r>
      <w:r>
        <w:rPr>
          <w:rFonts w:hint="eastAsia" w:ascii="仿宋" w:hAnsi="仿宋" w:eastAsia="仿宋"/>
          <w:sz w:val="32"/>
          <w:szCs w:val="32"/>
        </w:rPr>
        <w:t>部门202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14:paraId="112D72A7">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07ACE22E">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3B92E803">
      <w:pPr>
        <w:snapToGrid w:val="0"/>
        <w:spacing w:line="52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1．主要职能。</w:t>
      </w:r>
    </w:p>
    <w:p w14:paraId="60922AA5">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负责全区党的纪律检查工作。贯彻落实党中央和省、市、区委关于纪律检查工作的决策部署，维护党的章程和其他党内法规，检查党的路线方针政策和决议的执行情况，协助区委推进全面从严治党、加强党风建设和组织协调反腐败工作。</w:t>
      </w:r>
    </w:p>
    <w:p w14:paraId="54253C09">
      <w:pPr>
        <w:spacing w:line="600" w:lineRule="exact"/>
        <w:ind w:firstLine="640" w:firstLineChars="200"/>
        <w:rPr>
          <w:rFonts w:hint="eastAsia" w:ascii="仿宋_GB2312" w:eastAsia="仿宋_GB2312" w:cs="仿宋_GB2312"/>
          <w:kern w:val="0"/>
          <w:sz w:val="32"/>
          <w:szCs w:val="32"/>
        </w:rPr>
      </w:pPr>
      <w:r>
        <w:rPr>
          <w:rFonts w:hint="eastAsia" w:ascii="仿宋_GB2312" w:hAnsi="仿宋_GB2312" w:eastAsia="仿宋_GB2312" w:cs="仿宋_GB2312"/>
          <w:sz w:val="32"/>
          <w:szCs w:val="32"/>
        </w:rPr>
        <w:t>（二）依照党的章程和其他党内法规履行监督、执纪</w:t>
      </w:r>
      <w:r>
        <w:rPr>
          <w:rFonts w:hint="eastAsia" w:ascii="仿宋_GB2312" w:eastAsia="仿宋_GB2312" w:cs="仿宋_GB2312"/>
          <w:kern w:val="0"/>
          <w:sz w:val="32"/>
          <w:szCs w:val="32"/>
        </w:rPr>
        <w:t>、问责职责。负责经常对党员进行遵守纪律的教育，作出关于维护党纪的决定；对区委工作机关、区委批准设立的党组（党委），各乡镇（街道）党（工）委、纪（工）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14:paraId="23C335F6">
      <w:pPr>
        <w:spacing w:line="60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rPr>
        <w:t>（三）支持配合巡视、巡察工作。承担巡视、巡察整改日常监督责任，做好巡视、巡察整改督查督办工作，依规依纪依法处置巡视、巡察移交的反映领导干部问题线索。</w:t>
      </w:r>
    </w:p>
    <w:p w14:paraId="0519BBDB">
      <w:pPr>
        <w:spacing w:line="60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rPr>
        <w:t>（四）负责全区监察工作。贯彻落实党中央和省、市、区委关于监察工作的决策部署，维护宪法法律，依法对区委管理的行使公权力的公职人员进行监察，调查职务违法和职务犯罪，开展廉政建设和反腐败工作。</w:t>
      </w:r>
    </w:p>
    <w:p w14:paraId="440CE5A6">
      <w:pPr>
        <w:spacing w:line="60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rP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14:paraId="4620B3F6">
      <w:pPr>
        <w:spacing w:line="60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rPr>
        <w:t>（六）负责组织协调全面从严治党、党风廉政建设和反腐败宣传教育工作。</w:t>
      </w:r>
    </w:p>
    <w:p w14:paraId="7E721230">
      <w:pPr>
        <w:spacing w:line="60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rPr>
        <w:t>（七）负责综合分析全面从严治党、党风廉政建设和反腐败工作情况，对纪检监察工作重要理论及实践问题进行调查研究；制定或者修改全区纪检监察相关制度，参与起草有关规范性文件。</w:t>
      </w:r>
    </w:p>
    <w:p w14:paraId="3EBFE9D3">
      <w:pPr>
        <w:spacing w:line="60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rPr>
        <w:t>（八）负责组织协调全区反腐败追逃追赃和防逃工作，督促有关单位做好相关工作。</w:t>
      </w:r>
    </w:p>
    <w:p w14:paraId="5CCA3FDA">
      <w:pPr>
        <w:spacing w:line="60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rPr>
        <w:t>（九）根据干部管理权限，负责全区纪检监察系统领导班子建设、干部队伍建设和组织建设的综合规划、政策研究、制度建设和业务指导；</w:t>
      </w:r>
      <w:r>
        <w:rPr>
          <w:rFonts w:hint="eastAsia" w:ascii="仿宋_GB2312" w:hAnsi="仿宋" w:eastAsia="仿宋_GB2312" w:cs="仿宋_GB2312"/>
          <w:sz w:val="32"/>
          <w:szCs w:val="32"/>
        </w:rPr>
        <w:t>会同区委组织部负责区委巡察办的科级干部提名、考察，报区委任免；根据干部管理权限负责区委巡察办干部人事工作</w:t>
      </w:r>
      <w:r>
        <w:rPr>
          <w:rFonts w:hint="eastAsia" w:ascii="仿宋_GB2312" w:hAnsi="仿宋_GB2312" w:eastAsia="仿宋_GB2312" w:cs="仿宋_GB2312"/>
          <w:sz w:val="32"/>
          <w:szCs w:val="32"/>
        </w:rPr>
        <w:t>。</w:t>
      </w:r>
      <w:r>
        <w:rPr>
          <w:rFonts w:hint="eastAsia" w:ascii="仿宋_GB2312" w:eastAsia="仿宋_GB2312" w:cs="仿宋_GB2312"/>
          <w:kern w:val="0"/>
          <w:sz w:val="32"/>
          <w:szCs w:val="32"/>
        </w:rPr>
        <w:t>会同有关方面做好乡镇(街道)纪检监察机构建设有关工作；组织和指导全区纪检监察系统干部教育培训工作等。</w:t>
      </w:r>
    </w:p>
    <w:p w14:paraId="528F5DBB">
      <w:pPr>
        <w:widowControl/>
        <w:spacing w:line="600" w:lineRule="exact"/>
        <w:ind w:firstLine="480" w:firstLineChars="150"/>
        <w:rPr>
          <w:rFonts w:hint="eastAsia" w:ascii="仿宋_GB2312" w:hAnsi="仿宋" w:eastAsia="仿宋_GB2312" w:cs="仿宋_GB2312"/>
          <w:color w:val="000000"/>
          <w:kern w:val="0"/>
          <w:sz w:val="32"/>
          <w:szCs w:val="32"/>
        </w:rPr>
      </w:pPr>
      <w:r>
        <w:rPr>
          <w:rFonts w:hint="eastAsia" w:ascii="仿宋_GB2312" w:eastAsia="仿宋_GB2312" w:cs="仿宋_GB2312"/>
          <w:kern w:val="0"/>
          <w:sz w:val="32"/>
          <w:szCs w:val="32"/>
        </w:rPr>
        <w:t>（十）完成市纪委监委、区委交办的其他任务。</w:t>
      </w:r>
    </w:p>
    <w:p w14:paraId="631C88C2">
      <w:pPr>
        <w:snapToGrid w:val="0"/>
        <w:spacing w:line="52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2．机构情况。</w:t>
      </w:r>
    </w:p>
    <w:tbl>
      <w:tblPr>
        <w:tblStyle w:val="11"/>
        <w:tblW w:w="889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197"/>
        <w:gridCol w:w="1698"/>
        <w:gridCol w:w="1749"/>
        <w:gridCol w:w="2253"/>
      </w:tblGrid>
      <w:tr w14:paraId="36BFCB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197" w:type="dxa"/>
            <w:vAlign w:val="center"/>
          </w:tcPr>
          <w:p w14:paraId="59437C32">
            <w:pPr>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单位名称</w:t>
            </w:r>
          </w:p>
        </w:tc>
        <w:tc>
          <w:tcPr>
            <w:tcW w:w="1698" w:type="dxa"/>
            <w:vAlign w:val="center"/>
          </w:tcPr>
          <w:p w14:paraId="630E853E">
            <w:pPr>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单位性质</w:t>
            </w:r>
          </w:p>
        </w:tc>
        <w:tc>
          <w:tcPr>
            <w:tcW w:w="1749" w:type="dxa"/>
            <w:vAlign w:val="center"/>
          </w:tcPr>
          <w:p w14:paraId="4848556A">
            <w:pPr>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单位规格</w:t>
            </w:r>
          </w:p>
        </w:tc>
        <w:tc>
          <w:tcPr>
            <w:tcW w:w="2253" w:type="dxa"/>
            <w:vAlign w:val="center"/>
          </w:tcPr>
          <w:p w14:paraId="6A5C1237">
            <w:pPr>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经费保障形势</w:t>
            </w:r>
          </w:p>
        </w:tc>
      </w:tr>
      <w:tr w14:paraId="22D1E7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197" w:type="dxa"/>
          </w:tcPr>
          <w:p w14:paraId="02E48710">
            <w:pPr>
              <w:jc w:val="left"/>
              <w:rPr>
                <w:rFonts w:hint="eastAsia" w:ascii="仿宋_GB2312" w:hAnsi="仿宋" w:eastAsia="仿宋_GB2312" w:cs="仿宋_GB2312"/>
                <w:sz w:val="32"/>
                <w:szCs w:val="32"/>
              </w:rPr>
            </w:pPr>
            <w:r>
              <w:rPr>
                <w:rFonts w:hint="eastAsia" w:ascii="仿宋_GB2312" w:hAnsi="仿宋" w:eastAsia="仿宋_GB2312" w:cs="仿宋_GB2312"/>
                <w:sz w:val="32"/>
                <w:szCs w:val="32"/>
              </w:rPr>
              <w:t>中国共产党石家庄市井陉矿区纪律检查委员会 (本级)</w:t>
            </w:r>
          </w:p>
        </w:tc>
        <w:tc>
          <w:tcPr>
            <w:tcW w:w="1698" w:type="dxa"/>
            <w:tcBorders>
              <w:left w:val="single" w:color="000000" w:sz="4" w:space="0"/>
              <w:right w:val="single" w:color="000000" w:sz="4" w:space="0"/>
            </w:tcBorders>
            <w:vAlign w:val="center"/>
          </w:tcPr>
          <w:p w14:paraId="78A2FC52">
            <w:pPr>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行政</w:t>
            </w:r>
          </w:p>
        </w:tc>
        <w:tc>
          <w:tcPr>
            <w:tcW w:w="1749" w:type="dxa"/>
            <w:tcBorders>
              <w:left w:val="single" w:color="000000" w:sz="4" w:space="0"/>
              <w:right w:val="single" w:color="000000" w:sz="4" w:space="0"/>
            </w:tcBorders>
            <w:vAlign w:val="center"/>
          </w:tcPr>
          <w:p w14:paraId="27195029">
            <w:pPr>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正科级</w:t>
            </w:r>
          </w:p>
        </w:tc>
        <w:tc>
          <w:tcPr>
            <w:tcW w:w="2253" w:type="dxa"/>
            <w:vAlign w:val="center"/>
          </w:tcPr>
          <w:p w14:paraId="23824D42">
            <w:pPr>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财政拨款</w:t>
            </w:r>
          </w:p>
        </w:tc>
      </w:tr>
    </w:tbl>
    <w:p w14:paraId="2D5CBF2F">
      <w:pPr>
        <w:snapToGrid w:val="0"/>
        <w:spacing w:line="52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3．人员情况，包括当年变动情况及原因。</w:t>
      </w:r>
    </w:p>
    <w:p w14:paraId="4492EC8A">
      <w:pPr>
        <w:widowControl/>
        <w:spacing w:line="600" w:lineRule="exact"/>
        <w:ind w:firstLine="640" w:firstLineChars="200"/>
        <w:rPr>
          <w:rFonts w:hint="eastAsia" w:ascii="仿宋_GB2312" w:hAnsi="仿宋" w:eastAsia="仿宋_GB2312" w:cs="仿宋_GB2312"/>
          <w:color w:val="000000"/>
          <w:kern w:val="0"/>
          <w:sz w:val="32"/>
          <w:szCs w:val="32"/>
        </w:rPr>
      </w:pPr>
      <w:r>
        <w:rPr>
          <w:rFonts w:hint="eastAsia" w:ascii="仿宋_GB2312" w:hAnsi="仿宋" w:eastAsia="仿宋_GB2312" w:cs="仿宋_GB2312"/>
          <w:color w:val="000000"/>
          <w:sz w:val="32"/>
          <w:szCs w:val="32"/>
        </w:rPr>
        <w:t>我单位人员编制数3</w:t>
      </w:r>
      <w:r>
        <w:rPr>
          <w:rFonts w:ascii="仿宋_GB2312" w:hAnsi="仿宋" w:eastAsia="仿宋_GB2312" w:cs="仿宋_GB2312"/>
          <w:color w:val="000000"/>
          <w:sz w:val="32"/>
          <w:szCs w:val="32"/>
        </w:rPr>
        <w:t>9</w:t>
      </w:r>
      <w:r>
        <w:rPr>
          <w:rFonts w:hint="eastAsia" w:ascii="仿宋_GB2312" w:hAnsi="仿宋" w:eastAsia="仿宋_GB2312" w:cs="仿宋_GB2312"/>
          <w:color w:val="000000"/>
          <w:sz w:val="32"/>
          <w:szCs w:val="32"/>
        </w:rPr>
        <w:t>人，在职</w:t>
      </w:r>
      <w:r>
        <w:rPr>
          <w:rFonts w:ascii="仿宋_GB2312" w:hAnsi="仿宋" w:eastAsia="仿宋_GB2312" w:cs="仿宋_GB2312"/>
          <w:color w:val="000000"/>
          <w:sz w:val="32"/>
          <w:szCs w:val="32"/>
        </w:rPr>
        <w:t>39</w:t>
      </w:r>
      <w:r>
        <w:rPr>
          <w:rFonts w:hint="eastAsia" w:ascii="仿宋_GB2312" w:hAnsi="仿宋" w:eastAsia="仿宋_GB2312" w:cs="仿宋_GB2312"/>
          <w:color w:val="000000"/>
          <w:sz w:val="32"/>
          <w:szCs w:val="32"/>
        </w:rPr>
        <w:t>人，退休</w:t>
      </w:r>
      <w:r>
        <w:rPr>
          <w:rFonts w:ascii="仿宋_GB2312" w:hAnsi="仿宋" w:eastAsia="仿宋_GB2312" w:cs="仿宋_GB2312"/>
          <w:color w:val="000000"/>
          <w:sz w:val="32"/>
          <w:szCs w:val="32"/>
        </w:rPr>
        <w:t>8</w:t>
      </w:r>
      <w:r>
        <w:rPr>
          <w:rFonts w:hint="eastAsia" w:ascii="仿宋_GB2312" w:hAnsi="仿宋" w:eastAsia="仿宋_GB2312" w:cs="仿宋_GB2312"/>
          <w:color w:val="000000"/>
          <w:sz w:val="32"/>
          <w:szCs w:val="32"/>
        </w:rPr>
        <w:t>人</w:t>
      </w:r>
      <w:r>
        <w:rPr>
          <w:rFonts w:hint="eastAsia" w:ascii="仿宋_GB2312" w:hAnsi="仿宋" w:eastAsia="仿宋_GB2312" w:cs="仿宋_GB2312"/>
          <w:sz w:val="32"/>
          <w:szCs w:val="32"/>
        </w:rPr>
        <w:t>。</w:t>
      </w:r>
    </w:p>
    <w:p w14:paraId="0F69152F">
      <w:pPr>
        <w:snapToGrid w:val="0"/>
        <w:spacing w:line="52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4、资产情况，包括当年变动情况及原因。</w:t>
      </w:r>
    </w:p>
    <w:p w14:paraId="34449B89">
      <w:pPr>
        <w:adjustRightInd w:val="0"/>
        <w:snapToGrid w:val="0"/>
        <w:spacing w:line="560" w:lineRule="exact"/>
        <w:ind w:firstLine="640" w:firstLineChars="200"/>
        <w:rPr>
          <w:rFonts w:ascii="仿宋" w:hAnsi="仿宋" w:eastAsia="仿宋"/>
          <w:sz w:val="32"/>
          <w:szCs w:val="32"/>
        </w:rPr>
      </w:pPr>
      <w:r>
        <w:rPr>
          <w:rFonts w:hint="eastAsia" w:ascii="仿宋_GB2312" w:hAnsi="仿宋" w:eastAsia="仿宋_GB2312" w:cs="仿宋_GB2312"/>
          <w:sz w:val="32"/>
          <w:szCs w:val="32"/>
        </w:rPr>
        <w:t>202</w:t>
      </w:r>
      <w:r>
        <w:rPr>
          <w:rFonts w:ascii="仿宋_GB2312" w:hAnsi="仿宋" w:eastAsia="仿宋_GB2312" w:cs="仿宋_GB2312"/>
          <w:sz w:val="32"/>
          <w:szCs w:val="32"/>
        </w:rPr>
        <w:t>4</w:t>
      </w:r>
      <w:r>
        <w:rPr>
          <w:rFonts w:hint="eastAsia" w:ascii="仿宋_GB2312" w:hAnsi="仿宋" w:eastAsia="仿宋_GB2312" w:cs="仿宋_GB2312"/>
          <w:sz w:val="32"/>
          <w:szCs w:val="32"/>
        </w:rPr>
        <w:t>年年初资产</w:t>
      </w:r>
      <w:r>
        <w:rPr>
          <w:rFonts w:ascii="仿宋_GB2312" w:hAnsi="仿宋" w:eastAsia="仿宋_GB2312" w:cs="仿宋_GB2312"/>
          <w:sz w:val="32"/>
          <w:szCs w:val="32"/>
        </w:rPr>
        <w:t>277.86</w:t>
      </w:r>
      <w:r>
        <w:rPr>
          <w:rFonts w:hint="eastAsia" w:ascii="仿宋_GB2312" w:hAnsi="仿宋" w:eastAsia="仿宋_GB2312" w:cs="仿宋_GB2312"/>
          <w:sz w:val="32"/>
          <w:szCs w:val="32"/>
        </w:rPr>
        <w:t>万元，年末资产</w:t>
      </w:r>
      <w:r>
        <w:rPr>
          <w:rFonts w:ascii="仿宋_GB2312" w:hAnsi="仿宋" w:eastAsia="仿宋_GB2312" w:cs="仿宋_GB2312"/>
          <w:sz w:val="32"/>
          <w:szCs w:val="32"/>
        </w:rPr>
        <w:t>293.75</w:t>
      </w:r>
      <w:r>
        <w:rPr>
          <w:rFonts w:hint="eastAsia" w:ascii="仿宋_GB2312" w:hAnsi="仿宋" w:eastAsia="仿宋_GB2312" w:cs="仿宋_GB2312"/>
          <w:sz w:val="32"/>
          <w:szCs w:val="32"/>
        </w:rPr>
        <w:t>万元。</w:t>
      </w:r>
    </w:p>
    <w:p w14:paraId="0ECA797B">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14:paraId="572292A2">
      <w:pPr>
        <w:pStyle w:val="10"/>
        <w:snapToGrid w:val="0"/>
        <w:spacing w:line="600" w:lineRule="exact"/>
        <w:ind w:left="0"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202</w:t>
      </w:r>
      <w:r>
        <w:rPr>
          <w:rFonts w:ascii="仿宋_GB2312" w:hAnsi="仿宋" w:eastAsia="仿宋_GB2312" w:cs="仿宋_GB2312"/>
          <w:sz w:val="32"/>
          <w:szCs w:val="32"/>
        </w:rPr>
        <w:t>4</w:t>
      </w:r>
      <w:r>
        <w:rPr>
          <w:rFonts w:hint="eastAsia" w:ascii="仿宋_GB2312" w:hAnsi="仿宋" w:eastAsia="仿宋_GB2312" w:cs="仿宋_GB2312"/>
          <w:sz w:val="32"/>
          <w:szCs w:val="32"/>
        </w:rPr>
        <w:t>年实际收入</w:t>
      </w:r>
      <w:r>
        <w:rPr>
          <w:rFonts w:ascii="仿宋_GB2312" w:hAnsi="仿宋" w:eastAsia="仿宋_GB2312" w:cs="仿宋_GB2312"/>
          <w:sz w:val="32"/>
          <w:szCs w:val="32"/>
        </w:rPr>
        <w:t>650.18</w:t>
      </w:r>
      <w:r>
        <w:rPr>
          <w:rFonts w:hint="eastAsia" w:ascii="仿宋_GB2312" w:hAnsi="仿宋" w:eastAsia="仿宋_GB2312" w:cs="仿宋_GB2312"/>
          <w:sz w:val="32"/>
          <w:szCs w:val="32"/>
        </w:rPr>
        <w:t>万元,实际支出</w:t>
      </w:r>
      <w:r>
        <w:rPr>
          <w:rFonts w:ascii="仿宋_GB2312" w:hAnsi="仿宋" w:eastAsia="仿宋_GB2312" w:cs="仿宋_GB2312"/>
          <w:sz w:val="32"/>
          <w:szCs w:val="32"/>
        </w:rPr>
        <w:t>650.18</w:t>
      </w:r>
      <w:r>
        <w:rPr>
          <w:rFonts w:hint="eastAsia" w:ascii="仿宋_GB2312" w:hAnsi="仿宋" w:eastAsia="仿宋_GB2312" w:cs="仿宋_GB2312"/>
          <w:sz w:val="32"/>
          <w:szCs w:val="32"/>
        </w:rPr>
        <w:t>万元其中：基本支出</w:t>
      </w:r>
      <w:r>
        <w:rPr>
          <w:rFonts w:ascii="仿宋_GB2312" w:hAnsi="仿宋" w:eastAsia="仿宋_GB2312" w:cs="仿宋_GB2312"/>
          <w:sz w:val="32"/>
          <w:szCs w:val="32"/>
        </w:rPr>
        <w:t>599.83</w:t>
      </w:r>
      <w:r>
        <w:rPr>
          <w:rFonts w:hint="eastAsia" w:ascii="仿宋_GB2312" w:hAnsi="仿宋" w:eastAsia="仿宋_GB2312" w:cs="仿宋_GB2312"/>
          <w:sz w:val="32"/>
          <w:szCs w:val="32"/>
        </w:rPr>
        <w:t>万元，项目支出</w:t>
      </w:r>
      <w:r>
        <w:rPr>
          <w:rFonts w:ascii="仿宋_GB2312" w:hAnsi="仿宋" w:eastAsia="仿宋_GB2312" w:cs="仿宋_GB2312"/>
          <w:sz w:val="32"/>
          <w:szCs w:val="32"/>
        </w:rPr>
        <w:t>50.35</w:t>
      </w:r>
      <w:r>
        <w:rPr>
          <w:rFonts w:hint="eastAsia" w:ascii="仿宋_GB2312" w:hAnsi="仿宋" w:eastAsia="仿宋_GB2312" w:cs="仿宋_GB2312"/>
          <w:sz w:val="32"/>
          <w:szCs w:val="32"/>
        </w:rPr>
        <w:t>万元,结余0万元。</w:t>
      </w:r>
    </w:p>
    <w:p w14:paraId="5B47540F">
      <w:pPr>
        <w:adjustRightInd w:val="0"/>
        <w:snapToGrid w:val="0"/>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3E75778A">
      <w:pPr>
        <w:pStyle w:val="8"/>
        <w:keepNext w:val="0"/>
        <w:keepLines w:val="0"/>
        <w:pageBreakBefore w:val="0"/>
        <w:widowControl w:val="0"/>
        <w:suppressAutoHyphens/>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仿宋_GB2312" w:eastAsia="仿宋_GB2312" w:cs="Times New Roman"/>
          <w:sz w:val="32"/>
          <w:szCs w:val="32"/>
        </w:rPr>
      </w:pPr>
      <w:r>
        <w:rPr>
          <w:rFonts w:ascii="楷体_GB2312" w:hAnsi="楷体_GB2312" w:eastAsia="楷体_GB2312" w:cs="楷体_GB2312"/>
          <w:sz w:val="32"/>
          <w:szCs w:val="32"/>
          <w:lang w:eastAsia="zh-CN" w:bidi="ar-SA"/>
        </w:rPr>
        <w:t>1.</w:t>
      </w:r>
      <w:r>
        <w:rPr>
          <w:rFonts w:hint="eastAsia" w:ascii="仿宋_GB2312" w:eastAsia="仿宋_GB2312" w:cs="方正仿宋_GBK"/>
          <w:bCs/>
          <w:sz w:val="32"/>
          <w:szCs w:val="32"/>
          <w:lang w:val="en-US" w:eastAsia="zh-CN" w:bidi="ar-SA"/>
        </w:rPr>
        <w:t>严格落实“第一议题”制度，</w:t>
      </w:r>
      <w:r>
        <w:rPr>
          <w:rFonts w:ascii="仿宋_GB2312" w:eastAsia="仿宋_GB2312" w:cs="方正仿宋_GBK"/>
          <w:bCs/>
          <w:sz w:val="32"/>
          <w:szCs w:val="32"/>
          <w:lang w:val="en-US" w:bidi="ar-SA"/>
        </w:rPr>
        <w:t>区纪委常委会</w:t>
      </w:r>
      <w:r>
        <w:rPr>
          <w:rFonts w:hint="eastAsia" w:ascii="仿宋_GB2312" w:eastAsia="仿宋_GB2312" w:cs="方正仿宋_GBK"/>
          <w:bCs/>
          <w:sz w:val="32"/>
          <w:szCs w:val="32"/>
          <w:lang w:val="en-US" w:eastAsia="zh-CN" w:bidi="ar-SA"/>
        </w:rPr>
        <w:t>带头学习</w:t>
      </w:r>
      <w:r>
        <w:rPr>
          <w:rFonts w:hint="eastAsia" w:ascii="仿宋_GB2312" w:eastAsia="仿宋_GB2312" w:cs="仿宋_GB2312"/>
          <w:sz w:val="32"/>
          <w:szCs w:val="32"/>
          <w:lang w:val="en-US" w:eastAsia="zh-CN" w:bidi="ar-SA"/>
        </w:rPr>
        <w:t>习近平新时代中国特色社会主义思想和</w:t>
      </w:r>
      <w:r>
        <w:rPr>
          <w:rFonts w:hint="eastAsia" w:ascii="仿宋_GB2312" w:eastAsia="仿宋_GB2312"/>
          <w:sz w:val="32"/>
          <w:szCs w:val="32"/>
        </w:rPr>
        <w:t>党的二十大</w:t>
      </w:r>
      <w:r>
        <w:rPr>
          <w:rFonts w:hint="eastAsia" w:ascii="仿宋_GB2312" w:eastAsia="仿宋_GB2312"/>
          <w:sz w:val="32"/>
          <w:szCs w:val="32"/>
          <w:lang w:eastAsia="zh-CN"/>
        </w:rPr>
        <w:t>精神</w:t>
      </w:r>
      <w:r>
        <w:rPr>
          <w:rFonts w:hint="eastAsia" w:ascii="仿宋_GB2312" w:eastAsia="仿宋_GB2312" w:cs="Times New Roman"/>
          <w:sz w:val="32"/>
          <w:szCs w:val="32"/>
          <w:lang w:eastAsia="zh-CN" w:bidi="ar-SA"/>
        </w:rPr>
        <w:t>等内容，及时跟进学习习近平总书记的重要讲话和重要指示批示精神，自觉用以武装头脑、指导实践、推动工作。</w:t>
      </w:r>
      <w:r>
        <w:rPr>
          <w:rFonts w:hint="eastAsia" w:ascii="仿宋_GB2312" w:hAnsi="楷体_GB2312" w:eastAsia="仿宋_GB2312" w:cs="Times New Roman"/>
          <w:sz w:val="32"/>
          <w:szCs w:val="32"/>
        </w:rPr>
        <w:t>扎实推进党纪学习教育，</w:t>
      </w:r>
      <w:r>
        <w:rPr>
          <w:rFonts w:hint="eastAsia" w:ascii="仿宋_GB2312" w:hAnsi="黑体" w:eastAsia="仿宋_GB2312" w:cs="Times New Roman"/>
          <w:sz w:val="32"/>
          <w:szCs w:val="32"/>
        </w:rPr>
        <w:t>教育引导全区党员干部把增强党性、严守纪律、砥砺作风贯通起来，融入日常、化为习惯。</w:t>
      </w:r>
    </w:p>
    <w:p w14:paraId="39BBEFC6">
      <w:pPr>
        <w:keepNext w:val="0"/>
        <w:keepLines w:val="0"/>
        <w:pageBreakBefore w:val="0"/>
        <w:widowControl w:val="0"/>
        <w:suppressAutoHyphens/>
        <w:kinsoku/>
        <w:wordWrap/>
        <w:overflowPunct/>
        <w:topLinePunct w:val="0"/>
        <w:autoSpaceDE/>
        <w:autoSpaceDN/>
        <w:bidi w:val="0"/>
        <w:adjustRightInd/>
        <w:snapToGrid/>
        <w:spacing w:line="600" w:lineRule="exact"/>
        <w:ind w:left="0" w:right="0" w:firstLine="643" w:firstLineChars="200"/>
        <w:jc w:val="both"/>
        <w:textAlignment w:val="auto"/>
        <w:outlineLvl w:val="9"/>
        <w:rPr>
          <w:rFonts w:ascii="仿宋_GB2312" w:eastAsia="仿宋_GB2312" w:cs="Times New Roman"/>
          <w:color w:val="FF0000"/>
          <w:sz w:val="32"/>
          <w:szCs w:val="32"/>
          <w:lang w:val="en-US" w:eastAsia="zh-CN"/>
        </w:rPr>
      </w:pPr>
      <w:r>
        <w:rPr>
          <w:rFonts w:ascii="仿宋_GB2312" w:eastAsia="仿宋_GB2312" w:cs="Times New Roman"/>
          <w:b/>
          <w:bCs/>
          <w:sz w:val="32"/>
          <w:szCs w:val="32"/>
          <w:lang w:val="en-US" w:eastAsia="zh-CN"/>
        </w:rPr>
        <w:t>2.</w:t>
      </w:r>
      <w:r>
        <w:rPr>
          <w:rFonts w:hint="eastAsia" w:ascii="仿宋_GB2312" w:hAnsi="Times New Roman" w:eastAsia="仿宋_GB2312" w:cs="仿宋_GB2312"/>
          <w:kern w:val="2"/>
          <w:sz w:val="32"/>
          <w:szCs w:val="32"/>
          <w:lang w:val="en-US" w:eastAsia="zh-CN" w:bidi="ar-SA"/>
        </w:rPr>
        <w:t>围绕</w:t>
      </w:r>
      <w:r>
        <w:rPr>
          <w:rFonts w:hint="eastAsia" w:ascii="仿宋_GB2312" w:hAnsi="楷体_GB2312" w:eastAsia="仿宋_GB2312" w:cs="仿宋_GB2312"/>
          <w:sz w:val="32"/>
          <w:szCs w:val="32"/>
          <w:lang w:bidi="ar-SA"/>
        </w:rPr>
        <w:t>京津冀协同发展</w:t>
      </w:r>
      <w:r>
        <w:rPr>
          <w:rFonts w:hint="eastAsia" w:ascii="仿宋_GB2312" w:hAnsi="楷体_GB2312" w:eastAsia="仿宋_GB2312" w:cs="仿宋_GB2312"/>
          <w:sz w:val="32"/>
          <w:szCs w:val="32"/>
          <w:lang w:eastAsia="zh-CN" w:bidi="ar-SA"/>
        </w:rPr>
        <w:t>、深化改革开放等重点任务，开展“室组地”常态化监督，坚决查处有令不行、有禁不止和打折扣、搞变通等问题，全力推动各项任务落地落实。对中小学校园食品安全和膳食经费管理、农村集体“三资”管理开展专项整治，发现督促整改问题</w:t>
      </w:r>
      <w:r>
        <w:rPr>
          <w:rFonts w:hint="eastAsia" w:ascii="仿宋_GB2312" w:hAnsi="楷体_GB2312" w:eastAsia="仿宋_GB2312" w:cs="仿宋_GB2312"/>
          <w:sz w:val="32"/>
          <w:szCs w:val="32"/>
          <w:lang w:val="en-US" w:eastAsia="zh-CN" w:bidi="ar-SA"/>
        </w:rPr>
        <w:t>158个。</w:t>
      </w:r>
    </w:p>
    <w:p w14:paraId="5D794EB4">
      <w:pPr>
        <w:keepNext w:val="0"/>
        <w:keepLines w:val="0"/>
        <w:pageBreakBefore w:val="0"/>
        <w:widowControl w:val="0"/>
        <w:suppressAutoHyphens/>
        <w:kinsoku/>
        <w:wordWrap/>
        <w:overflowPunct/>
        <w:topLinePunct w:val="0"/>
        <w:autoSpaceDE/>
        <w:autoSpaceDN/>
        <w:bidi w:val="0"/>
        <w:adjustRightInd/>
        <w:snapToGrid/>
        <w:spacing w:before="0" w:after="0" w:line="600" w:lineRule="exact"/>
        <w:ind w:left="0" w:right="0" w:firstLine="643" w:firstLineChars="200"/>
        <w:jc w:val="both"/>
        <w:textAlignment w:val="auto"/>
        <w:outlineLvl w:val="9"/>
        <w:rPr>
          <w:rFonts w:ascii="Cambria" w:hAnsi="Cambria" w:eastAsia="宋体" w:cs="Times New Roman"/>
          <w:color w:val="FF0000"/>
          <w:kern w:val="2"/>
          <w:sz w:val="24"/>
          <w:szCs w:val="24"/>
          <w:lang w:val="en-US" w:eastAsia="zh-CN" w:bidi="ar-SA"/>
        </w:rPr>
      </w:pPr>
      <w:r>
        <w:rPr>
          <w:rFonts w:ascii="仿宋_GB2312" w:eastAsia="仿宋_GB2312" w:cs="Times New Roman"/>
          <w:b/>
          <w:bCs/>
          <w:sz w:val="32"/>
          <w:szCs w:val="32"/>
          <w:lang w:val="en-US" w:eastAsia="zh-CN"/>
        </w:rPr>
        <w:t>3.</w:t>
      </w:r>
      <w:r>
        <w:rPr>
          <w:rFonts w:hint="eastAsia" w:ascii="仿宋_GB2312" w:hAnsi="Times New Roman" w:eastAsia="仿宋_GB2312" w:cs="仿宋_GB2312"/>
          <w:sz w:val="32"/>
          <w:szCs w:val="32"/>
          <w:lang w:bidi="ar-SA"/>
        </w:rPr>
        <w:t>坚持严的基调、严的措施、严的氛围，查办违反中央八项规定精神等作风问题，有力推动党员干部持续转变工作作风。紧盯</w:t>
      </w:r>
      <w:r>
        <w:rPr>
          <w:rFonts w:hint="eastAsia" w:ascii="仿宋_GB2312" w:hAnsi="Times New Roman" w:eastAsia="仿宋_GB2312" w:cs="仿宋_GB2312"/>
          <w:sz w:val="32"/>
          <w:szCs w:val="32"/>
          <w:lang w:eastAsia="zh-CN" w:bidi="ar-SA"/>
        </w:rPr>
        <w:t>元旦、春节、国庆等</w:t>
      </w:r>
      <w:r>
        <w:rPr>
          <w:rFonts w:hint="eastAsia" w:ascii="仿宋_GB2312" w:hAnsi="Times New Roman" w:eastAsia="仿宋_GB2312" w:cs="仿宋_GB2312"/>
          <w:sz w:val="32"/>
          <w:szCs w:val="32"/>
          <w:lang w:bidi="ar-SA"/>
        </w:rPr>
        <w:t>重要节点，通过制发</w:t>
      </w:r>
      <w:r>
        <w:rPr>
          <w:rFonts w:hint="eastAsia" w:ascii="仿宋_GB2312" w:hAnsi="Times New Roman" w:eastAsia="仿宋_GB2312" w:cs="仿宋_GB2312"/>
          <w:sz w:val="32"/>
          <w:szCs w:val="32"/>
          <w:lang w:eastAsia="zh-CN" w:bidi="ar-SA"/>
        </w:rPr>
        <w:t>工作</w:t>
      </w:r>
      <w:r>
        <w:rPr>
          <w:rFonts w:hint="eastAsia" w:ascii="仿宋_GB2312" w:hAnsi="Times New Roman" w:eastAsia="仿宋_GB2312" w:cs="仿宋_GB2312"/>
          <w:sz w:val="32"/>
          <w:szCs w:val="32"/>
          <w:lang w:bidi="ar-SA"/>
        </w:rPr>
        <w:t>提示、发送廉政短信、开展明察暗访等，持续压</w:t>
      </w:r>
      <w:r>
        <w:rPr>
          <w:rFonts w:hint="eastAsia" w:ascii="仿宋_GB2312" w:hAnsi="Times New Roman" w:eastAsia="仿宋_GB2312" w:cs="仿宋_GB2312"/>
          <w:kern w:val="2"/>
          <w:sz w:val="32"/>
          <w:szCs w:val="32"/>
          <w:lang w:val="en-US" w:eastAsia="zh-CN" w:bidi="ar-SA"/>
        </w:rPr>
        <w:t>紧压实正风肃纪责任，查处享乐主义、奢靡之风问题。</w:t>
      </w:r>
      <w:r>
        <w:rPr>
          <w:rFonts w:hint="eastAsia" w:ascii="仿宋_GB2312" w:eastAsia="仿宋_GB2312" w:cs="仿宋_GB2312"/>
          <w:sz w:val="32"/>
          <w:szCs w:val="32"/>
          <w:lang w:bidi="ar-SA"/>
        </w:rPr>
        <w:t>扎实开展狠刹违规吃喝歪风专项整治，多渠道排查违规吃喝问题线索。</w:t>
      </w:r>
      <w:r>
        <w:rPr>
          <w:rFonts w:hint="eastAsia" w:ascii="仿宋_GB2312" w:eastAsia="仿宋_GB2312" w:cs="仿宋_GB2312"/>
          <w:sz w:val="32"/>
          <w:szCs w:val="32"/>
          <w:lang w:eastAsia="zh-CN" w:bidi="ar-SA"/>
        </w:rPr>
        <w:t>常态化整治公职人员酒醉驾及其背后“四风”问题</w:t>
      </w:r>
      <w:r>
        <w:rPr>
          <w:rFonts w:hint="eastAsia" w:ascii="仿宋_GB2312" w:eastAsia="仿宋_GB2312" w:cs="仿宋_GB2312"/>
          <w:sz w:val="32"/>
          <w:szCs w:val="32"/>
          <w:lang w:val="en-US" w:eastAsia="zh-CN" w:bidi="ar-SA"/>
        </w:rPr>
        <w:t>。</w:t>
      </w:r>
    </w:p>
    <w:p w14:paraId="1D26F9FE">
      <w:pPr>
        <w:keepNext w:val="0"/>
        <w:keepLines w:val="0"/>
        <w:pageBreakBefore w:val="0"/>
        <w:widowControl w:val="0"/>
        <w:suppressAutoHyphens/>
        <w:kinsoku/>
        <w:wordWrap/>
        <w:overflowPunct/>
        <w:topLinePunct w:val="0"/>
        <w:autoSpaceDE/>
        <w:autoSpaceDN/>
        <w:bidi w:val="0"/>
        <w:adjustRightInd/>
        <w:snapToGrid/>
        <w:spacing w:before="0" w:after="0" w:line="600" w:lineRule="exact"/>
        <w:ind w:left="0" w:right="0" w:firstLine="643" w:firstLineChars="200"/>
        <w:jc w:val="both"/>
        <w:textAlignment w:val="auto"/>
        <w:outlineLvl w:val="9"/>
        <w:rPr>
          <w:rFonts w:hint="eastAsia" w:ascii="仿宋_GB2312" w:hAnsi="仿宋_GB2312" w:eastAsia="仿宋_GB2312" w:cs="仿宋_GB2312"/>
          <w:color w:val="FF0000"/>
          <w:sz w:val="32"/>
          <w:szCs w:val="32"/>
          <w:lang w:val="en-US" w:eastAsia="zh-CN"/>
        </w:rPr>
      </w:pPr>
      <w:r>
        <w:rPr>
          <w:rFonts w:ascii="仿宋_GB2312" w:eastAsia="仿宋_GB2312" w:cs="Times New Roman"/>
          <w:b/>
          <w:bCs/>
          <w:spacing w:val="0"/>
          <w:sz w:val="32"/>
          <w:szCs w:val="32"/>
          <w:lang w:val="en-US" w:eastAsia="zh-CN"/>
        </w:rPr>
        <w:t>4.</w:t>
      </w:r>
      <w:r>
        <w:rPr>
          <w:rFonts w:hint="eastAsia" w:ascii="仿宋_GB2312" w:hAnsi="黑体" w:eastAsia="仿宋_GB2312" w:cs="仿宋_GB2312"/>
          <w:bCs w:val="0"/>
          <w:sz w:val="32"/>
          <w:szCs w:val="32"/>
          <w:lang w:bidi="ar-SA"/>
        </w:rPr>
        <w:t>深入贯彻</w:t>
      </w:r>
      <w:r>
        <w:rPr>
          <w:rFonts w:hint="eastAsia" w:ascii="仿宋_GB2312" w:hAnsi="黑体" w:eastAsia="仿宋_GB2312" w:cs="仿宋_GB2312"/>
          <w:bCs w:val="0"/>
          <w:sz w:val="32"/>
          <w:szCs w:val="32"/>
          <w:lang w:val="en-US" w:eastAsia="zh-CN" w:bidi="ar-SA"/>
        </w:rPr>
        <w:t>落实</w:t>
      </w:r>
      <w:r>
        <w:rPr>
          <w:rFonts w:hint="eastAsia" w:ascii="仿宋_GB2312" w:hAnsi="黑体" w:eastAsia="仿宋_GB2312" w:cs="仿宋_GB2312"/>
          <w:bCs w:val="0"/>
          <w:sz w:val="32"/>
          <w:szCs w:val="32"/>
          <w:lang w:bidi="ar-SA"/>
        </w:rPr>
        <w:t>上级纪委监委有关要求，</w:t>
      </w:r>
      <w:r>
        <w:rPr>
          <w:rFonts w:hint="eastAsia" w:ascii="仿宋_GB2312" w:hAnsi="楷体_GB2312" w:eastAsia="仿宋_GB2312" w:cs="仿宋_GB2312"/>
          <w:bCs w:val="0"/>
          <w:sz w:val="32"/>
          <w:szCs w:val="32"/>
          <w:lang w:bidi="ar-SA"/>
        </w:rPr>
        <w:t>依纪依法</w:t>
      </w:r>
      <w:r>
        <w:rPr>
          <w:rFonts w:hint="eastAsia" w:ascii="仿宋_GB2312" w:eastAsia="仿宋_GB2312" w:cs="仿宋_GB2312"/>
          <w:bCs w:val="0"/>
          <w:sz w:val="32"/>
          <w:szCs w:val="32"/>
          <w:lang w:bidi="ar-SA"/>
        </w:rPr>
        <w:t>严肃查处了一批群众身边的作风腐败问题，以实际成效呵护人民群众切身利益</w:t>
      </w:r>
      <w:r>
        <w:rPr>
          <w:rFonts w:ascii="仿宋_GB2312" w:eastAsia="仿宋_GB2312" w:cs="仿宋_GB2312"/>
          <w:bCs w:val="0"/>
          <w:sz w:val="32"/>
          <w:szCs w:val="32"/>
          <w:lang w:bidi="ar-SA"/>
        </w:rPr>
        <w:t>。</w:t>
      </w:r>
      <w:r>
        <w:rPr>
          <w:rFonts w:hint="eastAsia" w:ascii="仿宋_GB2312" w:eastAsia="仿宋_GB2312" w:cs="仿宋_GB2312"/>
          <w:bCs w:val="0"/>
          <w:sz w:val="32"/>
          <w:szCs w:val="32"/>
          <w:lang w:bidi="ar-SA"/>
        </w:rPr>
        <w:t>区纪委监委先后40余次召开纪委常委会、集中整治领导小组会等，安排调度安排整治工作；班子成员带队，深入基层一线开展调研，了解情况、发现线索，以点带面带动工作实现突破提升。用好“八个渠道”深挖问题线索，注重从巡察、在办案件中寻找线索，会同审计部门筛选重点部门和领域进行专项审计，边审计边移交问题线索。保持高压震慑态势，全区共处置问题线索301件</w:t>
      </w:r>
      <w:r>
        <w:rPr>
          <w:rFonts w:ascii="仿宋_GB2312" w:eastAsia="仿宋_GB2312" w:cs="仿宋_GB2312"/>
          <w:bCs w:val="0"/>
          <w:sz w:val="32"/>
          <w:szCs w:val="32"/>
          <w:lang w:bidi="ar-SA"/>
        </w:rPr>
        <w:t>。</w:t>
      </w:r>
    </w:p>
    <w:p w14:paraId="50049767">
      <w:pPr>
        <w:pStyle w:val="13"/>
        <w:keepNext w:val="0"/>
        <w:keepLines w:val="0"/>
        <w:pageBreakBefore w:val="0"/>
        <w:widowControl w:val="0"/>
        <w:kinsoku/>
        <w:wordWrap/>
        <w:overflowPunct/>
        <w:topLinePunct w:val="0"/>
        <w:autoSpaceDE/>
        <w:autoSpaceDN/>
        <w:adjustRightInd/>
        <w:snapToGrid/>
        <w:spacing w:line="600" w:lineRule="exact"/>
        <w:ind w:firstLine="643" w:firstLineChars="200"/>
        <w:rPr>
          <w:rFonts w:hint="eastAsia" w:ascii="黑体" w:hAnsi="黑体" w:eastAsia="黑体" w:cs="黑体"/>
          <w:szCs w:val="32"/>
        </w:rPr>
      </w:pPr>
      <w:r>
        <w:rPr>
          <w:rFonts w:ascii="仿宋_GB2312" w:hAnsi="仿宋_GB2312" w:eastAsia="仿宋_GB2312" w:cs="仿宋_GB2312"/>
          <w:b/>
          <w:bCs w:val="0"/>
          <w:spacing w:val="0"/>
          <w:kern w:val="2"/>
          <w:sz w:val="32"/>
          <w:szCs w:val="32"/>
          <w:lang w:val="en-US" w:eastAsia="zh-CN" w:bidi="ar-SA"/>
        </w:rPr>
        <w:t>5.</w:t>
      </w:r>
      <w:r>
        <w:rPr>
          <w:rFonts w:hint="eastAsia" w:ascii="仿宋_GB2312" w:hAnsi="楷体_GB2312" w:eastAsia="仿宋_GB2312" w:cs="仿宋_GB2312"/>
          <w:sz w:val="32"/>
          <w:szCs w:val="32"/>
          <w:lang w:bidi="ar-SA"/>
        </w:rPr>
        <w:t>扎实推进党纪学习教育，</w:t>
      </w:r>
      <w:r>
        <w:rPr>
          <w:rFonts w:hint="eastAsia" w:ascii="仿宋_GB2312" w:hAnsi="黑体" w:eastAsia="仿宋_GB2312" w:cs="仿宋_GB2312"/>
          <w:szCs w:val="32"/>
          <w:lang w:bidi="ar-SA"/>
        </w:rPr>
        <w:t>教育引导全区党员干部把增强党性、严守纪律、砥砺作风贯通起来，融入日常、化为习惯。</w:t>
      </w:r>
      <w:r>
        <w:rPr>
          <w:rFonts w:hint="eastAsia" w:ascii="仿宋_GB2312" w:eastAsia="仿宋_GB2312" w:cs="仿宋_GB2312"/>
          <w:sz w:val="32"/>
          <w:szCs w:val="32"/>
          <w:lang w:bidi="ar-SA"/>
        </w:rPr>
        <w:t>向全区各单位赠送《条例》读本，</w:t>
      </w:r>
      <w:r>
        <w:rPr>
          <w:rFonts w:hint="eastAsia" w:ascii="仿宋_GB2312" w:hAnsi="黑体" w:eastAsia="仿宋_GB2312" w:cs="仿宋_GB2312"/>
          <w:szCs w:val="32"/>
          <w:lang w:bidi="ar-SA"/>
        </w:rPr>
        <w:t>在</w:t>
      </w:r>
      <w:r>
        <w:rPr>
          <w:rFonts w:hint="eastAsia" w:ascii="仿宋_GB2312" w:eastAsia="仿宋_GB2312" w:cs="仿宋_GB2312"/>
          <w:sz w:val="32"/>
          <w:szCs w:val="32"/>
          <w:lang w:bidi="ar-SA"/>
        </w:rPr>
        <w:t>社区干部、年轻干部、基层党务、发展对象等培训中以及</w:t>
      </w:r>
      <w:r>
        <w:rPr>
          <w:rFonts w:hint="eastAsia" w:ascii="仿宋_GB2312" w:eastAsia="仿宋_GB2312" w:cs="仿宋_GB2312"/>
          <w:sz w:val="32"/>
          <w:szCs w:val="32"/>
          <w:lang w:val="en-US" w:eastAsia="zh-CN" w:bidi="ar-SA"/>
        </w:rPr>
        <w:t>全区领导干部党纪学习教育读书班上</w:t>
      </w:r>
      <w:r>
        <w:rPr>
          <w:rFonts w:hint="eastAsia" w:ascii="仿宋_GB2312" w:hAnsi="黑体" w:eastAsia="仿宋_GB2312" w:cs="仿宋_GB2312"/>
          <w:szCs w:val="32"/>
          <w:lang w:bidi="ar-SA"/>
        </w:rPr>
        <w:t>认真开展《条例》专题解读，积极营造学纪知纪明纪守纪良好氛围，不断提升党纪学习质效。</w:t>
      </w:r>
      <w:r>
        <w:rPr>
          <w:rFonts w:hint="eastAsia" w:ascii="仿宋_GB2312" w:eastAsia="仿宋_GB2312" w:cs="仿宋_GB2312"/>
          <w:sz w:val="32"/>
          <w:szCs w:val="32"/>
          <w:lang w:bidi="ar-SA"/>
        </w:rPr>
        <w:t>深化运用监督执纪“四种形态”，批评教育帮助和处理421人，实现了“三个效果”有机统一。</w:t>
      </w:r>
    </w:p>
    <w:p w14:paraId="7718700D">
      <w:pPr>
        <w:keepNext w:val="0"/>
        <w:keepLines w:val="0"/>
        <w:pageBreakBefore w:val="0"/>
        <w:widowControl w:val="0"/>
        <w:suppressAutoHyphens/>
        <w:kinsoku/>
        <w:wordWrap/>
        <w:overflowPunct/>
        <w:topLinePunct w:val="0"/>
        <w:autoSpaceDE w:val="0"/>
        <w:autoSpaceDN/>
        <w:adjustRightInd/>
        <w:snapToGrid/>
        <w:spacing w:line="600" w:lineRule="exact"/>
        <w:ind w:firstLine="643" w:firstLineChars="200"/>
        <w:rPr>
          <w:rFonts w:ascii="仿宋_GB2312" w:eastAsia="仿宋_GB2312" w:cs="仿宋_GB2312"/>
          <w:sz w:val="32"/>
          <w:szCs w:val="32"/>
          <w:lang w:bidi="ar-SA"/>
        </w:rPr>
      </w:pPr>
      <w:r>
        <w:rPr>
          <w:rFonts w:ascii="仿宋_GB2312" w:hAnsi="仿宋_GB2312" w:eastAsia="仿宋_GB2312" w:cs="仿宋_GB2312"/>
          <w:b/>
          <w:bCs w:val="0"/>
          <w:spacing w:val="0"/>
          <w:kern w:val="2"/>
          <w:sz w:val="32"/>
          <w:szCs w:val="32"/>
          <w:lang w:val="en-US" w:eastAsia="zh-CN" w:bidi="ar-SA"/>
        </w:rPr>
        <w:t>6.</w:t>
      </w:r>
      <w:r>
        <w:rPr>
          <w:rFonts w:hint="eastAsia" w:ascii="仿宋_GB2312" w:hAnsi="仿宋_GB2312" w:eastAsia="仿宋_GB2312" w:cs="仿宋_GB2312"/>
          <w:sz w:val="32"/>
          <w:szCs w:val="32"/>
        </w:rPr>
        <w:t>督促全区各单位充分</w:t>
      </w:r>
      <w:r>
        <w:rPr>
          <w:rFonts w:hint="eastAsia" w:ascii="仿宋_GB2312" w:hAnsi="仿宋_GB2312" w:eastAsia="仿宋_GB2312" w:cs="仿宋_GB2312"/>
          <w:sz w:val="32"/>
          <w:szCs w:val="32"/>
          <w:lang w:eastAsia="zh-CN"/>
        </w:rPr>
        <w:t>运用</w:t>
      </w:r>
      <w:r>
        <w:rPr>
          <w:rFonts w:hint="eastAsia" w:ascii="仿宋_GB2312" w:hAnsi="仿宋_GB2312" w:eastAsia="仿宋_GB2312" w:cs="仿宋_GB2312"/>
          <w:sz w:val="32"/>
          <w:szCs w:val="32"/>
          <w:lang w:val="en-US" w:eastAsia="zh-CN"/>
        </w:rPr>
        <w:t>各类警示教育片</w:t>
      </w:r>
      <w:r>
        <w:rPr>
          <w:rFonts w:hint="eastAsia" w:ascii="仿宋_GB2312" w:hAnsi="仿宋_GB2312" w:eastAsia="仿宋_GB2312" w:cs="仿宋_GB2312"/>
          <w:sz w:val="32"/>
          <w:szCs w:val="32"/>
          <w:lang w:eastAsia="zh-CN"/>
        </w:rPr>
        <w:t>开展警示教育</w:t>
      </w:r>
      <w:r>
        <w:rPr>
          <w:rFonts w:hint="eastAsia" w:ascii="仿宋_GB2312" w:hAnsi="仿宋_GB2312" w:eastAsia="仿宋_GB2312" w:cs="仿宋_GB2312"/>
          <w:sz w:val="32"/>
          <w:szCs w:val="32"/>
        </w:rPr>
        <w:t>，</w:t>
      </w:r>
      <w:r>
        <w:rPr>
          <w:rFonts w:hint="eastAsia" w:ascii="仿宋_GB2312" w:hAnsi="黑体" w:eastAsia="仿宋_GB2312" w:cs="仿宋_GB2312"/>
          <w:sz w:val="32"/>
          <w:szCs w:val="32"/>
        </w:rPr>
        <w:t>进一步提高了党员干部拒腐防变的意识和能力；</w:t>
      </w:r>
      <w:r>
        <w:rPr>
          <w:rFonts w:hint="eastAsia" w:ascii="仿宋_GB2312" w:eastAsia="仿宋_GB2312" w:cs="仿宋_GB2312"/>
          <w:sz w:val="32"/>
          <w:szCs w:val="32"/>
        </w:rPr>
        <w:t>协助</w:t>
      </w:r>
      <w:r>
        <w:rPr>
          <w:rFonts w:hint="eastAsia" w:ascii="仿宋_GB2312" w:eastAsia="仿宋_GB2312" w:cs="仿宋_GB2312"/>
          <w:sz w:val="32"/>
          <w:szCs w:val="32"/>
          <w:lang w:bidi="ar-SA"/>
        </w:rPr>
        <w:t>区委召开领导干部政治性警示教育大会暨新任职区管干部集体廉政谈话会，新任职区管干部及家属一同签订了《廉洁从政和助廉承诺书》；加强新时代廉洁文化建设，</w:t>
      </w:r>
      <w:r>
        <w:rPr>
          <w:rFonts w:hint="eastAsia" w:ascii="仿宋_GB2312" w:hAnsi="仿宋_GB2312" w:eastAsia="仿宋_GB2312" w:cs="仿宋_GB2312"/>
          <w:sz w:val="32"/>
          <w:szCs w:val="32"/>
          <w:lang w:bidi="ar-SA"/>
        </w:rPr>
        <w:t>拍摄了廉洁文化微电影并积极</w:t>
      </w:r>
      <w:r>
        <w:rPr>
          <w:rFonts w:hint="eastAsia" w:ascii="仿宋_GB2312" w:eastAsia="仿宋_GB2312" w:cs="仿宋_GB2312"/>
          <w:sz w:val="32"/>
          <w:szCs w:val="32"/>
          <w:lang w:bidi="ar-SA"/>
        </w:rPr>
        <w:t>参加全市征集展示活动，进一步扩大了廉洁文化影响力。</w:t>
      </w:r>
    </w:p>
    <w:p w14:paraId="7E9D93D7">
      <w:pPr>
        <w:keepNext w:val="0"/>
        <w:keepLines w:val="0"/>
        <w:pageBreakBefore w:val="0"/>
        <w:widowControl w:val="0"/>
        <w:suppressAutoHyphens/>
        <w:kinsoku/>
        <w:wordWrap/>
        <w:overflowPunct/>
        <w:topLinePunct w:val="0"/>
        <w:autoSpaceDE w:val="0"/>
        <w:autoSpaceDN/>
        <w:adjustRightInd/>
        <w:snapToGrid/>
        <w:spacing w:line="600" w:lineRule="exact"/>
        <w:ind w:firstLine="640" w:firstLineChars="200"/>
        <w:rPr>
          <w:rFonts w:ascii="仿宋_GB2312" w:eastAsia="仿宋_GB2312" w:cs="仿宋_GB2312"/>
          <w:sz w:val="32"/>
          <w:szCs w:val="32"/>
          <w:lang w:bidi="ar-SA"/>
        </w:rPr>
      </w:pPr>
    </w:p>
    <w:p w14:paraId="24E2BB1B">
      <w:pPr>
        <w:keepNext w:val="0"/>
        <w:keepLines w:val="0"/>
        <w:pageBreakBefore w:val="0"/>
        <w:widowControl w:val="0"/>
        <w:suppressAutoHyphens/>
        <w:kinsoku/>
        <w:wordWrap/>
        <w:overflowPunct/>
        <w:topLinePunct w:val="0"/>
        <w:autoSpaceDE w:val="0"/>
        <w:autoSpaceDN/>
        <w:adjustRightInd/>
        <w:snapToGrid/>
        <w:spacing w:line="600" w:lineRule="exact"/>
        <w:ind w:firstLine="640" w:firstLineChars="200"/>
        <w:rPr>
          <w:rFonts w:ascii="仿宋_GB2312" w:eastAsia="仿宋_GB2312" w:cs="仿宋_GB2312"/>
          <w:sz w:val="32"/>
          <w:szCs w:val="32"/>
          <w:lang w:bidi="ar-SA"/>
        </w:rPr>
      </w:pPr>
    </w:p>
    <w:p w14:paraId="68064704">
      <w:pPr>
        <w:keepNext w:val="0"/>
        <w:keepLines w:val="0"/>
        <w:pageBreakBefore w:val="0"/>
        <w:widowControl w:val="0"/>
        <w:suppressAutoHyphens/>
        <w:kinsoku/>
        <w:wordWrap/>
        <w:overflowPunct/>
        <w:topLinePunct w:val="0"/>
        <w:autoSpaceDE w:val="0"/>
        <w:autoSpaceDN/>
        <w:adjustRightInd/>
        <w:snapToGrid/>
        <w:spacing w:line="600" w:lineRule="exact"/>
        <w:ind w:firstLine="640" w:firstLineChars="200"/>
        <w:rPr>
          <w:rFonts w:ascii="仿宋_GB2312" w:eastAsia="仿宋_GB2312" w:cs="仿宋_GB2312"/>
          <w:sz w:val="32"/>
          <w:szCs w:val="32"/>
          <w:lang w:bidi="ar-SA"/>
        </w:rPr>
      </w:pPr>
    </w:p>
    <w:p w14:paraId="0257D072">
      <w:pPr>
        <w:keepNext w:val="0"/>
        <w:keepLines w:val="0"/>
        <w:pageBreakBefore w:val="0"/>
        <w:widowControl w:val="0"/>
        <w:suppressAutoHyphens/>
        <w:kinsoku/>
        <w:wordWrap/>
        <w:overflowPunct/>
        <w:topLinePunct w:val="0"/>
        <w:autoSpaceDE w:val="0"/>
        <w:autoSpaceDN/>
        <w:adjustRightInd/>
        <w:snapToGrid/>
        <w:spacing w:line="600" w:lineRule="exact"/>
        <w:ind w:firstLine="640" w:firstLineChars="200"/>
        <w:rPr>
          <w:rFonts w:ascii="仿宋_GB2312" w:eastAsia="仿宋_GB2312" w:cs="仿宋_GB2312"/>
          <w:sz w:val="32"/>
          <w:szCs w:val="32"/>
          <w:lang w:bidi="ar-SA"/>
        </w:rPr>
      </w:pPr>
    </w:p>
    <w:p w14:paraId="643312CB">
      <w:pPr>
        <w:keepNext w:val="0"/>
        <w:keepLines w:val="0"/>
        <w:pageBreakBefore w:val="0"/>
        <w:widowControl w:val="0"/>
        <w:suppressAutoHyphens/>
        <w:kinsoku/>
        <w:wordWrap/>
        <w:overflowPunct/>
        <w:topLinePunct w:val="0"/>
        <w:autoSpaceDE w:val="0"/>
        <w:autoSpaceDN/>
        <w:adjustRightInd/>
        <w:snapToGrid/>
        <w:spacing w:line="600" w:lineRule="exact"/>
        <w:ind w:firstLine="640" w:firstLineChars="200"/>
        <w:rPr>
          <w:rFonts w:ascii="仿宋_GB2312" w:eastAsia="仿宋_GB2312" w:cs="仿宋_GB2312"/>
          <w:sz w:val="32"/>
          <w:szCs w:val="32"/>
          <w:lang w:bidi="ar-SA"/>
        </w:rPr>
      </w:pPr>
    </w:p>
    <w:p w14:paraId="49EA76F2">
      <w:pPr>
        <w:keepNext w:val="0"/>
        <w:keepLines w:val="0"/>
        <w:pageBreakBefore w:val="0"/>
        <w:widowControl w:val="0"/>
        <w:suppressAutoHyphens/>
        <w:kinsoku/>
        <w:wordWrap/>
        <w:overflowPunct/>
        <w:topLinePunct w:val="0"/>
        <w:autoSpaceDE w:val="0"/>
        <w:autoSpaceDN/>
        <w:adjustRightInd/>
        <w:snapToGrid/>
        <w:spacing w:line="600" w:lineRule="exact"/>
        <w:ind w:firstLine="640" w:firstLineChars="200"/>
        <w:rPr>
          <w:rFonts w:ascii="仿宋_GB2312" w:eastAsia="仿宋_GB2312" w:cs="仿宋_GB2312"/>
          <w:sz w:val="32"/>
          <w:szCs w:val="32"/>
          <w:lang w:bidi="ar-SA"/>
        </w:rPr>
      </w:pPr>
    </w:p>
    <w:p w14:paraId="7D446258">
      <w:pPr>
        <w:keepNext w:val="0"/>
        <w:keepLines w:val="0"/>
        <w:pageBreakBefore w:val="0"/>
        <w:widowControl w:val="0"/>
        <w:suppressAutoHyphens/>
        <w:kinsoku/>
        <w:wordWrap/>
        <w:overflowPunct/>
        <w:topLinePunct w:val="0"/>
        <w:autoSpaceDE w:val="0"/>
        <w:autoSpaceDN/>
        <w:adjustRightInd/>
        <w:snapToGrid/>
        <w:spacing w:line="600" w:lineRule="exact"/>
        <w:ind w:firstLine="640" w:firstLineChars="200"/>
        <w:rPr>
          <w:rFonts w:ascii="仿宋_GB2312" w:eastAsia="仿宋_GB2312" w:cs="仿宋_GB2312"/>
          <w:sz w:val="32"/>
          <w:szCs w:val="32"/>
          <w:lang w:bidi="ar-SA"/>
        </w:rPr>
      </w:pPr>
    </w:p>
    <w:p w14:paraId="13414475">
      <w:pPr>
        <w:keepNext w:val="0"/>
        <w:keepLines w:val="0"/>
        <w:pageBreakBefore w:val="0"/>
        <w:widowControl w:val="0"/>
        <w:suppressAutoHyphens/>
        <w:kinsoku/>
        <w:wordWrap/>
        <w:overflowPunct/>
        <w:topLinePunct w:val="0"/>
        <w:autoSpaceDE w:val="0"/>
        <w:autoSpaceDN/>
        <w:adjustRightInd/>
        <w:snapToGrid/>
        <w:spacing w:line="600" w:lineRule="exact"/>
        <w:ind w:firstLine="420" w:firstLineChars="200"/>
        <w:rPr>
          <w:color w:val="FF0000"/>
        </w:rPr>
      </w:pPr>
    </w:p>
    <w:tbl>
      <w:tblPr>
        <w:tblStyle w:val="11"/>
        <w:tblW w:w="996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1371"/>
        <w:gridCol w:w="1266"/>
        <w:gridCol w:w="1386"/>
        <w:gridCol w:w="1192"/>
        <w:gridCol w:w="659"/>
        <w:gridCol w:w="651"/>
        <w:gridCol w:w="817"/>
        <w:gridCol w:w="1308"/>
        <w:gridCol w:w="1319"/>
      </w:tblGrid>
      <w:tr w14:paraId="71832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50" w:hRule="atLeast"/>
        </w:trPr>
        <w:tc>
          <w:tcPr>
            <w:tcW w:w="9969" w:type="dxa"/>
            <w:gridSpan w:val="9"/>
            <w:shd w:val="clear" w:color="auto" w:fill="D3DCE9"/>
            <w:vAlign w:val="center"/>
          </w:tcPr>
          <w:p w14:paraId="35AD6076">
            <w:pPr>
              <w:widowControl/>
              <w:jc w:val="center"/>
              <w:textAlignment w:val="center"/>
              <w:rPr>
                <w:rFonts w:hint="eastAsia" w:ascii="仿宋_GB2312" w:hAnsi="宋体" w:eastAsia="仿宋_GB2312" w:cs="仿宋_GB2312"/>
                <w:color w:val="000000"/>
                <w:sz w:val="32"/>
                <w:szCs w:val="32"/>
              </w:rPr>
            </w:pPr>
            <w:r>
              <w:rPr>
                <w:rFonts w:hint="eastAsia" w:ascii="仿宋_GB2312" w:hAnsi="宋体" w:eastAsia="仿宋_GB2312" w:cs="仿宋_GB2312"/>
                <w:color w:val="000000"/>
                <w:kern w:val="0"/>
                <w:sz w:val="32"/>
                <w:szCs w:val="32"/>
              </w:rPr>
              <w:t>预算项目绩效信息表</w:t>
            </w:r>
          </w:p>
        </w:tc>
      </w:tr>
      <w:tr w14:paraId="3438A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65" w:hRule="atLeast"/>
        </w:trPr>
        <w:tc>
          <w:tcPr>
            <w:tcW w:w="13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839A81">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12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EBC450">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3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C0F71D">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11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D5CBD8">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w:t>
            </w:r>
          </w:p>
        </w:tc>
        <w:tc>
          <w:tcPr>
            <w:tcW w:w="6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E79ADC">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评（扣）分标准</w:t>
            </w:r>
          </w:p>
        </w:tc>
        <w:tc>
          <w:tcPr>
            <w:tcW w:w="2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0002ED">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13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5CD392">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指标值确定依据</w:t>
            </w:r>
          </w:p>
        </w:tc>
      </w:tr>
      <w:tr w14:paraId="75EFE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65" w:hRule="atLeast"/>
        </w:trPr>
        <w:tc>
          <w:tcPr>
            <w:tcW w:w="1371" w:type="dxa"/>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14:paraId="13EC0DFD"/>
        </w:tc>
        <w:tc>
          <w:tcPr>
            <w:tcW w:w="15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8F67A5"/>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D4EDB8"/>
        </w:tc>
        <w:tc>
          <w:tcPr>
            <w:tcW w:w="9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E346D5"/>
        </w:tc>
        <w:tc>
          <w:tcPr>
            <w:tcW w:w="6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811547"/>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7859A">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00B12">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90738">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单位（文字描述）</w:t>
            </w:r>
          </w:p>
        </w:tc>
        <w:tc>
          <w:tcPr>
            <w:tcW w:w="13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B936F0"/>
        </w:tc>
      </w:tr>
      <w:tr w14:paraId="10FEE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45" w:hRule="atLeast"/>
        </w:trPr>
        <w:tc>
          <w:tcPr>
            <w:tcW w:w="1371"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14:paraId="76C9DA1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产出指标</w:t>
            </w:r>
          </w:p>
        </w:tc>
        <w:tc>
          <w:tcPr>
            <w:tcW w:w="1266" w:type="dxa"/>
            <w:tcBorders>
              <w:top w:val="single" w:color="000000" w:sz="4" w:space="0"/>
              <w:left w:val="single" w:color="auto" w:sz="4" w:space="0"/>
              <w:bottom w:val="single" w:color="000000" w:sz="4" w:space="0"/>
              <w:right w:val="single" w:color="000000" w:sz="4" w:space="0"/>
            </w:tcBorders>
            <w:shd w:val="clear" w:color="auto" w:fill="auto"/>
            <w:vAlign w:val="center"/>
          </w:tcPr>
          <w:p w14:paraId="531BD01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6FAD6">
            <w:pPr>
              <w:widowControl/>
              <w:jc w:val="left"/>
              <w:textAlignment w:val="center"/>
              <w:rPr>
                <w:rFonts w:ascii="宋体" w:hAnsi="宋体" w:cs="宋体"/>
                <w:color w:val="000000"/>
                <w:sz w:val="18"/>
                <w:szCs w:val="18"/>
              </w:rPr>
            </w:pPr>
            <w:r>
              <w:rPr>
                <w:rFonts w:hint="eastAsia" w:ascii="宋体" w:hAnsi="宋体"/>
                <w:sz w:val="18"/>
                <w:szCs w:val="18"/>
              </w:rPr>
              <w:t>监督检查计划完成率</w:t>
            </w: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A2097">
            <w:pPr>
              <w:spacing w:line="300" w:lineRule="exact"/>
              <w:jc w:val="left"/>
              <w:rPr>
                <w:rFonts w:ascii="宋体" w:hAnsi="宋体"/>
                <w:sz w:val="18"/>
                <w:szCs w:val="18"/>
              </w:rPr>
            </w:pPr>
            <w:r>
              <w:rPr>
                <w:rFonts w:hint="eastAsia" w:ascii="宋体" w:hAnsi="宋体"/>
                <w:sz w:val="18"/>
                <w:szCs w:val="18"/>
              </w:rPr>
              <w:t>日常开展监督监察和重要节点监督检查</w:t>
            </w:r>
          </w:p>
        </w:tc>
        <w:tc>
          <w:tcPr>
            <w:tcW w:w="659" w:type="dxa"/>
            <w:tcBorders>
              <w:top w:val="single" w:color="000000" w:sz="4" w:space="0"/>
              <w:left w:val="single" w:color="000000" w:sz="4" w:space="0"/>
              <w:bottom w:val="single" w:color="000000" w:sz="4" w:space="0"/>
              <w:right w:val="single" w:color="000000" w:sz="4" w:space="0"/>
            </w:tcBorders>
            <w:shd w:val="clear" w:color="auto" w:fill="auto"/>
          </w:tcPr>
          <w:p w14:paraId="53C4AC66">
            <w:pPr>
              <w:widowControl/>
              <w:jc w:val="left"/>
              <w:textAlignment w:val="top"/>
              <w:rPr>
                <w:rFonts w:ascii="宋体" w:hAnsi="宋体" w:cs="宋体"/>
                <w:color w:val="000000"/>
                <w:sz w:val="18"/>
                <w:szCs w:val="18"/>
              </w:rPr>
            </w:pPr>
            <w:r>
              <w:rPr>
                <w:rFonts w:hint="eastAsia" w:ascii="宋体" w:hAnsi="宋体" w:cs="宋体"/>
                <w:color w:val="000000"/>
                <w:kern w:val="0"/>
                <w:sz w:val="18"/>
                <w:szCs w:val="18"/>
              </w:rPr>
              <w:t>无</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71A1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71D60">
            <w:pPr>
              <w:widowControl/>
              <w:jc w:val="center"/>
              <w:textAlignment w:val="center"/>
              <w:rPr>
                <w:rFonts w:ascii="宋体" w:hAnsi="宋体" w:cs="宋体"/>
                <w:color w:val="000000"/>
                <w:sz w:val="18"/>
                <w:szCs w:val="18"/>
              </w:rPr>
            </w:pPr>
            <w:r>
              <w:rPr>
                <w:rFonts w:ascii="宋体" w:hAnsi="宋体"/>
                <w:sz w:val="18"/>
                <w:szCs w:val="18"/>
              </w:rPr>
              <w:t>50</w:t>
            </w:r>
            <w:r>
              <w:rPr>
                <w:rFonts w:hint="eastAsia" w:ascii="宋体" w:hAnsi="宋体"/>
                <w:sz w:val="18"/>
                <w:szCs w:val="18"/>
              </w:rPr>
              <w:t>次</w:t>
            </w: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975EC">
            <w:pPr>
              <w:spacing w:line="300" w:lineRule="exact"/>
              <w:jc w:val="left"/>
              <w:rPr>
                <w:rFonts w:ascii="宋体" w:hAnsi="宋体"/>
                <w:sz w:val="18"/>
                <w:szCs w:val="18"/>
              </w:rPr>
            </w:pPr>
            <w:r>
              <w:rPr>
                <w:rFonts w:hint="eastAsia" w:ascii="宋体" w:hAnsi="宋体"/>
                <w:sz w:val="18"/>
                <w:szCs w:val="18"/>
              </w:rPr>
              <w:t>开展监督检查次数</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75F29">
            <w:pPr>
              <w:spacing w:line="300" w:lineRule="exact"/>
              <w:jc w:val="left"/>
              <w:rPr>
                <w:rFonts w:ascii="宋体" w:hAnsi="宋体"/>
                <w:sz w:val="18"/>
                <w:szCs w:val="18"/>
              </w:rPr>
            </w:pPr>
            <w:r>
              <w:rPr>
                <w:rFonts w:hint="eastAsia" w:ascii="宋体" w:hAnsi="宋体"/>
                <w:sz w:val="18"/>
                <w:szCs w:val="18"/>
              </w:rPr>
              <w:t>日常监督检查和重要节点检查的次数</w:t>
            </w:r>
          </w:p>
        </w:tc>
      </w:tr>
      <w:tr w14:paraId="7252D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65" w:hRule="atLeast"/>
        </w:trPr>
        <w:tc>
          <w:tcPr>
            <w:tcW w:w="1371" w:type="dxa"/>
            <w:vMerge w:val="continue"/>
            <w:tcBorders>
              <w:top w:val="single" w:color="000000" w:sz="4" w:space="0"/>
              <w:left w:val="single" w:color="auto" w:sz="4" w:space="0"/>
              <w:bottom w:val="single" w:color="000000" w:sz="4" w:space="0"/>
              <w:right w:val="single" w:color="auto" w:sz="4" w:space="0"/>
            </w:tcBorders>
            <w:shd w:val="clear" w:color="auto" w:fill="auto"/>
            <w:vAlign w:val="center"/>
          </w:tcPr>
          <w:p w14:paraId="470A1FA2"/>
        </w:tc>
        <w:tc>
          <w:tcPr>
            <w:tcW w:w="1266" w:type="dxa"/>
            <w:tcBorders>
              <w:top w:val="single" w:color="000000" w:sz="4" w:space="0"/>
              <w:left w:val="single" w:color="auto" w:sz="4" w:space="0"/>
              <w:bottom w:val="single" w:color="000000" w:sz="4" w:space="0"/>
              <w:right w:val="single" w:color="000000" w:sz="4" w:space="0"/>
            </w:tcBorders>
            <w:shd w:val="clear" w:color="auto" w:fill="auto"/>
            <w:vAlign w:val="center"/>
          </w:tcPr>
          <w:p w14:paraId="01BD204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F522E">
            <w:pPr>
              <w:widowControl/>
              <w:jc w:val="left"/>
              <w:textAlignment w:val="center"/>
              <w:rPr>
                <w:rFonts w:ascii="宋体" w:hAnsi="宋体" w:cs="宋体"/>
                <w:color w:val="000000"/>
                <w:sz w:val="18"/>
                <w:szCs w:val="18"/>
              </w:rPr>
            </w:pPr>
            <w:r>
              <w:rPr>
                <w:rFonts w:hint="eastAsia" w:ascii="宋体" w:hAnsi="宋体"/>
                <w:sz w:val="18"/>
                <w:szCs w:val="18"/>
              </w:rPr>
              <w:t>结案审核通过率</w:t>
            </w: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1A173">
            <w:pPr>
              <w:spacing w:line="300" w:lineRule="exact"/>
              <w:jc w:val="left"/>
              <w:rPr>
                <w:rFonts w:ascii="宋体" w:hAnsi="宋体"/>
                <w:sz w:val="18"/>
                <w:szCs w:val="18"/>
              </w:rPr>
            </w:pPr>
            <w:r>
              <w:rPr>
                <w:rFonts w:hint="eastAsia" w:ascii="宋体" w:hAnsi="宋体"/>
                <w:sz w:val="18"/>
                <w:szCs w:val="18"/>
              </w:rPr>
              <w:t>承办案件结案后审核通过率</w:t>
            </w:r>
          </w:p>
        </w:tc>
        <w:tc>
          <w:tcPr>
            <w:tcW w:w="659" w:type="dxa"/>
            <w:tcBorders>
              <w:top w:val="single" w:color="000000" w:sz="4" w:space="0"/>
              <w:left w:val="single" w:color="000000" w:sz="4" w:space="0"/>
              <w:bottom w:val="single" w:color="000000" w:sz="4" w:space="0"/>
              <w:right w:val="single" w:color="000000" w:sz="4" w:space="0"/>
            </w:tcBorders>
            <w:shd w:val="clear" w:color="auto" w:fill="auto"/>
          </w:tcPr>
          <w:p w14:paraId="19879B12">
            <w:pPr>
              <w:widowControl/>
              <w:jc w:val="left"/>
              <w:textAlignment w:val="top"/>
              <w:rPr>
                <w:rFonts w:ascii="宋体" w:hAnsi="宋体" w:cs="宋体"/>
                <w:color w:val="000000"/>
                <w:sz w:val="18"/>
                <w:szCs w:val="18"/>
              </w:rPr>
            </w:pPr>
            <w:r>
              <w:rPr>
                <w:rFonts w:hint="eastAsia" w:ascii="宋体" w:hAnsi="宋体" w:cs="宋体"/>
                <w:color w:val="000000"/>
                <w:kern w:val="0"/>
                <w:sz w:val="18"/>
                <w:szCs w:val="18"/>
              </w:rPr>
              <w:t>无</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5AEF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7DE67">
            <w:pPr>
              <w:widowControl/>
              <w:jc w:val="center"/>
              <w:textAlignment w:val="center"/>
              <w:rPr>
                <w:rFonts w:ascii="宋体" w:hAnsi="宋体" w:cs="宋体"/>
                <w:color w:val="000000"/>
                <w:sz w:val="18"/>
                <w:szCs w:val="18"/>
              </w:rPr>
            </w:pPr>
            <w:r>
              <w:rPr>
                <w:rFonts w:ascii="宋体" w:hAnsi="宋体"/>
                <w:sz w:val="18"/>
                <w:szCs w:val="18"/>
              </w:rPr>
              <w:t>98%</w:t>
            </w: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439B4">
            <w:pPr>
              <w:spacing w:line="300" w:lineRule="exact"/>
              <w:jc w:val="left"/>
              <w:rPr>
                <w:rFonts w:ascii="宋体" w:hAnsi="宋体"/>
                <w:sz w:val="18"/>
                <w:szCs w:val="18"/>
              </w:rPr>
            </w:pPr>
            <w:r>
              <w:rPr>
                <w:rFonts w:hint="eastAsia" w:ascii="宋体" w:hAnsi="宋体"/>
                <w:sz w:val="18"/>
                <w:szCs w:val="18"/>
              </w:rPr>
              <w:t>承办案件结案后审核通过率</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05E70">
            <w:pPr>
              <w:spacing w:line="300" w:lineRule="exact"/>
              <w:jc w:val="left"/>
              <w:rPr>
                <w:rFonts w:ascii="宋体" w:hAnsi="宋体"/>
                <w:sz w:val="18"/>
                <w:szCs w:val="18"/>
              </w:rPr>
            </w:pPr>
            <w:r>
              <w:rPr>
                <w:rFonts w:hint="eastAsia" w:ascii="宋体" w:hAnsi="宋体"/>
                <w:sz w:val="18"/>
                <w:szCs w:val="18"/>
              </w:rPr>
              <w:t>根据执纪规则</w:t>
            </w:r>
          </w:p>
        </w:tc>
      </w:tr>
      <w:tr w14:paraId="0DACD6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371" w:type="dxa"/>
            <w:vMerge w:val="continue"/>
            <w:tcBorders>
              <w:top w:val="single" w:color="000000" w:sz="4" w:space="0"/>
              <w:left w:val="single" w:color="auto" w:sz="4" w:space="0"/>
              <w:bottom w:val="single" w:color="000000" w:sz="4" w:space="0"/>
              <w:right w:val="single" w:color="auto" w:sz="4" w:space="0"/>
            </w:tcBorders>
            <w:shd w:val="clear" w:color="auto" w:fill="auto"/>
            <w:vAlign w:val="center"/>
          </w:tcPr>
          <w:p w14:paraId="6E94F513"/>
        </w:tc>
        <w:tc>
          <w:tcPr>
            <w:tcW w:w="1266" w:type="dxa"/>
            <w:tcBorders>
              <w:top w:val="single" w:color="000000" w:sz="4" w:space="0"/>
              <w:left w:val="single" w:color="auto" w:sz="4" w:space="0"/>
              <w:bottom w:val="single" w:color="000000" w:sz="4" w:space="0"/>
              <w:right w:val="single" w:color="000000" w:sz="4" w:space="0"/>
            </w:tcBorders>
            <w:shd w:val="clear" w:color="auto" w:fill="auto"/>
            <w:vAlign w:val="center"/>
          </w:tcPr>
          <w:p w14:paraId="0F26247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9DD85">
            <w:pPr>
              <w:widowControl/>
              <w:jc w:val="left"/>
              <w:textAlignment w:val="center"/>
              <w:rPr>
                <w:rFonts w:ascii="宋体" w:hAnsi="宋体" w:cs="宋体"/>
                <w:color w:val="000000"/>
                <w:sz w:val="18"/>
                <w:szCs w:val="18"/>
              </w:rPr>
            </w:pPr>
            <w:r>
              <w:rPr>
                <w:rFonts w:hint="eastAsia" w:ascii="宋体" w:hAnsi="宋体"/>
                <w:sz w:val="18"/>
                <w:szCs w:val="18"/>
              </w:rPr>
              <w:t>监督检查完成及时率</w:t>
            </w: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57ACD">
            <w:pPr>
              <w:spacing w:line="300" w:lineRule="exact"/>
              <w:jc w:val="left"/>
              <w:rPr>
                <w:rFonts w:ascii="宋体" w:hAnsi="宋体"/>
                <w:sz w:val="18"/>
                <w:szCs w:val="18"/>
              </w:rPr>
            </w:pPr>
            <w:r>
              <w:rPr>
                <w:rFonts w:hint="eastAsia" w:ascii="宋体" w:hAnsi="宋体"/>
                <w:sz w:val="18"/>
                <w:szCs w:val="18"/>
              </w:rPr>
              <w:t>监督检查完成及时率</w:t>
            </w:r>
          </w:p>
        </w:tc>
        <w:tc>
          <w:tcPr>
            <w:tcW w:w="659" w:type="dxa"/>
            <w:tcBorders>
              <w:top w:val="single" w:color="000000" w:sz="4" w:space="0"/>
              <w:left w:val="single" w:color="000000" w:sz="4" w:space="0"/>
              <w:bottom w:val="single" w:color="000000" w:sz="4" w:space="0"/>
              <w:right w:val="single" w:color="000000" w:sz="4" w:space="0"/>
            </w:tcBorders>
            <w:shd w:val="clear" w:color="auto" w:fill="auto"/>
          </w:tcPr>
          <w:p w14:paraId="2F0FD953">
            <w:pPr>
              <w:widowControl/>
              <w:jc w:val="left"/>
              <w:textAlignment w:val="top"/>
              <w:rPr>
                <w:rFonts w:ascii="宋体" w:hAnsi="宋体" w:cs="宋体"/>
                <w:color w:val="000000"/>
                <w:sz w:val="18"/>
                <w:szCs w:val="18"/>
              </w:rPr>
            </w:pPr>
            <w:r>
              <w:rPr>
                <w:rFonts w:hint="eastAsia" w:ascii="宋体" w:hAnsi="宋体" w:cs="宋体"/>
                <w:color w:val="000000"/>
                <w:kern w:val="0"/>
                <w:sz w:val="18"/>
                <w:szCs w:val="18"/>
              </w:rPr>
              <w:t>无</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04D9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34EDB">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98%</w:t>
            </w: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35AC5">
            <w:pPr>
              <w:spacing w:line="300" w:lineRule="exact"/>
              <w:jc w:val="left"/>
              <w:rPr>
                <w:rFonts w:ascii="宋体" w:hAnsi="宋体"/>
                <w:sz w:val="18"/>
                <w:szCs w:val="18"/>
              </w:rPr>
            </w:pPr>
            <w:r>
              <w:rPr>
                <w:rFonts w:hint="eastAsia" w:ascii="宋体" w:hAnsi="宋体"/>
                <w:sz w:val="18"/>
                <w:szCs w:val="18"/>
              </w:rPr>
              <w:t>监督监察按时完成率</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17999">
            <w:pPr>
              <w:spacing w:line="300" w:lineRule="exact"/>
              <w:jc w:val="left"/>
              <w:rPr>
                <w:rFonts w:ascii="宋体" w:hAnsi="宋体"/>
                <w:sz w:val="18"/>
                <w:szCs w:val="18"/>
              </w:rPr>
            </w:pPr>
            <w:r>
              <w:rPr>
                <w:rFonts w:hint="eastAsia" w:ascii="宋体" w:hAnsi="宋体"/>
                <w:sz w:val="18"/>
                <w:szCs w:val="18"/>
              </w:rPr>
              <w:t>根据工作计划</w:t>
            </w:r>
          </w:p>
        </w:tc>
      </w:tr>
      <w:tr w14:paraId="505293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371" w:type="dxa"/>
            <w:tcBorders>
              <w:top w:val="single" w:color="000000" w:sz="4" w:space="0"/>
              <w:left w:val="single" w:color="auto" w:sz="4" w:space="0"/>
              <w:bottom w:val="single" w:color="auto" w:sz="4" w:space="0"/>
              <w:right w:val="single" w:color="auto" w:sz="4" w:space="0"/>
            </w:tcBorders>
            <w:shd w:val="clear" w:color="auto" w:fill="auto"/>
            <w:vAlign w:val="center"/>
          </w:tcPr>
          <w:p w14:paraId="5E3F5C66">
            <w:pPr>
              <w:jc w:val="center"/>
              <w:rPr>
                <w:rFonts w:ascii="宋体" w:hAnsi="宋体" w:cs="宋体"/>
                <w:b/>
                <w:color w:val="000000"/>
                <w:sz w:val="18"/>
                <w:szCs w:val="18"/>
              </w:rPr>
            </w:pPr>
          </w:p>
        </w:tc>
        <w:tc>
          <w:tcPr>
            <w:tcW w:w="1266" w:type="dxa"/>
            <w:tcBorders>
              <w:top w:val="single" w:color="000000" w:sz="4" w:space="0"/>
              <w:left w:val="single" w:color="auto" w:sz="4" w:space="0"/>
              <w:bottom w:val="single" w:color="000000" w:sz="4" w:space="0"/>
              <w:right w:val="single" w:color="000000" w:sz="4" w:space="0"/>
            </w:tcBorders>
            <w:shd w:val="clear" w:color="auto" w:fill="auto"/>
            <w:vAlign w:val="center"/>
          </w:tcPr>
          <w:p w14:paraId="61B76964">
            <w:pPr>
              <w:spacing w:line="300" w:lineRule="exact"/>
              <w:jc w:val="left"/>
              <w:rPr>
                <w:rFonts w:ascii="方正书宋_GBK" w:eastAsia="方正书宋_GBK"/>
              </w:rPr>
            </w:pPr>
            <w:r>
              <w:rPr>
                <w:rFonts w:hint="eastAsia" w:ascii="方正书宋_GBK" w:eastAsia="方正书宋_GBK"/>
              </w:rPr>
              <w:t>成本指标</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2D5FF">
            <w:pPr>
              <w:spacing w:line="300" w:lineRule="exact"/>
              <w:jc w:val="left"/>
              <w:rPr>
                <w:rFonts w:ascii="宋体" w:hAnsi="宋体"/>
                <w:sz w:val="18"/>
                <w:szCs w:val="18"/>
              </w:rPr>
            </w:pPr>
            <w:r>
              <w:rPr>
                <w:rFonts w:hint="eastAsia" w:ascii="宋体" w:hAnsi="宋体"/>
                <w:sz w:val="18"/>
                <w:szCs w:val="18"/>
              </w:rPr>
              <w:t>接待标准</w:t>
            </w: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369C2">
            <w:pPr>
              <w:spacing w:line="300" w:lineRule="exact"/>
              <w:jc w:val="left"/>
              <w:rPr>
                <w:rFonts w:ascii="宋体" w:hAnsi="宋体"/>
                <w:sz w:val="18"/>
                <w:szCs w:val="18"/>
              </w:rPr>
            </w:pPr>
            <w:r>
              <w:rPr>
                <w:rFonts w:hint="eastAsia" w:ascii="宋体" w:hAnsi="宋体"/>
                <w:sz w:val="18"/>
                <w:szCs w:val="18"/>
              </w:rPr>
              <w:t>来区执纪监督人员的接待费用</w:t>
            </w:r>
          </w:p>
        </w:tc>
        <w:tc>
          <w:tcPr>
            <w:tcW w:w="659" w:type="dxa"/>
            <w:tcBorders>
              <w:top w:val="single" w:color="000000" w:sz="4" w:space="0"/>
              <w:left w:val="single" w:color="000000" w:sz="4" w:space="0"/>
              <w:bottom w:val="single" w:color="000000" w:sz="4" w:space="0"/>
              <w:right w:val="single" w:color="000000" w:sz="4" w:space="0"/>
            </w:tcBorders>
            <w:shd w:val="clear" w:color="auto" w:fill="auto"/>
          </w:tcPr>
          <w:p w14:paraId="4AB39B57">
            <w:pPr>
              <w:widowControl/>
              <w:jc w:val="left"/>
              <w:textAlignment w:val="top"/>
              <w:rPr>
                <w:rFonts w:ascii="宋体" w:hAnsi="宋体" w:cs="宋体"/>
                <w:color w:val="000000"/>
                <w:kern w:val="0"/>
                <w:sz w:val="18"/>
                <w:szCs w:val="18"/>
              </w:rPr>
            </w:pPr>
            <w:r>
              <w:rPr>
                <w:rFonts w:hint="eastAsia" w:ascii="宋体" w:hAnsi="宋体" w:cs="宋体"/>
                <w:color w:val="000000"/>
                <w:kern w:val="0"/>
                <w:sz w:val="18"/>
                <w:szCs w:val="18"/>
              </w:rPr>
              <w:t>无</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984F1">
            <w:pPr>
              <w:widowControl/>
              <w:jc w:val="left"/>
              <w:textAlignment w:val="center"/>
              <w:rPr>
                <w:rFonts w:ascii="宋体" w:hAnsi="宋体" w:cs="宋体"/>
                <w:color w:val="000000"/>
                <w:kern w:val="0"/>
                <w:sz w:val="18"/>
                <w:szCs w:val="18"/>
              </w:rPr>
            </w:pPr>
            <w:r>
              <w:rPr>
                <w:rFonts w:hint="eastAsia" w:ascii="宋体" w:hAnsi="宋体"/>
                <w:sz w:val="18"/>
                <w:szCs w:val="18"/>
              </w:rPr>
              <w:t>≤</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033CF">
            <w:pPr>
              <w:widowControl/>
              <w:jc w:val="center"/>
              <w:textAlignment w:val="center"/>
              <w:rPr>
                <w:rFonts w:ascii="宋体" w:hAnsi="宋体" w:cs="宋体"/>
                <w:color w:val="000000"/>
                <w:kern w:val="0"/>
                <w:sz w:val="18"/>
                <w:szCs w:val="18"/>
              </w:rPr>
            </w:pPr>
            <w:r>
              <w:rPr>
                <w:rFonts w:ascii="宋体" w:hAnsi="宋体"/>
                <w:sz w:val="18"/>
                <w:szCs w:val="18"/>
              </w:rPr>
              <w:t>200</w:t>
            </w:r>
            <w:r>
              <w:rPr>
                <w:rFonts w:hint="eastAsia" w:ascii="宋体" w:hAnsi="宋体"/>
                <w:sz w:val="18"/>
                <w:szCs w:val="18"/>
              </w:rPr>
              <w:t>元</w:t>
            </w: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B9FCB">
            <w:pPr>
              <w:spacing w:line="300" w:lineRule="exact"/>
              <w:jc w:val="left"/>
              <w:rPr>
                <w:rFonts w:ascii="宋体" w:hAnsi="宋体"/>
                <w:sz w:val="18"/>
                <w:szCs w:val="18"/>
              </w:rPr>
            </w:pPr>
            <w:r>
              <w:rPr>
                <w:rFonts w:hint="eastAsia" w:ascii="宋体" w:hAnsi="宋体"/>
                <w:sz w:val="18"/>
                <w:szCs w:val="18"/>
              </w:rPr>
              <w:t>来区监督执纪人员人</w:t>
            </w:r>
            <w:r>
              <w:rPr>
                <w:rFonts w:ascii="宋体" w:hAnsi="宋体"/>
                <w:sz w:val="18"/>
                <w:szCs w:val="18"/>
              </w:rPr>
              <w:t>/</w:t>
            </w:r>
            <w:r>
              <w:rPr>
                <w:rFonts w:hint="eastAsia" w:ascii="宋体" w:hAnsi="宋体"/>
                <w:sz w:val="18"/>
                <w:szCs w:val="18"/>
              </w:rPr>
              <w:t>天不超过</w:t>
            </w:r>
            <w:r>
              <w:rPr>
                <w:rFonts w:ascii="宋体" w:hAnsi="宋体"/>
                <w:sz w:val="18"/>
                <w:szCs w:val="18"/>
              </w:rPr>
              <w:t>200</w:t>
            </w:r>
            <w:r>
              <w:rPr>
                <w:rFonts w:hint="eastAsia" w:ascii="宋体" w:hAnsi="宋体"/>
                <w:sz w:val="18"/>
                <w:szCs w:val="18"/>
              </w:rPr>
              <w:t>元</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7493D">
            <w:pPr>
              <w:spacing w:line="300" w:lineRule="exact"/>
              <w:jc w:val="left"/>
              <w:rPr>
                <w:rFonts w:ascii="宋体" w:hAnsi="宋体"/>
                <w:sz w:val="18"/>
                <w:szCs w:val="18"/>
              </w:rPr>
            </w:pPr>
            <w:r>
              <w:rPr>
                <w:rFonts w:hint="eastAsia" w:ascii="宋体" w:hAnsi="宋体"/>
                <w:sz w:val="18"/>
                <w:szCs w:val="18"/>
              </w:rPr>
              <w:t>按照接待标准执行</w:t>
            </w:r>
          </w:p>
        </w:tc>
      </w:tr>
      <w:tr w14:paraId="43DA7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50" w:hRule="atLeast"/>
        </w:trPr>
        <w:tc>
          <w:tcPr>
            <w:tcW w:w="1371" w:type="dxa"/>
            <w:tcBorders>
              <w:top w:val="single" w:color="auto" w:sz="4" w:space="0"/>
              <w:left w:val="single" w:color="000000" w:sz="4" w:space="0"/>
              <w:bottom w:val="single" w:color="000000" w:sz="4" w:space="0"/>
              <w:right w:val="single" w:color="000000" w:sz="4" w:space="0"/>
            </w:tcBorders>
            <w:shd w:val="clear" w:color="auto" w:fill="auto"/>
            <w:vAlign w:val="center"/>
          </w:tcPr>
          <w:p w14:paraId="6047B512">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效益指标</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3CD0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32FE7">
            <w:pPr>
              <w:spacing w:line="300" w:lineRule="exact"/>
              <w:jc w:val="left"/>
              <w:rPr>
                <w:rFonts w:ascii="宋体" w:hAnsi="宋体"/>
                <w:sz w:val="18"/>
                <w:szCs w:val="18"/>
              </w:rPr>
            </w:pPr>
            <w:r>
              <w:rPr>
                <w:rFonts w:hint="eastAsia" w:ascii="宋体" w:hAnsi="宋体"/>
                <w:sz w:val="18"/>
                <w:szCs w:val="18"/>
              </w:rPr>
              <w:t>提升人员素质</w:t>
            </w: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8853E">
            <w:pPr>
              <w:spacing w:line="300" w:lineRule="exact"/>
              <w:jc w:val="left"/>
              <w:rPr>
                <w:rFonts w:ascii="宋体" w:hAnsi="宋体"/>
                <w:sz w:val="18"/>
                <w:szCs w:val="18"/>
              </w:rPr>
            </w:pPr>
            <w:r>
              <w:rPr>
                <w:rFonts w:hint="eastAsia" w:ascii="宋体" w:hAnsi="宋体"/>
                <w:sz w:val="18"/>
                <w:szCs w:val="18"/>
              </w:rPr>
              <w:t>提升被检查对象人员素质</w:t>
            </w:r>
          </w:p>
        </w:tc>
        <w:tc>
          <w:tcPr>
            <w:tcW w:w="659" w:type="dxa"/>
            <w:tcBorders>
              <w:top w:val="single" w:color="000000" w:sz="4" w:space="0"/>
              <w:left w:val="single" w:color="000000" w:sz="4" w:space="0"/>
              <w:bottom w:val="single" w:color="000000" w:sz="4" w:space="0"/>
              <w:right w:val="single" w:color="000000" w:sz="4" w:space="0"/>
            </w:tcBorders>
            <w:shd w:val="clear" w:color="auto" w:fill="auto"/>
          </w:tcPr>
          <w:p w14:paraId="3F9173F8">
            <w:pPr>
              <w:widowControl/>
              <w:jc w:val="left"/>
              <w:textAlignment w:val="top"/>
              <w:rPr>
                <w:rFonts w:ascii="宋体" w:hAnsi="宋体" w:cs="宋体"/>
                <w:color w:val="000000"/>
                <w:sz w:val="18"/>
                <w:szCs w:val="18"/>
              </w:rPr>
            </w:pPr>
            <w:r>
              <w:rPr>
                <w:rFonts w:hint="eastAsia" w:ascii="宋体" w:hAnsi="宋体" w:cs="宋体"/>
                <w:color w:val="000000"/>
                <w:kern w:val="0"/>
                <w:sz w:val="18"/>
                <w:szCs w:val="18"/>
              </w:rPr>
              <w:t>无</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EC9BE">
            <w:pPr>
              <w:widowControl/>
              <w:jc w:val="left"/>
              <w:textAlignment w:val="center"/>
              <w:rPr>
                <w:rFonts w:ascii="宋体" w:hAnsi="宋体" w:cs="宋体"/>
                <w:color w:val="000000"/>
                <w:sz w:val="18"/>
                <w:szCs w:val="18"/>
              </w:rPr>
            </w:pPr>
            <w:r>
              <w:rPr>
                <w:rFonts w:hint="eastAsia" w:ascii="宋体" w:hAnsi="宋体"/>
                <w:sz w:val="18"/>
                <w:szCs w:val="18"/>
              </w:rPr>
              <w:t>≥</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AAC9E">
            <w:pPr>
              <w:jc w:val="center"/>
              <w:rPr>
                <w:rFonts w:ascii="宋体" w:hAnsi="宋体" w:cs="宋体"/>
                <w:color w:val="000000"/>
                <w:sz w:val="18"/>
                <w:szCs w:val="18"/>
              </w:rPr>
            </w:pPr>
            <w:r>
              <w:rPr>
                <w:rFonts w:ascii="宋体" w:hAnsi="宋体"/>
                <w:sz w:val="18"/>
                <w:szCs w:val="18"/>
              </w:rPr>
              <w:t>20</w:t>
            </w:r>
            <w:r>
              <w:rPr>
                <w:rFonts w:hint="eastAsia" w:ascii="宋体" w:hAnsi="宋体"/>
                <w:sz w:val="18"/>
                <w:szCs w:val="18"/>
              </w:rPr>
              <w:t>人</w:t>
            </w: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BD2D3">
            <w:pPr>
              <w:widowControl/>
              <w:jc w:val="left"/>
              <w:textAlignment w:val="center"/>
              <w:rPr>
                <w:rFonts w:ascii="宋体" w:hAnsi="宋体" w:cs="宋体"/>
                <w:color w:val="000000"/>
                <w:sz w:val="18"/>
                <w:szCs w:val="18"/>
              </w:rPr>
            </w:pPr>
            <w:r>
              <w:rPr>
                <w:rFonts w:hint="eastAsia" w:ascii="宋体" w:hAnsi="宋体"/>
                <w:sz w:val="18"/>
                <w:szCs w:val="18"/>
              </w:rPr>
              <w:t>受教育人员数量</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717F4">
            <w:pPr>
              <w:widowControl/>
              <w:jc w:val="left"/>
              <w:textAlignment w:val="center"/>
              <w:rPr>
                <w:rFonts w:ascii="宋体" w:hAnsi="宋体" w:cs="宋体"/>
                <w:color w:val="000000"/>
                <w:sz w:val="18"/>
                <w:szCs w:val="18"/>
              </w:rPr>
            </w:pPr>
            <w:r>
              <w:rPr>
                <w:rFonts w:hint="eastAsia" w:ascii="宋体" w:hAnsi="宋体"/>
                <w:sz w:val="18"/>
                <w:szCs w:val="18"/>
              </w:rPr>
              <w:t>通过日常执纪，被调查人受教育改过人次</w:t>
            </w:r>
          </w:p>
        </w:tc>
      </w:tr>
      <w:tr w14:paraId="79329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40" w:hRule="atLeast"/>
        </w:trPr>
        <w:tc>
          <w:tcPr>
            <w:tcW w:w="13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63419">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满意度指标</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D3ED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ABCB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受益对象的满意度</w:t>
            </w: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9756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受益对象的满意度</w:t>
            </w:r>
          </w:p>
        </w:tc>
        <w:tc>
          <w:tcPr>
            <w:tcW w:w="659" w:type="dxa"/>
            <w:tcBorders>
              <w:top w:val="single" w:color="000000" w:sz="4" w:space="0"/>
              <w:left w:val="single" w:color="000000" w:sz="4" w:space="0"/>
              <w:bottom w:val="single" w:color="000000" w:sz="4" w:space="0"/>
              <w:right w:val="single" w:color="000000" w:sz="4" w:space="0"/>
            </w:tcBorders>
            <w:shd w:val="clear" w:color="auto" w:fill="auto"/>
          </w:tcPr>
          <w:p w14:paraId="2F00F858">
            <w:pPr>
              <w:widowControl/>
              <w:jc w:val="left"/>
              <w:textAlignment w:val="top"/>
              <w:rPr>
                <w:rFonts w:ascii="宋体" w:hAnsi="宋体" w:cs="宋体"/>
                <w:color w:val="000000"/>
                <w:sz w:val="18"/>
                <w:szCs w:val="18"/>
              </w:rPr>
            </w:pPr>
            <w:r>
              <w:rPr>
                <w:rFonts w:hint="eastAsia" w:ascii="宋体" w:hAnsi="宋体" w:cs="宋体"/>
                <w:color w:val="000000"/>
                <w:kern w:val="0"/>
                <w:sz w:val="18"/>
                <w:szCs w:val="18"/>
              </w:rPr>
              <w:t>无</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955F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BF17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90.00</w:t>
            </w: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62DF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195A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问卷调查</w:t>
            </w:r>
          </w:p>
        </w:tc>
      </w:tr>
    </w:tbl>
    <w:p w14:paraId="48C38497">
      <w:pPr>
        <w:adjustRightInd w:val="0"/>
        <w:snapToGrid w:val="0"/>
        <w:spacing w:line="560" w:lineRule="exact"/>
        <w:ind w:firstLine="640" w:firstLineChars="200"/>
        <w:rPr>
          <w:rFonts w:ascii="仿宋" w:hAnsi="仿宋" w:eastAsia="仿宋"/>
          <w:sz w:val="32"/>
          <w:szCs w:val="32"/>
        </w:rPr>
      </w:pPr>
    </w:p>
    <w:p w14:paraId="1FD14AFA">
      <w:pPr>
        <w:adjustRightInd w:val="0"/>
        <w:snapToGrid w:val="0"/>
        <w:spacing w:line="560" w:lineRule="exact"/>
        <w:ind w:left="0" w:firstLine="640" w:firstLineChars="200"/>
        <w:rPr>
          <w:rFonts w:ascii="黑体" w:hAnsi="黑体" w:eastAsia="黑体"/>
          <w:sz w:val="32"/>
          <w:szCs w:val="32"/>
        </w:rPr>
      </w:pPr>
      <w:r>
        <w:rPr>
          <w:rFonts w:hint="eastAsia" w:ascii="黑体" w:hAnsi="黑体" w:eastAsia="黑体"/>
          <w:sz w:val="32"/>
          <w:szCs w:val="32"/>
        </w:rPr>
        <w:t>二、自评工作开展情况</w:t>
      </w:r>
    </w:p>
    <w:p w14:paraId="7498FE1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16D1E51E">
      <w:pPr>
        <w:adjustRightInd w:val="0"/>
        <w:snapToGrid w:val="0"/>
        <w:spacing w:line="560" w:lineRule="exact"/>
        <w:ind w:left="0"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为进一步提高绩效预算管理工作，根据《中共井陉矿区委、井陉矿区人民政府关于全面落实预算绩效管理的实施意见》（矿发〔2019〕7号）要求，成立绩效评价工作组，对我委所有的资金项目，开展202</w:t>
      </w:r>
      <w:r>
        <w:rPr>
          <w:rFonts w:ascii="仿宋_GB2312" w:hAnsi="仿宋" w:eastAsia="仿宋_GB2312" w:cs="仿宋_GB2312"/>
          <w:sz w:val="32"/>
          <w:szCs w:val="32"/>
        </w:rPr>
        <w:t>4</w:t>
      </w:r>
      <w:r>
        <w:rPr>
          <w:rFonts w:hint="eastAsia" w:ascii="仿宋_GB2312" w:hAnsi="仿宋" w:eastAsia="仿宋_GB2312" w:cs="仿宋_GB2312"/>
          <w:sz w:val="32"/>
          <w:szCs w:val="32"/>
        </w:rPr>
        <w:t>年度部门整体绩效自评工作。</w:t>
      </w:r>
    </w:p>
    <w:p w14:paraId="687B7A0B">
      <w:pPr>
        <w:adjustRightInd w:val="0"/>
        <w:snapToGrid w:val="0"/>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绩效评价工作组根据工作方案，明确任务分工，确定评价程序及时间安排。根据202</w:t>
      </w:r>
      <w:r>
        <w:rPr>
          <w:rFonts w:ascii="仿宋_GB2312" w:hAnsi="仿宋" w:eastAsia="仿宋_GB2312" w:cs="仿宋_GB2312"/>
          <w:sz w:val="32"/>
          <w:szCs w:val="32"/>
        </w:rPr>
        <w:t>4</w:t>
      </w:r>
      <w:r>
        <w:rPr>
          <w:rFonts w:hint="eastAsia" w:ascii="仿宋_GB2312" w:hAnsi="仿宋" w:eastAsia="仿宋_GB2312" w:cs="仿宋_GB2312"/>
          <w:sz w:val="32"/>
          <w:szCs w:val="32"/>
        </w:rPr>
        <w:t>年初设定的绩效目标完成情况和各绩效指标完成情况进行核实分析，填报《202</w:t>
      </w:r>
      <w:r>
        <w:rPr>
          <w:rFonts w:ascii="仿宋_GB2312" w:hAnsi="仿宋" w:eastAsia="仿宋_GB2312" w:cs="仿宋_GB2312"/>
          <w:sz w:val="32"/>
          <w:szCs w:val="32"/>
        </w:rPr>
        <w:t>4</w:t>
      </w:r>
      <w:r>
        <w:rPr>
          <w:rFonts w:hint="eastAsia" w:ascii="仿宋_GB2312" w:hAnsi="仿宋" w:eastAsia="仿宋_GB2312" w:cs="仿宋_GB2312"/>
          <w:sz w:val="32"/>
          <w:szCs w:val="32"/>
        </w:rPr>
        <w:t>年区级项目绩效自评表》，并撰写绩效自评报告。</w:t>
      </w:r>
    </w:p>
    <w:p w14:paraId="33C7A4D4">
      <w:pPr>
        <w:adjustRightInd w:val="0"/>
        <w:snapToGrid w:val="0"/>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区纪委202</w:t>
      </w:r>
      <w:r>
        <w:rPr>
          <w:rFonts w:ascii="仿宋_GB2312" w:hAnsi="仿宋" w:eastAsia="仿宋_GB2312" w:cs="仿宋_GB2312"/>
          <w:sz w:val="32"/>
          <w:szCs w:val="32"/>
        </w:rPr>
        <w:t>4</w:t>
      </w:r>
      <w:r>
        <w:rPr>
          <w:rFonts w:hint="eastAsia" w:ascii="仿宋_GB2312" w:hAnsi="仿宋" w:eastAsia="仿宋_GB2312" w:cs="仿宋_GB2312"/>
          <w:sz w:val="32"/>
          <w:szCs w:val="32"/>
        </w:rPr>
        <w:t>年度年</w:t>
      </w:r>
      <w:r>
        <w:rPr>
          <w:rFonts w:hint="eastAsia" w:ascii="仿宋_GB2312" w:hAnsi="仿宋" w:eastAsia="仿宋_GB2312" w:cs="仿宋_GB2312"/>
          <w:color w:val="000000"/>
          <w:sz w:val="32"/>
          <w:szCs w:val="32"/>
        </w:rPr>
        <w:t>初预算共</w:t>
      </w:r>
      <w:r>
        <w:rPr>
          <w:rFonts w:ascii="仿宋_GB2312" w:hAnsi="仿宋" w:eastAsia="仿宋_GB2312" w:cs="仿宋_GB2312"/>
          <w:color w:val="000000"/>
          <w:sz w:val="32"/>
          <w:szCs w:val="32"/>
        </w:rPr>
        <w:t>667.11</w:t>
      </w:r>
      <w:r>
        <w:rPr>
          <w:rFonts w:hint="eastAsia" w:ascii="仿宋_GB2312" w:hAnsi="仿宋" w:eastAsia="仿宋_GB2312" w:cs="仿宋_GB2312"/>
          <w:color w:val="000000"/>
          <w:sz w:val="32"/>
          <w:szCs w:val="32"/>
        </w:rPr>
        <w:t>万元：人员预算</w:t>
      </w:r>
      <w:r>
        <w:rPr>
          <w:rFonts w:ascii="仿宋_GB2312" w:hAnsi="仿宋" w:eastAsia="仿宋_GB2312" w:cs="仿宋_GB2312"/>
          <w:color w:val="000000"/>
          <w:sz w:val="32"/>
          <w:szCs w:val="32"/>
        </w:rPr>
        <w:t>510.95</w:t>
      </w:r>
      <w:r>
        <w:rPr>
          <w:rFonts w:hint="eastAsia" w:ascii="仿宋_GB2312" w:hAnsi="仿宋" w:eastAsia="仿宋_GB2312" w:cs="仿宋_GB2312"/>
          <w:color w:val="000000"/>
          <w:sz w:val="32"/>
          <w:szCs w:val="32"/>
        </w:rPr>
        <w:t>万元；日常公用经费预算</w:t>
      </w:r>
      <w:r>
        <w:rPr>
          <w:rFonts w:ascii="仿宋_GB2312" w:hAnsi="仿宋" w:eastAsia="仿宋_GB2312" w:cs="仿宋_GB2312"/>
          <w:color w:val="000000"/>
          <w:sz w:val="32"/>
          <w:szCs w:val="32"/>
        </w:rPr>
        <w:t>35.36</w:t>
      </w:r>
      <w:r>
        <w:rPr>
          <w:rFonts w:hint="eastAsia" w:ascii="仿宋_GB2312" w:hAnsi="仿宋" w:eastAsia="仿宋_GB2312" w:cs="仿宋_GB2312"/>
          <w:color w:val="000000"/>
          <w:sz w:val="32"/>
          <w:szCs w:val="32"/>
        </w:rPr>
        <w:t>万元；</w:t>
      </w:r>
      <w:r>
        <w:rPr>
          <w:rFonts w:hint="eastAsia" w:ascii="仿宋_GB2312" w:hAnsi="仿宋" w:eastAsia="仿宋_GB2312" w:cs="仿宋_GB2312"/>
          <w:sz w:val="32"/>
          <w:szCs w:val="32"/>
        </w:rPr>
        <w:t>项目经费共涉及</w:t>
      </w:r>
      <w:r>
        <w:rPr>
          <w:rFonts w:ascii="仿宋_GB2312" w:hAnsi="仿宋" w:eastAsia="仿宋_GB2312" w:cs="仿宋_GB2312"/>
          <w:sz w:val="32"/>
          <w:szCs w:val="32"/>
        </w:rPr>
        <w:t>5</w:t>
      </w:r>
      <w:r>
        <w:rPr>
          <w:rFonts w:hint="eastAsia" w:ascii="仿宋_GB2312" w:hAnsi="仿宋" w:eastAsia="仿宋_GB2312" w:cs="仿宋_GB2312"/>
          <w:sz w:val="32"/>
          <w:szCs w:val="32"/>
        </w:rPr>
        <w:t>个项目资金</w:t>
      </w:r>
      <w:r>
        <w:rPr>
          <w:rFonts w:ascii="仿宋_GB2312" w:hAnsi="仿宋" w:eastAsia="仿宋_GB2312" w:cs="仿宋_GB2312"/>
          <w:sz w:val="32"/>
          <w:szCs w:val="32"/>
        </w:rPr>
        <w:t>（预算调整后）</w:t>
      </w:r>
      <w:r>
        <w:rPr>
          <w:rFonts w:hint="eastAsia" w:ascii="仿宋_GB2312" w:hAnsi="仿宋" w:eastAsia="仿宋_GB2312" w:cs="仿宋_GB2312"/>
          <w:sz w:val="32"/>
          <w:szCs w:val="32"/>
        </w:rPr>
        <w:t>分别为：</w:t>
      </w:r>
      <w:r>
        <w:rPr>
          <w:rFonts w:ascii="仿宋_GB2312" w:hAnsi="仿宋" w:eastAsia="仿宋_GB2312" w:cs="仿宋_GB2312"/>
          <w:sz w:val="32"/>
          <w:szCs w:val="32"/>
        </w:rPr>
        <w:t>办案</w:t>
      </w:r>
      <w:r>
        <w:rPr>
          <w:rFonts w:hint="eastAsia" w:ascii="仿宋_GB2312" w:hAnsi="仿宋" w:eastAsia="仿宋_GB2312" w:cs="仿宋_GB2312"/>
          <w:sz w:val="32"/>
          <w:szCs w:val="32"/>
        </w:rPr>
        <w:t>经费</w:t>
      </w:r>
      <w:r>
        <w:rPr>
          <w:rFonts w:ascii="仿宋_GB2312" w:hAnsi="仿宋" w:eastAsia="仿宋_GB2312" w:cs="仿宋_GB2312"/>
          <w:sz w:val="32"/>
          <w:szCs w:val="32"/>
        </w:rPr>
        <w:t>16.5</w:t>
      </w:r>
      <w:r>
        <w:rPr>
          <w:rFonts w:hint="eastAsia" w:ascii="仿宋_GB2312" w:hAnsi="仿宋" w:eastAsia="仿宋_GB2312" w:cs="仿宋_GB2312"/>
          <w:sz w:val="32"/>
          <w:szCs w:val="32"/>
        </w:rPr>
        <w:t>万元；包联监督专项经费</w:t>
      </w:r>
      <w:r>
        <w:rPr>
          <w:rFonts w:ascii="仿宋_GB2312" w:hAnsi="仿宋" w:eastAsia="仿宋_GB2312" w:cs="仿宋_GB2312"/>
          <w:sz w:val="32"/>
          <w:szCs w:val="32"/>
        </w:rPr>
        <w:t>3</w:t>
      </w:r>
      <w:r>
        <w:rPr>
          <w:rFonts w:hint="eastAsia" w:ascii="仿宋_GB2312" w:hAnsi="仿宋" w:eastAsia="仿宋_GB2312" w:cs="仿宋_GB2312"/>
          <w:sz w:val="32"/>
          <w:szCs w:val="32"/>
        </w:rPr>
        <w:t>万元；党建</w:t>
      </w:r>
      <w:r>
        <w:rPr>
          <w:rFonts w:ascii="仿宋_GB2312" w:hAnsi="仿宋" w:eastAsia="仿宋_GB2312" w:cs="仿宋_GB2312"/>
          <w:sz w:val="32"/>
          <w:szCs w:val="32"/>
        </w:rPr>
        <w:t>工作</w:t>
      </w:r>
      <w:r>
        <w:rPr>
          <w:rFonts w:hint="eastAsia" w:ascii="仿宋_GB2312" w:hAnsi="仿宋" w:eastAsia="仿宋_GB2312" w:cs="仿宋_GB2312"/>
          <w:sz w:val="32"/>
          <w:szCs w:val="32"/>
        </w:rPr>
        <w:t>经费</w:t>
      </w:r>
      <w:r>
        <w:rPr>
          <w:rFonts w:ascii="仿宋_GB2312" w:hAnsi="仿宋" w:eastAsia="仿宋_GB2312" w:cs="仿宋_GB2312"/>
          <w:sz w:val="32"/>
          <w:szCs w:val="32"/>
        </w:rPr>
        <w:t>0.25</w:t>
      </w:r>
      <w:r>
        <w:rPr>
          <w:rFonts w:hint="eastAsia" w:ascii="仿宋_GB2312" w:hAnsi="仿宋" w:eastAsia="仿宋_GB2312" w:cs="仿宋_GB2312"/>
          <w:sz w:val="32"/>
          <w:szCs w:val="32"/>
        </w:rPr>
        <w:t>万元；劳务派遣经费</w:t>
      </w:r>
      <w:r>
        <w:rPr>
          <w:rFonts w:ascii="仿宋_GB2312" w:hAnsi="仿宋" w:eastAsia="仿宋_GB2312" w:cs="仿宋_GB2312"/>
          <w:sz w:val="32"/>
          <w:szCs w:val="32"/>
        </w:rPr>
        <w:t>12.78</w:t>
      </w:r>
      <w:r>
        <w:rPr>
          <w:rFonts w:hint="eastAsia" w:ascii="仿宋_GB2312" w:hAnsi="仿宋" w:eastAsia="仿宋_GB2312" w:cs="仿宋_GB2312"/>
          <w:sz w:val="32"/>
          <w:szCs w:val="32"/>
        </w:rPr>
        <w:t>万元</w:t>
      </w:r>
      <w:r>
        <w:rPr>
          <w:rFonts w:ascii="仿宋_GB2312" w:hAnsi="仿宋" w:eastAsia="仿宋_GB2312" w:cs="仿宋_GB2312"/>
          <w:sz w:val="32"/>
          <w:szCs w:val="32"/>
        </w:rPr>
        <w:t>；2024年中央纪委监察转移支付资金21.07万元</w:t>
      </w:r>
      <w:r>
        <w:rPr>
          <w:rFonts w:hint="eastAsia" w:ascii="仿宋_GB2312" w:hAnsi="仿宋" w:eastAsia="仿宋_GB2312" w:cs="仿宋_GB2312"/>
          <w:sz w:val="32"/>
          <w:szCs w:val="32"/>
        </w:rPr>
        <w:t>。</w:t>
      </w:r>
    </w:p>
    <w:p w14:paraId="26626BD9">
      <w:p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w:t>
      </w:r>
      <w:r>
        <w:rPr>
          <w:rFonts w:ascii="楷体" w:hAnsi="楷体" w:eastAsia="楷体" w:cs="楷体_GB2312"/>
          <w:bCs/>
          <w:sz w:val="32"/>
          <w:szCs w:val="32"/>
        </w:rPr>
        <w:t>二</w:t>
      </w:r>
      <w:r>
        <w:rPr>
          <w:rFonts w:hint="eastAsia" w:ascii="楷体" w:hAnsi="楷体" w:eastAsia="楷体" w:cs="楷体_GB2312"/>
          <w:bCs/>
          <w:sz w:val="32"/>
          <w:szCs w:val="32"/>
        </w:rPr>
        <w:t>）自评的方法和过程</w:t>
      </w:r>
    </w:p>
    <w:p w14:paraId="3B3A5066">
      <w:pPr>
        <w:pStyle w:val="5"/>
        <w:rPr>
          <w:rFonts w:hint="eastAsia" w:ascii="仿宋_GB2312" w:cs="仿宋_GB2312"/>
          <w:sz w:val="32"/>
          <w:szCs w:val="32"/>
        </w:rPr>
      </w:pPr>
      <w:r>
        <w:rPr>
          <w:rFonts w:hint="eastAsia" w:ascii="仿宋_GB2312" w:hAnsi="仿宋" w:cs="仿宋_GB2312"/>
          <w:sz w:val="32"/>
          <w:szCs w:val="32"/>
        </w:rPr>
        <w:t>本次绩效评价证据收集方法包括了：研究、分析项目预算科室提供的相关文件；整理汇总项目预算科室提供的项目资料、工作总结和合同；根据预算科室提供的基础数据表逐项进行核实；根据项目服务对象填写的问卷调查结果汇总满意度情况。项目在前期的调研基础上，完成了项目绩效评价工作方案，设计了指标体系、评价标准、问卷调查方案等，明确了评价的目的、方法，评价原则。项目严格按照工作方案，通过调研、相关文件的解读、数据采集、文件调查、数据分析、指标评分和撰写的环节，顺利完成了本次绩效评价工作。</w:t>
      </w:r>
    </w:p>
    <w:p w14:paraId="0E637D25">
      <w:pPr>
        <w:spacing w:line="560" w:lineRule="exact"/>
        <w:rPr>
          <w:rFonts w:ascii="黑体" w:hAnsi="黑体" w:eastAsia="黑体"/>
          <w:b/>
          <w:bCs/>
          <w:sz w:val="32"/>
          <w:szCs w:val="32"/>
        </w:rPr>
      </w:pPr>
      <w:r>
        <w:rPr>
          <w:rFonts w:hint="eastAsia" w:ascii="黑体" w:hAnsi="黑体" w:eastAsia="黑体"/>
          <w:sz w:val="32"/>
          <w:szCs w:val="32"/>
        </w:rPr>
        <w:t xml:space="preserve">    </w:t>
      </w:r>
      <w:r>
        <w:rPr>
          <w:rFonts w:ascii="黑体" w:hAnsi="黑体" w:eastAsia="黑体"/>
          <w:sz w:val="32"/>
          <w:szCs w:val="32"/>
        </w:rPr>
        <w:t xml:space="preserve"> </w:t>
      </w:r>
      <w:r>
        <w:rPr>
          <w:rFonts w:hint="eastAsia" w:ascii="黑体" w:hAnsi="黑体" w:eastAsia="黑体"/>
          <w:sz w:val="32"/>
          <w:szCs w:val="32"/>
        </w:rPr>
        <w:t>三、部门整体支出绩效目标实现情况及指标分析</w:t>
      </w:r>
    </w:p>
    <w:p w14:paraId="50A8F848">
      <w:pPr>
        <w:numPr>
          <w:ilvl w:val="0"/>
          <w:numId w:val="1"/>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5CC7A849">
      <w:pPr>
        <w:adjustRightInd w:val="0"/>
        <w:snapToGrid w:val="0"/>
        <w:spacing w:line="560" w:lineRule="exact"/>
        <w:ind w:left="0"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按照市纪委、区委的全年纪检监察部署，深入学习贯彻党的二十大精神，紧密团结在以习近平同志为核心的党中央周围，坚持以习近平</w:t>
      </w:r>
      <w:r>
        <w:rPr>
          <w:rFonts w:hint="eastAsia" w:ascii="仿宋_GB2312" w:hAnsi="仿宋" w:eastAsia="仿宋_GB2312" w:cs="仿宋_GB2312"/>
          <w:sz w:val="32"/>
          <w:szCs w:val="32"/>
          <w:lang w:val="en-US" w:eastAsia="zh-CN"/>
        </w:rPr>
        <w:t>新时代</w:t>
      </w:r>
      <w:r>
        <w:rPr>
          <w:rFonts w:hint="eastAsia" w:ascii="仿宋_GB2312" w:hAnsi="仿宋" w:eastAsia="仿宋_GB2312" w:cs="仿宋_GB2312"/>
          <w:sz w:val="32"/>
          <w:szCs w:val="32"/>
        </w:rPr>
        <w:t>中国特色社会主义思想为统领，自觉践行“四个意识”，牢固树立“四个自信”，不忘初心、牢记使命，着力加强监督检查，持之以恒正风肃纪，深化运用“四种形态”、把纪律和规矩挺在前面，强化监督执纪问责、始终保持反腐败高压态势，坚持标本兼治，坚定不移推动全面从严治党、党风廉政建设和反腐败斗争向纵深发展，为矿区实现高质量转型发展提供强有力保障。</w:t>
      </w:r>
    </w:p>
    <w:p w14:paraId="7F3EBCAA">
      <w:pPr>
        <w:adjustRightInd w:val="0"/>
        <w:snapToGrid w:val="0"/>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绩效目标是贯穿预算绩效管理始终的一条主线，是预算资金安排、事中绩效跟踪和事后绩效评价的重要依据。根据本职工作和相关文件要求，我委所有年初项目均设定了绩效目标，涉及产出指标和效果指标，但存在绩效指标不够全面、可评性不高、具体指标缺乏量化等问题。主要原因是对绩效目标的认识不够，制定多样化和细化的评价指标和标准需要在实践中不断完善。</w:t>
      </w:r>
    </w:p>
    <w:p w14:paraId="13F85207">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08D9C2E7">
      <w:pPr>
        <w:adjustRightInd w:val="0"/>
        <w:snapToGrid w:val="0"/>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（一）</w:t>
      </w:r>
      <w:r>
        <w:rPr>
          <w:rFonts w:ascii="仿宋_GB2312" w:hAnsi="仿宋" w:eastAsia="仿宋_GB2312" w:cs="仿宋_GB2312"/>
          <w:sz w:val="32"/>
          <w:szCs w:val="32"/>
        </w:rPr>
        <w:t>包联监督专项</w:t>
      </w:r>
      <w:r>
        <w:rPr>
          <w:rFonts w:hint="eastAsia" w:ascii="仿宋_GB2312" w:hAnsi="仿宋" w:eastAsia="仿宋_GB2312" w:cs="仿宋_GB2312"/>
          <w:sz w:val="32"/>
          <w:szCs w:val="32"/>
        </w:rPr>
        <w:t>经费</w:t>
      </w:r>
    </w:p>
    <w:p w14:paraId="412CD623">
      <w:pPr>
        <w:adjustRightInd w:val="0"/>
        <w:snapToGrid w:val="0"/>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1.资金支出进度</w:t>
      </w:r>
    </w:p>
    <w:p w14:paraId="6BF18B45">
      <w:pPr>
        <w:spacing w:line="560" w:lineRule="exact"/>
        <w:ind w:firstLine="800" w:firstLineChars="250"/>
        <w:rPr>
          <w:rFonts w:ascii="仿宋_GB2312" w:hAnsi="仿宋" w:eastAsia="仿宋_GB2312" w:cs="仿宋_GB2312"/>
          <w:sz w:val="32"/>
          <w:szCs w:val="32"/>
        </w:rPr>
      </w:pPr>
      <w:r>
        <w:rPr>
          <w:rFonts w:hint="eastAsia" w:ascii="仿宋_GB2312" w:hAnsi="仿宋" w:eastAsia="仿宋_GB2312" w:cs="仿宋_GB2312"/>
          <w:sz w:val="32"/>
          <w:szCs w:val="32"/>
        </w:rPr>
        <w:t>该项目年初预算为</w:t>
      </w:r>
      <w:r>
        <w:rPr>
          <w:rFonts w:ascii="仿宋_GB2312" w:hAnsi="仿宋" w:eastAsia="仿宋_GB2312" w:cs="仿宋_GB2312"/>
          <w:sz w:val="32"/>
          <w:szCs w:val="32"/>
        </w:rPr>
        <w:t>3</w:t>
      </w:r>
      <w:r>
        <w:rPr>
          <w:rFonts w:hint="eastAsia" w:ascii="仿宋_GB2312" w:hAnsi="仿宋" w:eastAsia="仿宋_GB2312" w:cs="仿宋_GB2312"/>
          <w:sz w:val="32"/>
          <w:szCs w:val="32"/>
        </w:rPr>
        <w:t>万元，支出</w:t>
      </w:r>
      <w:r>
        <w:rPr>
          <w:rFonts w:ascii="仿宋_GB2312" w:hAnsi="仿宋" w:eastAsia="仿宋_GB2312" w:cs="仿宋_GB2312"/>
          <w:sz w:val="32"/>
          <w:szCs w:val="32"/>
        </w:rPr>
        <w:t>0</w:t>
      </w:r>
      <w:r>
        <w:rPr>
          <w:rFonts w:hint="eastAsia" w:ascii="仿宋_GB2312" w:hAnsi="仿宋" w:eastAsia="仿宋_GB2312" w:cs="仿宋_GB2312"/>
          <w:sz w:val="32"/>
          <w:szCs w:val="32"/>
        </w:rPr>
        <w:t>万元，总体支出进度为</w:t>
      </w:r>
      <w:r>
        <w:rPr>
          <w:rFonts w:ascii="仿宋_GB2312" w:hAnsi="仿宋" w:eastAsia="仿宋_GB2312" w:cs="仿宋_GB2312"/>
          <w:sz w:val="32"/>
          <w:szCs w:val="32"/>
        </w:rPr>
        <w:t>0</w:t>
      </w:r>
      <w:r>
        <w:rPr>
          <w:rFonts w:hint="eastAsia" w:ascii="仿宋_GB2312" w:hAnsi="仿宋" w:eastAsia="仿宋_GB2312" w:cs="仿宋_GB2312"/>
          <w:sz w:val="32"/>
          <w:szCs w:val="32"/>
        </w:rPr>
        <w:t>%。</w:t>
      </w:r>
    </w:p>
    <w:p w14:paraId="1E7F30A0">
      <w:pPr>
        <w:spacing w:line="58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2.产出指标和效果指标完成情况</w:t>
      </w:r>
    </w:p>
    <w:p w14:paraId="3187263B">
      <w:pPr>
        <w:adjustRightInd w:val="0"/>
        <w:snapToGrid w:val="0"/>
        <w:spacing w:line="56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一是监督推动习近平总书记重要讲话和重要指示批示精神落地落实。对中小学校园食品安全和膳食经费管理、农村集体“三资”管理开展专项整治，发现督促整改问题158个</w:t>
      </w:r>
      <w:bookmarkStart w:id="0" w:name="_GoBack"/>
      <w:bookmarkEnd w:id="0"/>
      <w:r>
        <w:rPr>
          <w:rFonts w:hint="eastAsia" w:ascii="仿宋_GB2312" w:hAnsi="仿宋" w:eastAsia="仿宋_GB2312" w:cs="仿宋_GB2312"/>
          <w:sz w:val="32"/>
          <w:szCs w:val="32"/>
        </w:rPr>
        <w:t>。二是监督保障党中央决策部署和省、市、区重点工作做细做实。聚焦增发国债项目、工程项目招投标、惠民资金审批等关键环节开展监督58次，发现并督促整改问题30个，全力推动各项安排部署落实落细。紧盯区委区政府重点任务落实、重污染天气应对等工作安排，监督发现并督促整改问题86个。三是监督促进全面从严治党责任压紧压实。协助区委落实全面从严治党主体责任，对违纪违法行为“零容忍”，自办留置案件、区管干部留置案件“双清零”。定期开展党风廉政责任落实专项检查，强化压力传导，督促下级党委（党组）负责人抓好行业领域全面从严治党主体责任。</w:t>
      </w:r>
    </w:p>
    <w:p w14:paraId="220EB0EE">
      <w:pPr>
        <w:adjustRightInd w:val="0"/>
        <w:snapToGrid w:val="0"/>
        <w:spacing w:line="56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绩效指标为 4 个，评价等级为优。</w:t>
      </w:r>
    </w:p>
    <w:p w14:paraId="0F3275A7">
      <w:pPr>
        <w:adjustRightInd w:val="0"/>
        <w:snapToGrid w:val="0"/>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w:t>
      </w:r>
      <w:r>
        <w:rPr>
          <w:rFonts w:ascii="仿宋_GB2312" w:hAnsi="仿宋" w:eastAsia="仿宋_GB2312" w:cs="仿宋_GB2312"/>
          <w:sz w:val="32"/>
          <w:szCs w:val="32"/>
        </w:rPr>
        <w:t>二</w:t>
      </w:r>
      <w:r>
        <w:rPr>
          <w:rFonts w:hint="eastAsia" w:ascii="仿宋_GB2312" w:hAnsi="仿宋" w:eastAsia="仿宋_GB2312" w:cs="仿宋_GB2312"/>
          <w:sz w:val="32"/>
          <w:szCs w:val="32"/>
        </w:rPr>
        <w:t>）</w:t>
      </w:r>
      <w:r>
        <w:rPr>
          <w:rFonts w:ascii="仿宋_GB2312" w:hAnsi="仿宋" w:eastAsia="仿宋_GB2312" w:cs="仿宋_GB2312"/>
          <w:sz w:val="32"/>
          <w:szCs w:val="32"/>
        </w:rPr>
        <w:t>办案</w:t>
      </w:r>
      <w:r>
        <w:rPr>
          <w:rFonts w:hint="eastAsia" w:ascii="仿宋_GB2312" w:hAnsi="仿宋" w:eastAsia="仿宋_GB2312" w:cs="仿宋_GB2312"/>
          <w:sz w:val="32"/>
          <w:szCs w:val="32"/>
        </w:rPr>
        <w:t>经费</w:t>
      </w:r>
    </w:p>
    <w:p w14:paraId="7EAD5C29">
      <w:pPr>
        <w:adjustRightInd w:val="0"/>
        <w:snapToGrid w:val="0"/>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1.资金支出进度</w:t>
      </w:r>
    </w:p>
    <w:p w14:paraId="2B30D5D4">
      <w:pPr>
        <w:adjustRightInd w:val="0"/>
        <w:snapToGrid w:val="0"/>
        <w:spacing w:line="56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该项目年初预算为</w:t>
      </w:r>
      <w:r>
        <w:rPr>
          <w:rFonts w:ascii="仿宋_GB2312" w:hAnsi="仿宋" w:eastAsia="仿宋_GB2312" w:cs="仿宋_GB2312"/>
          <w:sz w:val="32"/>
          <w:szCs w:val="32"/>
        </w:rPr>
        <w:t>16.5</w:t>
      </w:r>
      <w:r>
        <w:rPr>
          <w:rFonts w:hint="eastAsia" w:ascii="仿宋_GB2312" w:hAnsi="仿宋" w:eastAsia="仿宋_GB2312" w:cs="仿宋_GB2312"/>
          <w:sz w:val="32"/>
          <w:szCs w:val="32"/>
        </w:rPr>
        <w:t>万元，支出</w:t>
      </w:r>
      <w:r>
        <w:rPr>
          <w:rFonts w:ascii="仿宋_GB2312" w:hAnsi="仿宋" w:eastAsia="仿宋_GB2312" w:cs="仿宋_GB2312"/>
          <w:sz w:val="32"/>
          <w:szCs w:val="32"/>
        </w:rPr>
        <w:t>16.5</w:t>
      </w:r>
      <w:r>
        <w:rPr>
          <w:rFonts w:hint="eastAsia" w:ascii="仿宋_GB2312" w:hAnsi="仿宋" w:eastAsia="仿宋_GB2312" w:cs="仿宋_GB2312"/>
          <w:sz w:val="32"/>
          <w:szCs w:val="32"/>
        </w:rPr>
        <w:t>万元，总体支出进度为</w:t>
      </w:r>
      <w:r>
        <w:rPr>
          <w:rFonts w:ascii="仿宋_GB2312" w:hAnsi="仿宋" w:eastAsia="仿宋_GB2312" w:cs="仿宋_GB2312"/>
          <w:sz w:val="32"/>
          <w:szCs w:val="32"/>
        </w:rPr>
        <w:t>100</w:t>
      </w:r>
      <w:r>
        <w:rPr>
          <w:rFonts w:hint="eastAsia" w:ascii="仿宋_GB2312" w:hAnsi="仿宋" w:eastAsia="仿宋_GB2312" w:cs="仿宋_GB2312"/>
          <w:sz w:val="32"/>
          <w:szCs w:val="32"/>
        </w:rPr>
        <w:t>%。</w:t>
      </w:r>
    </w:p>
    <w:p w14:paraId="3FA30236">
      <w:pPr>
        <w:spacing w:line="58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2.产出指标和效果指标完成情况</w:t>
      </w:r>
    </w:p>
    <w:p w14:paraId="28EAA0D4">
      <w:pPr>
        <w:adjustRightInd w:val="0"/>
        <w:snapToGrid w:val="0"/>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本年度已圆满完成上级交办和本级自办案件，</w:t>
      </w:r>
      <w:r>
        <w:rPr>
          <w:rFonts w:hint="eastAsia" w:ascii="仿宋_GB2312" w:hAnsi="仿宋" w:eastAsia="仿宋_GB2312" w:cs="仿宋_GB2312"/>
          <w:bCs/>
          <w:sz w:val="32"/>
          <w:szCs w:val="32"/>
        </w:rPr>
        <w:t>使我区党员领导干部在风清气正、干事创业的氛围里工作。</w:t>
      </w:r>
    </w:p>
    <w:p w14:paraId="14065EEB">
      <w:pPr>
        <w:spacing w:line="560" w:lineRule="exact"/>
        <w:ind w:firstLine="800" w:firstLineChars="250"/>
        <w:rPr>
          <w:rFonts w:ascii="仿宋_GB2312" w:hAnsi="仿宋" w:eastAsia="仿宋_GB2312" w:cs="仿宋_GB2312"/>
          <w:sz w:val="32"/>
          <w:szCs w:val="32"/>
        </w:rPr>
      </w:pPr>
      <w:r>
        <w:rPr>
          <w:rFonts w:hint="eastAsia" w:ascii="仿宋_GB2312" w:hAnsi="仿宋" w:eastAsia="仿宋_GB2312" w:cs="仿宋_GB2312"/>
          <w:sz w:val="32"/>
          <w:szCs w:val="32"/>
        </w:rPr>
        <w:t>绩效指标为 4 个，评价等级为优。</w:t>
      </w:r>
    </w:p>
    <w:p w14:paraId="30823B39">
      <w:pPr>
        <w:spacing w:line="560" w:lineRule="exact"/>
        <w:ind w:firstLine="800" w:firstLineChars="250"/>
        <w:rPr>
          <w:rFonts w:ascii="仿宋_GB2312" w:hAnsi="仿宋" w:eastAsia="仿宋_GB2312" w:cs="仿宋_GB2312"/>
          <w:sz w:val="32"/>
          <w:szCs w:val="32"/>
        </w:rPr>
      </w:pPr>
      <w:r>
        <w:rPr>
          <w:rFonts w:hint="eastAsia" w:ascii="仿宋_GB2312" w:hAnsi="仿宋" w:eastAsia="仿宋_GB2312" w:cs="仿宋_GB2312"/>
          <w:sz w:val="32"/>
          <w:szCs w:val="32"/>
        </w:rPr>
        <w:t>（</w:t>
      </w:r>
      <w:r>
        <w:rPr>
          <w:rFonts w:ascii="仿宋_GB2312" w:hAnsi="仿宋" w:eastAsia="仿宋_GB2312" w:cs="仿宋_GB2312"/>
          <w:sz w:val="32"/>
          <w:szCs w:val="32"/>
        </w:rPr>
        <w:t>三</w:t>
      </w:r>
      <w:r>
        <w:rPr>
          <w:rFonts w:hint="eastAsia" w:ascii="仿宋_GB2312" w:hAnsi="仿宋" w:eastAsia="仿宋_GB2312" w:cs="仿宋_GB2312"/>
          <w:sz w:val="32"/>
          <w:szCs w:val="32"/>
        </w:rPr>
        <w:t>）</w:t>
      </w:r>
      <w:r>
        <w:rPr>
          <w:rFonts w:ascii="仿宋_GB2312" w:hAnsi="仿宋" w:eastAsia="仿宋_GB2312" w:cs="仿宋_GB2312"/>
          <w:sz w:val="32"/>
          <w:szCs w:val="32"/>
        </w:rPr>
        <w:t>党建经费</w:t>
      </w:r>
    </w:p>
    <w:p w14:paraId="1E76AE54">
      <w:pPr>
        <w:adjustRightInd w:val="0"/>
        <w:snapToGrid w:val="0"/>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1.资金支出进度</w:t>
      </w:r>
    </w:p>
    <w:p w14:paraId="5AAE526A">
      <w:pPr>
        <w:adjustRightInd w:val="0"/>
        <w:snapToGrid w:val="0"/>
        <w:spacing w:line="56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该项目年初预算为</w:t>
      </w:r>
      <w:r>
        <w:rPr>
          <w:rFonts w:ascii="仿宋_GB2312" w:hAnsi="仿宋" w:eastAsia="仿宋_GB2312" w:cs="仿宋_GB2312"/>
          <w:sz w:val="32"/>
          <w:szCs w:val="32"/>
        </w:rPr>
        <w:t>0.25</w:t>
      </w:r>
      <w:r>
        <w:rPr>
          <w:rFonts w:hint="eastAsia" w:ascii="仿宋_GB2312" w:hAnsi="仿宋" w:eastAsia="仿宋_GB2312" w:cs="仿宋_GB2312"/>
          <w:sz w:val="32"/>
          <w:szCs w:val="32"/>
        </w:rPr>
        <w:t>万元，支出</w:t>
      </w:r>
      <w:r>
        <w:rPr>
          <w:rFonts w:ascii="仿宋_GB2312" w:hAnsi="仿宋" w:eastAsia="仿宋_GB2312" w:cs="仿宋_GB2312"/>
          <w:sz w:val="32"/>
          <w:szCs w:val="32"/>
        </w:rPr>
        <w:t>0</w:t>
      </w:r>
      <w:r>
        <w:rPr>
          <w:rFonts w:hint="eastAsia" w:ascii="仿宋_GB2312" w:hAnsi="仿宋" w:eastAsia="仿宋_GB2312" w:cs="仿宋_GB2312"/>
          <w:sz w:val="32"/>
          <w:szCs w:val="32"/>
        </w:rPr>
        <w:t>万元，总体支出进度为</w:t>
      </w:r>
      <w:r>
        <w:rPr>
          <w:rFonts w:ascii="仿宋_GB2312" w:hAnsi="仿宋" w:eastAsia="仿宋_GB2312" w:cs="仿宋_GB2312"/>
          <w:sz w:val="32"/>
          <w:szCs w:val="32"/>
        </w:rPr>
        <w:t>0</w:t>
      </w:r>
      <w:r>
        <w:rPr>
          <w:rFonts w:hint="eastAsia" w:ascii="仿宋_GB2312" w:hAnsi="仿宋" w:eastAsia="仿宋_GB2312" w:cs="仿宋_GB2312"/>
          <w:sz w:val="32"/>
          <w:szCs w:val="32"/>
        </w:rPr>
        <w:t>%。</w:t>
      </w:r>
    </w:p>
    <w:p w14:paraId="48245D19">
      <w:pPr>
        <w:spacing w:line="58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2.产出指标和效果指标完成情况</w:t>
      </w:r>
    </w:p>
    <w:p w14:paraId="33464A32">
      <w:pPr>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shd w:val="clear" w:color="auto" w:fill="FFFFFF"/>
        </w:rPr>
        <w:t>党建纪律宣传经费</w:t>
      </w:r>
      <w:r>
        <w:rPr>
          <w:rFonts w:hint="eastAsia" w:ascii="仿宋_GB2312" w:hAnsi="仿宋" w:eastAsia="仿宋_GB2312" w:cs="仿宋_GB2312"/>
          <w:sz w:val="32"/>
          <w:szCs w:val="32"/>
        </w:rPr>
        <w:t>充分保障党建工作及全区党风廉政教育宣传工作顺利开展，营造我区党员领导干部风清气正、干事创业的工作氛围。</w:t>
      </w:r>
    </w:p>
    <w:p w14:paraId="04909CE9">
      <w:pPr>
        <w:spacing w:line="560" w:lineRule="exact"/>
        <w:ind w:left="0" w:firstLine="640" w:firstLineChars="200"/>
        <w:rPr>
          <w:rFonts w:hint="eastAsia" w:ascii="仿宋" w:hAnsi="仿宋" w:eastAsia="仿宋"/>
          <w:sz w:val="32"/>
          <w:szCs w:val="32"/>
        </w:rPr>
      </w:pPr>
      <w:r>
        <w:rPr>
          <w:rFonts w:hint="eastAsia" w:ascii="仿宋_GB2312" w:hAnsi="仿宋" w:eastAsia="仿宋_GB2312" w:cs="仿宋_GB2312"/>
          <w:sz w:val="32"/>
          <w:szCs w:val="32"/>
        </w:rPr>
        <w:t>绩效指标为 4 个，评价等级为优。</w:t>
      </w:r>
    </w:p>
    <w:p w14:paraId="1C16BE6B">
      <w:pPr>
        <w:spacing w:line="560" w:lineRule="exact"/>
        <w:ind w:left="0"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w:t>
      </w:r>
      <w:r>
        <w:rPr>
          <w:rFonts w:ascii="仿宋_GB2312" w:hAnsi="仿宋" w:eastAsia="仿宋_GB2312" w:cs="仿宋_GB2312"/>
          <w:sz w:val="32"/>
          <w:szCs w:val="32"/>
        </w:rPr>
        <w:t>四</w:t>
      </w:r>
      <w:r>
        <w:rPr>
          <w:rFonts w:hint="eastAsia" w:ascii="仿宋_GB2312" w:hAnsi="仿宋" w:eastAsia="仿宋_GB2312" w:cs="仿宋_GB2312"/>
          <w:sz w:val="32"/>
          <w:szCs w:val="32"/>
        </w:rPr>
        <w:t>）</w:t>
      </w:r>
      <w:r>
        <w:rPr>
          <w:rFonts w:ascii="仿宋_GB2312" w:hAnsi="仿宋" w:eastAsia="仿宋_GB2312" w:cs="仿宋_GB2312"/>
          <w:sz w:val="32"/>
          <w:szCs w:val="32"/>
        </w:rPr>
        <w:t>劳务派遣经费</w:t>
      </w:r>
    </w:p>
    <w:p w14:paraId="393DB839">
      <w:pPr>
        <w:adjustRightInd w:val="0"/>
        <w:snapToGrid w:val="0"/>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1.资金支出进度</w:t>
      </w:r>
    </w:p>
    <w:p w14:paraId="3DB610CD">
      <w:pPr>
        <w:adjustRightInd w:val="0"/>
        <w:snapToGrid w:val="0"/>
        <w:spacing w:line="56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该项目年初预算为</w:t>
      </w:r>
      <w:r>
        <w:rPr>
          <w:rFonts w:ascii="仿宋_GB2312" w:hAnsi="仿宋" w:eastAsia="仿宋_GB2312" w:cs="仿宋_GB2312"/>
          <w:sz w:val="32"/>
          <w:szCs w:val="32"/>
        </w:rPr>
        <w:t>12.78</w:t>
      </w:r>
      <w:r>
        <w:rPr>
          <w:rFonts w:hint="eastAsia" w:ascii="仿宋_GB2312" w:hAnsi="仿宋" w:eastAsia="仿宋_GB2312" w:cs="仿宋_GB2312"/>
          <w:sz w:val="32"/>
          <w:szCs w:val="32"/>
        </w:rPr>
        <w:t>万元，支出</w:t>
      </w:r>
      <w:r>
        <w:rPr>
          <w:rFonts w:ascii="仿宋_GB2312" w:hAnsi="仿宋" w:eastAsia="仿宋_GB2312" w:cs="仿宋_GB2312"/>
          <w:sz w:val="32"/>
          <w:szCs w:val="32"/>
        </w:rPr>
        <w:t>12.78</w:t>
      </w:r>
      <w:r>
        <w:rPr>
          <w:rFonts w:hint="eastAsia" w:ascii="仿宋_GB2312" w:hAnsi="仿宋" w:eastAsia="仿宋_GB2312" w:cs="仿宋_GB2312"/>
          <w:sz w:val="32"/>
          <w:szCs w:val="32"/>
        </w:rPr>
        <w:t>万元，总体支出进度为</w:t>
      </w:r>
      <w:r>
        <w:rPr>
          <w:rFonts w:ascii="仿宋_GB2312" w:hAnsi="仿宋" w:eastAsia="仿宋_GB2312" w:cs="仿宋_GB2312"/>
          <w:sz w:val="32"/>
          <w:szCs w:val="32"/>
        </w:rPr>
        <w:t>100</w:t>
      </w:r>
      <w:r>
        <w:rPr>
          <w:rFonts w:hint="eastAsia" w:ascii="仿宋_GB2312" w:hAnsi="仿宋" w:eastAsia="仿宋_GB2312" w:cs="仿宋_GB2312"/>
          <w:sz w:val="32"/>
          <w:szCs w:val="32"/>
        </w:rPr>
        <w:t>%。</w:t>
      </w:r>
    </w:p>
    <w:p w14:paraId="1F1E9448">
      <w:pPr>
        <w:spacing w:line="58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2.产出指标和效果指标完成情况</w:t>
      </w:r>
    </w:p>
    <w:p w14:paraId="70CFD0F7">
      <w:pPr>
        <w:widowControl/>
        <w:spacing w:line="60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本单位聘请劳务派遣人员</w:t>
      </w:r>
      <w:r>
        <w:rPr>
          <w:rFonts w:ascii="仿宋_GB2312" w:hAnsi="仿宋" w:eastAsia="仿宋_GB2312" w:cs="仿宋_GB2312"/>
          <w:sz w:val="32"/>
          <w:szCs w:val="32"/>
        </w:rPr>
        <w:t>6</w:t>
      </w:r>
      <w:r>
        <w:rPr>
          <w:rFonts w:hint="eastAsia" w:ascii="仿宋_GB2312" w:hAnsi="仿宋" w:eastAsia="仿宋_GB2312" w:cs="仿宋_GB2312"/>
          <w:sz w:val="32"/>
          <w:szCs w:val="32"/>
        </w:rPr>
        <w:t>名，能够较出色的完成交办的工作。劳务派遣人员的增加充分缓解了我委工作人员严重不足情况，保障日常工作顺利开展。</w:t>
      </w:r>
    </w:p>
    <w:p w14:paraId="59F4943C">
      <w:pPr>
        <w:spacing w:line="560" w:lineRule="exact"/>
        <w:ind w:left="0"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绩效指标为 4 个，评价等级为优。</w:t>
      </w:r>
    </w:p>
    <w:p w14:paraId="324C4B2A">
      <w:pPr>
        <w:spacing w:line="560" w:lineRule="exact"/>
        <w:ind w:left="0" w:firstLine="640" w:firstLineChars="200"/>
        <w:rPr>
          <w:rFonts w:ascii="仿宋_GB2312" w:hAnsi="仿宋" w:eastAsia="仿宋_GB2312" w:cs="仿宋_GB2312"/>
          <w:sz w:val="32"/>
          <w:szCs w:val="32"/>
        </w:rPr>
      </w:pPr>
      <w:r>
        <w:rPr>
          <w:rFonts w:ascii="仿宋_GB2312" w:hAnsi="仿宋" w:eastAsia="仿宋_GB2312" w:cs="仿宋_GB2312"/>
          <w:sz w:val="32"/>
          <w:szCs w:val="32"/>
        </w:rPr>
        <w:t>（五）2024年中央纪检监察转移支付资金</w:t>
      </w:r>
    </w:p>
    <w:p w14:paraId="0F208CD4">
      <w:pPr>
        <w:adjustRightInd w:val="0"/>
        <w:snapToGrid w:val="0"/>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1.资金支出进度</w:t>
      </w:r>
    </w:p>
    <w:p w14:paraId="2A5A688F">
      <w:pPr>
        <w:adjustRightInd w:val="0"/>
        <w:snapToGrid w:val="0"/>
        <w:spacing w:line="56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该项目年初预算为</w:t>
      </w:r>
      <w:r>
        <w:rPr>
          <w:rFonts w:ascii="仿宋_GB2312" w:hAnsi="仿宋" w:eastAsia="仿宋_GB2312" w:cs="仿宋_GB2312"/>
          <w:sz w:val="32"/>
          <w:szCs w:val="32"/>
        </w:rPr>
        <w:t>21.07</w:t>
      </w:r>
      <w:r>
        <w:rPr>
          <w:rFonts w:hint="eastAsia" w:ascii="仿宋_GB2312" w:hAnsi="仿宋" w:eastAsia="仿宋_GB2312" w:cs="仿宋_GB2312"/>
          <w:sz w:val="32"/>
          <w:szCs w:val="32"/>
        </w:rPr>
        <w:t>万元，支出</w:t>
      </w:r>
      <w:r>
        <w:rPr>
          <w:rFonts w:ascii="仿宋_GB2312" w:hAnsi="仿宋" w:eastAsia="仿宋_GB2312" w:cs="仿宋_GB2312"/>
          <w:sz w:val="32"/>
          <w:szCs w:val="32"/>
        </w:rPr>
        <w:t>21.07</w:t>
      </w:r>
      <w:r>
        <w:rPr>
          <w:rFonts w:hint="eastAsia" w:ascii="仿宋_GB2312" w:hAnsi="仿宋" w:eastAsia="仿宋_GB2312" w:cs="仿宋_GB2312"/>
          <w:sz w:val="32"/>
          <w:szCs w:val="32"/>
        </w:rPr>
        <w:t>万元，总体支出进度为</w:t>
      </w:r>
      <w:r>
        <w:rPr>
          <w:rFonts w:ascii="仿宋_GB2312" w:hAnsi="仿宋" w:eastAsia="仿宋_GB2312" w:cs="仿宋_GB2312"/>
          <w:sz w:val="32"/>
          <w:szCs w:val="32"/>
        </w:rPr>
        <w:t>100</w:t>
      </w:r>
      <w:r>
        <w:rPr>
          <w:rFonts w:hint="eastAsia" w:ascii="仿宋_GB2312" w:hAnsi="仿宋" w:eastAsia="仿宋_GB2312" w:cs="仿宋_GB2312"/>
          <w:sz w:val="32"/>
          <w:szCs w:val="32"/>
        </w:rPr>
        <w:t>%。</w:t>
      </w:r>
    </w:p>
    <w:p w14:paraId="0E188F46">
      <w:pPr>
        <w:spacing w:line="58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2.产出指标和效果指标完成情况</w:t>
      </w:r>
    </w:p>
    <w:p w14:paraId="5D931B5D">
      <w:pPr>
        <w:spacing w:line="580" w:lineRule="exact"/>
        <w:ind w:firstLine="640" w:firstLineChars="200"/>
        <w:rPr>
          <w:rFonts w:hint="eastAsia" w:ascii="仿宋_GB2312" w:hAnsi="仿宋" w:eastAsia="仿宋_GB2312" w:cs="仿宋_GB2312"/>
          <w:sz w:val="32"/>
          <w:szCs w:val="32"/>
        </w:rPr>
      </w:pPr>
      <w:r>
        <w:rPr>
          <w:rFonts w:ascii="仿宋_GB2312" w:eastAsia="仿宋_GB2312" w:cs="仿宋_GB2312"/>
          <w:color w:val="auto"/>
          <w:sz w:val="32"/>
          <w:szCs w:val="32"/>
          <w:lang w:val="en-US" w:eastAsia="zh-CN" w:bidi="ar-SA"/>
        </w:rPr>
        <w:t>按照有关规定使用管理资金，在规定时间内，全部完成中央转移支付资金支出进度，并按要求做好绩效运行和绩效评价，确保财政资金使用规范、安全、有效。</w:t>
      </w:r>
    </w:p>
    <w:p w14:paraId="6ABF6FFB">
      <w:pPr>
        <w:spacing w:line="56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绩效指标为 4 个，评价等级为优。</w:t>
      </w:r>
    </w:p>
    <w:p w14:paraId="4A22E4C8">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70EDD3A2">
      <w:pPr>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根据部门职责定位和各项工作履职情况进行综合评价，给出总得</w:t>
      </w:r>
      <w:r>
        <w:rPr>
          <w:rFonts w:ascii="仿宋_GB2312" w:hAnsi="仿宋" w:eastAsia="仿宋_GB2312" w:cs="仿宋_GB2312"/>
          <w:sz w:val="32"/>
          <w:szCs w:val="32"/>
        </w:rPr>
        <w:t>分96分</w:t>
      </w:r>
      <w:r>
        <w:rPr>
          <w:rFonts w:hint="eastAsia" w:ascii="仿宋_GB2312" w:hAnsi="仿宋" w:eastAsia="仿宋_GB2312" w:cs="仿宋_GB2312"/>
          <w:sz w:val="32"/>
          <w:szCs w:val="32"/>
        </w:rPr>
        <w:t>，</w:t>
      </w:r>
      <w:r>
        <w:rPr>
          <w:rFonts w:ascii="仿宋_GB2312" w:hAnsi="仿宋" w:eastAsia="仿宋_GB2312" w:cs="仿宋_GB2312"/>
          <w:sz w:val="32"/>
          <w:szCs w:val="32"/>
        </w:rPr>
        <w:t>同时</w:t>
      </w:r>
      <w:r>
        <w:rPr>
          <w:rFonts w:hint="eastAsia" w:ascii="仿宋_GB2312" w:hAnsi="仿宋" w:eastAsia="仿宋_GB2312" w:cs="仿宋_GB2312"/>
          <w:sz w:val="32"/>
          <w:szCs w:val="32"/>
        </w:rPr>
        <w:t>得出综合绩效评价等级。部门整体支出综合绩效评价为优秀。</w:t>
      </w:r>
    </w:p>
    <w:p w14:paraId="6F08C28C">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1E24A645">
      <w:pPr>
        <w:widowControl w:val="0"/>
        <w:numPr>
          <w:ilvl w:val="0"/>
          <w:numId w:val="2"/>
        </w:numPr>
        <w:wordWrap/>
        <w:spacing w:line="560" w:lineRule="exact"/>
        <w:ind w:right="0"/>
        <w:textAlignment w:val="auto"/>
        <w:outlineLvl w:val="9"/>
        <w:rPr>
          <w:rFonts w:ascii="仿宋" w:hAnsi="仿宋" w:eastAsia="仿宋"/>
          <w:b/>
          <w:bCs/>
          <w:sz w:val="32"/>
          <w:szCs w:val="32"/>
        </w:rPr>
      </w:pPr>
      <w:r>
        <w:rPr>
          <w:rFonts w:hint="eastAsia" w:ascii="仿宋" w:hAnsi="仿宋" w:eastAsia="仿宋"/>
          <w:b/>
          <w:bCs/>
          <w:sz w:val="32"/>
          <w:szCs w:val="32"/>
        </w:rPr>
        <w:t>存在的主要问题</w:t>
      </w:r>
    </w:p>
    <w:p w14:paraId="7290DAC7">
      <w:pPr>
        <w:spacing w:line="560" w:lineRule="exact"/>
        <w:ind w:firstLine="640" w:firstLineChars="200"/>
        <w:rPr>
          <w:rFonts w:hint="eastAsia" w:ascii="仿宋_GB2312" w:hAnsi="仿宋" w:eastAsia="仿宋_GB2312" w:cs="仿宋_GB2312"/>
          <w:b/>
          <w:bCs/>
          <w:sz w:val="32"/>
          <w:szCs w:val="32"/>
        </w:rPr>
      </w:pPr>
      <w:r>
        <w:rPr>
          <w:rFonts w:hint="eastAsia" w:ascii="仿宋_GB2312" w:hAnsi="仿宋" w:eastAsia="仿宋_GB2312" w:cs="仿宋_GB2312"/>
          <w:sz w:val="32"/>
          <w:szCs w:val="32"/>
        </w:rPr>
        <w:t xml:space="preserve">绩效评价在目标设定上过于简单，对于绩效考核来讲，目标就是方向，如果在绩效考核目标设定上出现问题或者是设计不合理势必要影响到绩效考核的全局。当前绩效考核在目标设定上不能实现多元化的目标，考核结果仅仅是停留在作为薪金或晋升的依据，还不能成为考量职工发展的标杆。绩效评价在指标设定上存在偏离的现象。在当前绩效考核指标设定上，德能勤绩这种传统的固化思维模式依旧存在，不能紧紧围绕工作重点、偏离实际的现象依旧凸显。 </w:t>
      </w:r>
      <w:r>
        <w:rPr>
          <w:rFonts w:hint="eastAsia" w:ascii="仿宋_GB2312" w:hAnsi="仿宋" w:eastAsia="仿宋_GB2312" w:cs="仿宋_GB2312"/>
          <w:b/>
          <w:bCs/>
          <w:sz w:val="32"/>
          <w:szCs w:val="32"/>
        </w:rPr>
        <w:t xml:space="preserve"> </w:t>
      </w:r>
    </w:p>
    <w:p w14:paraId="21636DD8">
      <w:pPr>
        <w:widowControl w:val="0"/>
        <w:wordWrap/>
        <w:spacing w:line="560" w:lineRule="exact"/>
        <w:ind w:left="0" w:right="0" w:firstLine="643" w:firstLineChars="200"/>
        <w:textAlignment w:val="auto"/>
        <w:outlineLvl w:val="9"/>
        <w:rPr>
          <w:rFonts w:ascii="仿宋" w:hAnsi="仿宋" w:eastAsia="仿宋"/>
          <w:b/>
          <w:bCs/>
          <w:sz w:val="32"/>
          <w:szCs w:val="32"/>
        </w:rPr>
      </w:pPr>
      <w:r>
        <w:rPr>
          <w:rFonts w:hint="eastAsia" w:ascii="仿宋" w:hAnsi="仿宋" w:eastAsia="仿宋"/>
          <w:b/>
          <w:bCs/>
          <w:sz w:val="32"/>
          <w:szCs w:val="32"/>
        </w:rPr>
        <w:t>（二）针对问题提出具体的改进措施或建议</w:t>
      </w:r>
    </w:p>
    <w:p w14:paraId="5EE6697F">
      <w:pPr>
        <w:adjustRightInd w:val="0"/>
        <w:snapToGrid w:val="0"/>
        <w:spacing w:line="560" w:lineRule="exact"/>
        <w:ind w:firstLine="640" w:firstLineChars="200"/>
        <w:rPr>
          <w:rFonts w:hint="eastAsia" w:ascii="仿宋_GB2312" w:eastAsia="仿宋_GB2312" w:cs="仿宋_GB2312"/>
        </w:rPr>
      </w:pPr>
      <w:r>
        <w:rPr>
          <w:rFonts w:hint="eastAsia" w:ascii="仿宋_GB2312" w:hAnsi="仿宋" w:eastAsia="仿宋_GB2312" w:cs="仿宋_GB2312"/>
          <w:sz w:val="32"/>
          <w:szCs w:val="32"/>
        </w:rPr>
        <w:t>针对绩效指标设定中存在的问题，从实际出发，在202</w:t>
      </w:r>
      <w:r>
        <w:rPr>
          <w:rFonts w:ascii="仿宋_GB2312" w:hAnsi="仿宋" w:eastAsia="仿宋_GB2312" w:cs="仿宋_GB2312"/>
          <w:sz w:val="32"/>
          <w:szCs w:val="32"/>
        </w:rPr>
        <w:t>4</w:t>
      </w:r>
      <w:r>
        <w:rPr>
          <w:rFonts w:hint="eastAsia" w:ascii="仿宋_GB2312" w:hAnsi="仿宋" w:eastAsia="仿宋_GB2312" w:cs="仿宋_GB2312"/>
          <w:sz w:val="32"/>
          <w:szCs w:val="32"/>
        </w:rPr>
        <w:t>年项目绩效目标填报中增强指标的可评价性和可量化性，合理如实的反映资金使用的绩效成果，审核实现绩效目标所需资金的合理性以及填报的规范性、完整性，提高财政支出产生的社会效益和经济效益，重点考虑项目的外界因素对年度任务的影响。</w:t>
      </w:r>
    </w:p>
    <w:p w14:paraId="38EB35DC">
      <w:pPr>
        <w:adjustRightInd w:val="0"/>
        <w:snapToGrid w:val="0"/>
        <w:spacing w:line="560" w:lineRule="exact"/>
        <w:ind w:firstLine="640" w:firstLineChars="200"/>
        <w:rPr>
          <w:rFonts w:hint="eastAsia" w:ascii="仿宋_GB2312" w:eastAsia="仿宋_GB2312" w:cs="仿宋_GB2312"/>
        </w:rPr>
      </w:pPr>
      <w:r>
        <w:rPr>
          <w:rFonts w:hint="eastAsia" w:ascii="仿宋_GB2312" w:hAnsi="仿宋" w:eastAsia="仿宋_GB2312" w:cs="仿宋_GB2312"/>
          <w:sz w:val="32"/>
          <w:szCs w:val="32"/>
        </w:rPr>
        <w:t>在以后的工作中，要根据年度工作计划制定具体、可衡量、可实现的绩效目标，明确支出的必要性、可行性和有效性，并围绕绩效目标编制清晰、量化、便于考核的绩效指标。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14:paraId="4E99246E">
      <w:pPr>
        <w:adjustRightInd w:val="0"/>
        <w:snapToGrid w:val="0"/>
        <w:spacing w:line="560" w:lineRule="exact"/>
        <w:ind w:left="0"/>
        <w:rPr>
          <w:rFonts w:ascii="黑体" w:hAnsi="黑体" w:eastAsia="黑体"/>
          <w:sz w:val="32"/>
          <w:szCs w:val="32"/>
        </w:rPr>
      </w:pPr>
    </w:p>
    <w:p w14:paraId="3FD043DF">
      <w:pPr>
        <w:adjustRightInd w:val="0"/>
        <w:snapToGrid w:val="0"/>
        <w:spacing w:line="560" w:lineRule="exact"/>
        <w:ind w:left="0"/>
        <w:rPr>
          <w:rFonts w:ascii="黑体" w:hAnsi="黑体" w:eastAsia="黑体"/>
          <w:sz w:val="32"/>
          <w:szCs w:val="32"/>
        </w:rPr>
      </w:pPr>
    </w:p>
    <w:p w14:paraId="03983907">
      <w:pPr>
        <w:adjustRightInd w:val="0"/>
        <w:snapToGrid w:val="0"/>
        <w:spacing w:line="560" w:lineRule="exact"/>
        <w:ind w:left="0"/>
        <w:rPr>
          <w:rFonts w:ascii="黑体" w:hAnsi="黑体" w:eastAsia="黑体"/>
          <w:sz w:val="32"/>
          <w:szCs w:val="32"/>
        </w:rPr>
      </w:pPr>
    </w:p>
    <w:p w14:paraId="20CEF86E">
      <w:pPr>
        <w:adjustRightInd w:val="0"/>
        <w:snapToGrid w:val="0"/>
        <w:spacing w:line="560" w:lineRule="exact"/>
        <w:ind w:left="0"/>
        <w:rPr>
          <w:rFonts w:ascii="黑体" w:hAnsi="黑体" w:eastAsia="黑体"/>
          <w:sz w:val="32"/>
          <w:szCs w:val="32"/>
        </w:rPr>
      </w:pPr>
    </w:p>
    <w:p w14:paraId="2A0A56CA">
      <w:pPr>
        <w:adjustRightInd w:val="0"/>
        <w:snapToGrid w:val="0"/>
        <w:spacing w:line="560" w:lineRule="exact"/>
        <w:ind w:left="0"/>
        <w:rPr>
          <w:rFonts w:ascii="黑体" w:hAnsi="黑体" w:eastAsia="黑体"/>
          <w:sz w:val="32"/>
          <w:szCs w:val="32"/>
        </w:rPr>
      </w:pPr>
    </w:p>
    <w:p w14:paraId="7F3E1D47">
      <w:pPr>
        <w:adjustRightInd w:val="0"/>
        <w:snapToGrid w:val="0"/>
        <w:spacing w:line="560" w:lineRule="exact"/>
        <w:ind w:left="0"/>
        <w:rPr>
          <w:rFonts w:ascii="黑体" w:hAnsi="黑体" w:eastAsia="黑体"/>
          <w:sz w:val="32"/>
          <w:szCs w:val="32"/>
        </w:rPr>
      </w:pPr>
    </w:p>
    <w:p w14:paraId="0E645DF1">
      <w:pPr>
        <w:adjustRightInd w:val="0"/>
        <w:snapToGrid w:val="0"/>
        <w:spacing w:line="560" w:lineRule="exact"/>
        <w:ind w:left="0"/>
        <w:rPr>
          <w:rFonts w:ascii="黑体" w:hAnsi="黑体" w:eastAsia="黑体"/>
          <w:sz w:val="32"/>
          <w:szCs w:val="32"/>
        </w:rPr>
      </w:pPr>
    </w:p>
    <w:p w14:paraId="690135B5">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2A8A65D5">
      <w:pPr>
        <w:spacing w:line="560" w:lineRule="exact"/>
        <w:jc w:val="center"/>
        <w:rPr>
          <w:rFonts w:ascii="宋体" w:hAnsi="宋体" w:cs="宋体"/>
          <w:sz w:val="44"/>
          <w:szCs w:val="44"/>
        </w:rPr>
      </w:pPr>
      <w:r>
        <w:rPr>
          <w:rFonts w:hint="eastAsia" w:ascii="宋体" w:hAnsi="宋体" w:cs="宋体"/>
          <w:sz w:val="44"/>
          <w:szCs w:val="44"/>
        </w:rPr>
        <w:t>评价工作组人员名单</w:t>
      </w:r>
    </w:p>
    <w:tbl>
      <w:tblPr>
        <w:tblStyle w:val="11"/>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276"/>
        <w:gridCol w:w="1559"/>
        <w:gridCol w:w="3596"/>
        <w:gridCol w:w="1813"/>
      </w:tblGrid>
      <w:tr w14:paraId="3602B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14:paraId="4113E5F6">
            <w:pPr>
              <w:pStyle w:val="5"/>
              <w:ind w:firstLine="0" w:firstLineChars="0"/>
              <w:jc w:val="center"/>
            </w:pPr>
            <w:r>
              <w:rPr>
                <w:rFonts w:hint="eastAsia"/>
              </w:rPr>
              <w:t>序号</w:t>
            </w:r>
          </w:p>
        </w:tc>
        <w:tc>
          <w:tcPr>
            <w:tcW w:w="1276" w:type="dxa"/>
          </w:tcPr>
          <w:p w14:paraId="76B4E251">
            <w:pPr>
              <w:pStyle w:val="5"/>
              <w:ind w:firstLine="0" w:firstLineChars="0"/>
            </w:pPr>
            <w:r>
              <w:rPr>
                <w:rFonts w:hint="eastAsia"/>
              </w:rPr>
              <w:t xml:space="preserve"> 姓名</w:t>
            </w:r>
          </w:p>
        </w:tc>
        <w:tc>
          <w:tcPr>
            <w:tcW w:w="1559" w:type="dxa"/>
          </w:tcPr>
          <w:p w14:paraId="44F5E88D">
            <w:pPr>
              <w:pStyle w:val="5"/>
              <w:ind w:firstLine="0" w:firstLineChars="0"/>
              <w:jc w:val="center"/>
            </w:pPr>
            <w:r>
              <w:rPr>
                <w:rFonts w:hint="eastAsia"/>
              </w:rPr>
              <w:t>工作单位</w:t>
            </w:r>
          </w:p>
        </w:tc>
        <w:tc>
          <w:tcPr>
            <w:tcW w:w="3596" w:type="dxa"/>
          </w:tcPr>
          <w:p w14:paraId="71B53AA1">
            <w:pPr>
              <w:pStyle w:val="5"/>
              <w:ind w:firstLine="1200" w:firstLineChars="400"/>
            </w:pPr>
            <w:r>
              <w:rPr>
                <w:rFonts w:hint="eastAsia"/>
              </w:rPr>
              <w:t>职务</w:t>
            </w:r>
          </w:p>
        </w:tc>
        <w:tc>
          <w:tcPr>
            <w:tcW w:w="1813" w:type="dxa"/>
          </w:tcPr>
          <w:p w14:paraId="51DEBFA1">
            <w:pPr>
              <w:pStyle w:val="5"/>
            </w:pPr>
            <w:r>
              <w:rPr>
                <w:rFonts w:hint="eastAsia"/>
              </w:rPr>
              <w:t>签名</w:t>
            </w:r>
          </w:p>
        </w:tc>
      </w:tr>
      <w:tr w14:paraId="3FFFD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2BC351D1">
            <w:pPr>
              <w:pStyle w:val="5"/>
              <w:ind w:firstLine="0" w:firstLineChars="0"/>
            </w:pPr>
            <w:r>
              <w:rPr>
                <w:rFonts w:hint="eastAsia"/>
              </w:rPr>
              <w:t xml:space="preserve">  1</w:t>
            </w:r>
          </w:p>
        </w:tc>
        <w:tc>
          <w:tcPr>
            <w:tcW w:w="1276" w:type="dxa"/>
            <w:tcBorders>
              <w:left w:val="single" w:color="auto" w:sz="4" w:space="0"/>
              <w:right w:val="single" w:color="auto" w:sz="4" w:space="0"/>
            </w:tcBorders>
          </w:tcPr>
          <w:p w14:paraId="72D22D72">
            <w:pPr>
              <w:pStyle w:val="5"/>
              <w:ind w:firstLine="0" w:firstLineChars="0"/>
              <w:jc w:val="center"/>
            </w:pPr>
            <w:r>
              <w:rPr>
                <w:rFonts w:hint="eastAsia"/>
              </w:rPr>
              <w:t>王志勇</w:t>
            </w:r>
          </w:p>
        </w:tc>
        <w:tc>
          <w:tcPr>
            <w:tcW w:w="1559" w:type="dxa"/>
            <w:tcBorders>
              <w:left w:val="single" w:color="auto" w:sz="4" w:space="0"/>
              <w:right w:val="single" w:color="auto" w:sz="4" w:space="0"/>
            </w:tcBorders>
            <w:vAlign w:val="center"/>
          </w:tcPr>
          <w:p w14:paraId="7B410E5F">
            <w:pPr>
              <w:pStyle w:val="5"/>
              <w:ind w:firstLine="0" w:firstLineChars="0"/>
              <w:jc w:val="center"/>
            </w:pPr>
            <w:r>
              <w:rPr>
                <w:rFonts w:hint="eastAsia"/>
              </w:rPr>
              <w:t>区纪委</w:t>
            </w:r>
          </w:p>
        </w:tc>
        <w:tc>
          <w:tcPr>
            <w:tcW w:w="3596" w:type="dxa"/>
            <w:tcBorders>
              <w:left w:val="single" w:color="auto" w:sz="4" w:space="0"/>
              <w:right w:val="single" w:color="auto" w:sz="4" w:space="0"/>
            </w:tcBorders>
          </w:tcPr>
          <w:p w14:paraId="6C3CD8F4">
            <w:pPr>
              <w:pStyle w:val="5"/>
              <w:ind w:firstLine="0" w:firstLineChars="0"/>
              <w:jc w:val="center"/>
            </w:pPr>
            <w:r>
              <w:rPr>
                <w:rFonts w:hint="eastAsia"/>
              </w:rPr>
              <w:t>纪委副书记、监委副主任</w:t>
            </w:r>
          </w:p>
        </w:tc>
        <w:tc>
          <w:tcPr>
            <w:tcW w:w="1813" w:type="dxa"/>
          </w:tcPr>
          <w:p w14:paraId="1FB4B640">
            <w:pPr>
              <w:pStyle w:val="5"/>
            </w:pPr>
          </w:p>
        </w:tc>
      </w:tr>
      <w:tr w14:paraId="0F513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14E040C3">
            <w:pPr>
              <w:pStyle w:val="5"/>
              <w:ind w:firstLine="0" w:firstLineChars="0"/>
            </w:pPr>
            <w:r>
              <w:rPr>
                <w:rFonts w:hint="eastAsia"/>
              </w:rPr>
              <w:t xml:space="preserve">  2</w:t>
            </w:r>
          </w:p>
        </w:tc>
        <w:tc>
          <w:tcPr>
            <w:tcW w:w="1276" w:type="dxa"/>
            <w:tcBorders>
              <w:left w:val="single" w:color="auto" w:sz="4" w:space="0"/>
              <w:right w:val="single" w:color="auto" w:sz="4" w:space="0"/>
            </w:tcBorders>
          </w:tcPr>
          <w:p w14:paraId="48159A9E">
            <w:pPr>
              <w:pStyle w:val="5"/>
              <w:ind w:firstLine="0" w:firstLineChars="0"/>
              <w:jc w:val="center"/>
            </w:pPr>
            <w:r>
              <w:rPr>
                <w:rFonts w:hint="eastAsia"/>
              </w:rPr>
              <w:t>武</w:t>
            </w:r>
            <w:r>
              <w:t xml:space="preserve">  </w:t>
            </w:r>
            <w:r>
              <w:rPr>
                <w:rFonts w:hint="eastAsia"/>
              </w:rPr>
              <w:t>英</w:t>
            </w:r>
          </w:p>
        </w:tc>
        <w:tc>
          <w:tcPr>
            <w:tcW w:w="1559" w:type="dxa"/>
            <w:tcBorders>
              <w:left w:val="single" w:color="auto" w:sz="4" w:space="0"/>
              <w:right w:val="single" w:color="auto" w:sz="4" w:space="0"/>
            </w:tcBorders>
            <w:vAlign w:val="center"/>
          </w:tcPr>
          <w:p w14:paraId="77C283C5">
            <w:pPr>
              <w:pStyle w:val="5"/>
              <w:ind w:firstLine="0" w:firstLineChars="0"/>
              <w:jc w:val="center"/>
            </w:pPr>
            <w:r>
              <w:rPr>
                <w:rFonts w:hint="eastAsia"/>
              </w:rPr>
              <w:t>区纪委</w:t>
            </w:r>
          </w:p>
        </w:tc>
        <w:tc>
          <w:tcPr>
            <w:tcW w:w="3596" w:type="dxa"/>
            <w:tcBorders>
              <w:left w:val="single" w:color="auto" w:sz="4" w:space="0"/>
              <w:right w:val="single" w:color="auto" w:sz="4" w:space="0"/>
            </w:tcBorders>
          </w:tcPr>
          <w:p w14:paraId="4C11DB02">
            <w:pPr>
              <w:pStyle w:val="5"/>
              <w:ind w:firstLine="0" w:firstLineChars="0"/>
              <w:jc w:val="center"/>
            </w:pPr>
            <w:r>
              <w:rPr>
                <w:rFonts w:hint="eastAsia"/>
              </w:rPr>
              <w:t>纪委副书记、监委副主任</w:t>
            </w:r>
          </w:p>
        </w:tc>
        <w:tc>
          <w:tcPr>
            <w:tcW w:w="1813" w:type="dxa"/>
          </w:tcPr>
          <w:p w14:paraId="0C659074">
            <w:pPr>
              <w:pStyle w:val="5"/>
            </w:pPr>
          </w:p>
        </w:tc>
      </w:tr>
      <w:tr w14:paraId="31B70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5EC081DC">
            <w:pPr>
              <w:pStyle w:val="5"/>
              <w:ind w:firstLine="0" w:firstLineChars="0"/>
            </w:pPr>
            <w:r>
              <w:rPr>
                <w:rFonts w:hint="eastAsia"/>
              </w:rPr>
              <w:t xml:space="preserve">  3</w:t>
            </w:r>
          </w:p>
        </w:tc>
        <w:tc>
          <w:tcPr>
            <w:tcW w:w="1276" w:type="dxa"/>
            <w:tcBorders>
              <w:left w:val="single" w:color="auto" w:sz="4" w:space="0"/>
              <w:right w:val="single" w:color="auto" w:sz="4" w:space="0"/>
            </w:tcBorders>
            <w:vAlign w:val="center"/>
          </w:tcPr>
          <w:p w14:paraId="7831153F">
            <w:pPr>
              <w:pStyle w:val="5"/>
              <w:ind w:firstLine="0" w:firstLineChars="0"/>
              <w:jc w:val="center"/>
            </w:pPr>
            <w:r>
              <w:rPr>
                <w:rFonts w:hint="eastAsia"/>
              </w:rPr>
              <w:t>赵宏伟</w:t>
            </w:r>
          </w:p>
        </w:tc>
        <w:tc>
          <w:tcPr>
            <w:tcW w:w="1559" w:type="dxa"/>
            <w:tcBorders>
              <w:left w:val="single" w:color="auto" w:sz="4" w:space="0"/>
              <w:right w:val="single" w:color="auto" w:sz="4" w:space="0"/>
            </w:tcBorders>
            <w:vAlign w:val="center"/>
          </w:tcPr>
          <w:p w14:paraId="1B9D4B8B">
            <w:pPr>
              <w:pStyle w:val="5"/>
              <w:ind w:firstLine="0" w:firstLineChars="0"/>
              <w:jc w:val="center"/>
            </w:pPr>
            <w:r>
              <w:rPr>
                <w:rFonts w:hint="eastAsia"/>
              </w:rPr>
              <w:t>区纪委</w:t>
            </w:r>
          </w:p>
        </w:tc>
        <w:tc>
          <w:tcPr>
            <w:tcW w:w="3596" w:type="dxa"/>
            <w:tcBorders>
              <w:left w:val="single" w:color="auto" w:sz="4" w:space="0"/>
              <w:right w:val="single" w:color="auto" w:sz="4" w:space="0"/>
            </w:tcBorders>
          </w:tcPr>
          <w:p w14:paraId="6C68467E">
            <w:pPr>
              <w:pStyle w:val="5"/>
              <w:ind w:left="0" w:firstLine="0" w:firstLineChars="0"/>
            </w:pPr>
            <w:r>
              <w:rPr>
                <w:rFonts w:hint="eastAsia"/>
              </w:rPr>
              <w:t>区纪委常委</w:t>
            </w:r>
            <w:r>
              <w:t>、园区纪检监察工委书记</w:t>
            </w:r>
          </w:p>
        </w:tc>
        <w:tc>
          <w:tcPr>
            <w:tcW w:w="1813" w:type="dxa"/>
          </w:tcPr>
          <w:p w14:paraId="77F30563">
            <w:pPr>
              <w:pStyle w:val="5"/>
            </w:pPr>
          </w:p>
        </w:tc>
      </w:tr>
      <w:tr w14:paraId="1A964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007D1BC0">
            <w:pPr>
              <w:pStyle w:val="5"/>
              <w:ind w:firstLine="0" w:firstLineChars="0"/>
            </w:pPr>
            <w:r>
              <w:rPr>
                <w:rFonts w:hint="eastAsia"/>
              </w:rPr>
              <w:t xml:space="preserve">  4</w:t>
            </w:r>
          </w:p>
        </w:tc>
        <w:tc>
          <w:tcPr>
            <w:tcW w:w="1276" w:type="dxa"/>
            <w:tcBorders>
              <w:left w:val="single" w:color="auto" w:sz="4" w:space="0"/>
              <w:right w:val="single" w:color="auto" w:sz="4" w:space="0"/>
            </w:tcBorders>
          </w:tcPr>
          <w:p w14:paraId="6B7FB544">
            <w:pPr>
              <w:pStyle w:val="5"/>
              <w:ind w:firstLine="0" w:firstLineChars="0"/>
              <w:jc w:val="center"/>
            </w:pPr>
            <w:r>
              <w:rPr>
                <w:rFonts w:hint="eastAsia"/>
              </w:rPr>
              <w:t>孙晓峰</w:t>
            </w:r>
          </w:p>
        </w:tc>
        <w:tc>
          <w:tcPr>
            <w:tcW w:w="1559" w:type="dxa"/>
            <w:tcBorders>
              <w:left w:val="single" w:color="auto" w:sz="4" w:space="0"/>
              <w:right w:val="single" w:color="auto" w:sz="4" w:space="0"/>
            </w:tcBorders>
            <w:vAlign w:val="center"/>
          </w:tcPr>
          <w:p w14:paraId="17AA615A">
            <w:pPr>
              <w:pStyle w:val="5"/>
              <w:ind w:firstLine="0" w:firstLineChars="0"/>
              <w:jc w:val="center"/>
            </w:pPr>
            <w:r>
              <w:rPr>
                <w:rFonts w:hint="eastAsia"/>
              </w:rPr>
              <w:t>区纪委</w:t>
            </w:r>
          </w:p>
        </w:tc>
        <w:tc>
          <w:tcPr>
            <w:tcW w:w="3596" w:type="dxa"/>
            <w:tcBorders>
              <w:left w:val="single" w:color="auto" w:sz="4" w:space="0"/>
              <w:right w:val="single" w:color="auto" w:sz="4" w:space="0"/>
            </w:tcBorders>
          </w:tcPr>
          <w:p w14:paraId="0DEF97E4">
            <w:pPr>
              <w:pStyle w:val="5"/>
              <w:ind w:firstLine="750" w:firstLineChars="250"/>
            </w:pPr>
            <w:r>
              <w:rPr>
                <w:rFonts w:hint="eastAsia"/>
              </w:rPr>
              <w:t>办公室科员</w:t>
            </w:r>
          </w:p>
        </w:tc>
        <w:tc>
          <w:tcPr>
            <w:tcW w:w="1813" w:type="dxa"/>
          </w:tcPr>
          <w:p w14:paraId="763E2A67">
            <w:pPr>
              <w:pStyle w:val="5"/>
            </w:pPr>
          </w:p>
        </w:tc>
      </w:tr>
    </w:tbl>
    <w:p w14:paraId="35A7E26C">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楷体">
    <w:altName w:val="微软雅黑"/>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00" w:usb3="00000000" w:csb0="00040000" w:csb1="00000000"/>
  </w:font>
  <w:font w:name="Cambria">
    <w:panose1 w:val="02040503050406030204"/>
    <w:charset w:val="00"/>
    <w:family w:val="auto"/>
    <w:pitch w:val="default"/>
    <w:sig w:usb0="E00006FF" w:usb1="420024FF" w:usb2="02000000" w:usb3="00000000" w:csb0="2000019F" w:csb1="00000000"/>
  </w:font>
  <w:font w:name="方正书宋_GBK">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64425E">
    <w:pPr>
      <w:pStyle w:val="7"/>
    </w:pPr>
    <w:r>
      <mc:AlternateContent>
        <mc:Choice Requires="wps">
          <w:drawing>
            <wp:anchor distT="0" distB="0" distL="90805" distR="90805" simplePos="0" relativeHeight="251659264" behindDoc="0" locked="0" layoutInCell="1" allowOverlap="1">
              <wp:simplePos x="0" y="0"/>
              <wp:positionH relativeFrom="margin">
                <wp:align>center</wp:align>
              </wp:positionH>
              <wp:positionV relativeFrom="paragraph">
                <wp:posOffset>0</wp:posOffset>
              </wp:positionV>
              <wp:extent cx="27686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77101" cy="162820"/>
                      </a:xfrm>
                      <a:prstGeom prst="rect">
                        <a:avLst/>
                      </a:prstGeom>
                      <a:noFill/>
                      <a:ln w="9525" cap="flat" cmpd="sng">
                        <a:noFill/>
                        <a:prstDash val="solid"/>
                        <a:miter/>
                      </a:ln>
                    </wps:spPr>
                    <wps:txbx>
                      <w:txbxContent>
                        <w:p w14:paraId="2DB8067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21.8pt;mso-position-horizontal:center;mso-position-horizontal-relative:margin;mso-wrap-style:none;z-index:251659264;mso-width-relative:page;mso-height-relative:page;" filled="f" stroked="f" coordsize="21600,21600" o:gfxdata="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DP/XfX0gAAAAMBAAAPAAAAAAAAAAEAIAAAACIAAABkcnMvZG93bnJldi54bWxQSwEC&#10;FAAUAAAACACHTuJAxuFpE/oBAAD4AwAADgAAAAAAAAABACAAAAAhAQAAZHJzL2Uyb0RvYy54bWxQ&#10;SwUGAAAAAAYABgBZAQAAjQUAAAAA&#10;">
              <v:fill on="f" focussize="0,0"/>
              <v:stroke on="f" joinstyle="miter"/>
              <v:imagedata o:title=""/>
              <o:lock v:ext="edit" aspectratio="f"/>
              <v:textbox inset="0mm,0mm,0mm,0mm" style="mso-fit-shape-to-text:t;">
                <w:txbxContent>
                  <w:p w14:paraId="2DB8067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abstractNum w:abstractNumId="1">
    <w:nsid w:val="6DA76016"/>
    <w:multiLevelType w:val="multilevel"/>
    <w:tmpl w:val="6DA76016"/>
    <w:lvl w:ilvl="0" w:tentative="0">
      <w:start w:val="1"/>
      <w:numFmt w:val="chineseCountingThousand"/>
      <w:lvlText w:val="（%1）"/>
      <w:lvlJc w:val="left"/>
      <w:pPr>
        <w:ind w:left="1584" w:hanging="944"/>
      </w:p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0000000"/>
    <w:rsid w:val="0B097861"/>
    <w:rsid w:val="10C83D1A"/>
    <w:rsid w:val="1D5A15D2"/>
    <w:rsid w:val="288E79DA"/>
    <w:rsid w:val="37EC38F1"/>
    <w:rsid w:val="512A2732"/>
    <w:rsid w:val="6C5D62CF"/>
    <w:rsid w:val="7F6D458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qFormat/>
    <w:uiPriority w:val="0"/>
    <w:pPr>
      <w:keepNext/>
      <w:keepLines/>
      <w:widowControl w:val="0"/>
      <w:spacing w:before="340" w:after="330" w:line="578" w:lineRule="auto"/>
      <w:outlineLvl w:val="0"/>
    </w:pPr>
    <w:rPr>
      <w:b/>
      <w:bCs/>
      <w:kern w:val="44"/>
      <w:sz w:val="44"/>
      <w:szCs w:val="44"/>
    </w:rPr>
  </w:style>
  <w:style w:type="paragraph" w:styleId="3">
    <w:name w:val="heading 2"/>
    <w:basedOn w:val="1"/>
    <w:next w:val="1"/>
    <w:qFormat/>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widowControl w:val="0"/>
      <w:spacing w:before="260" w:after="260" w:line="415" w:lineRule="auto"/>
      <w:outlineLvl w:val="2"/>
    </w:pPr>
    <w:rPr>
      <w:b/>
      <w:bCs/>
      <w:sz w:val="32"/>
      <w:szCs w:val="32"/>
    </w:rPr>
  </w:style>
  <w:style w:type="character" w:default="1" w:styleId="12">
    <w:name w:val="Default Paragraph Font"/>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5">
    <w:name w:val="Normal Indent"/>
    <w:basedOn w:val="1"/>
    <w:next w:val="6"/>
    <w:qFormat/>
    <w:uiPriority w:val="0"/>
    <w:pPr>
      <w:widowControl w:val="0"/>
      <w:ind w:firstLine="200" w:firstLineChars="200"/>
      <w:jc w:val="both"/>
    </w:pPr>
    <w:rPr>
      <w:rFonts w:ascii="Calibri" w:hAnsi="Calibri" w:eastAsia="仿宋_GB2312" w:cs="黑体"/>
      <w:kern w:val="2"/>
      <w:sz w:val="30"/>
      <w:szCs w:val="22"/>
      <w:lang w:val="en-US" w:eastAsia="zh-CN" w:bidi="ar-SA"/>
    </w:rPr>
  </w:style>
  <w:style w:type="paragraph" w:styleId="6">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 w:type="paragraph" w:styleId="7">
    <w:name w:val="footer"/>
    <w:basedOn w:val="1"/>
    <w:qFormat/>
    <w:uiPriority w:val="0"/>
    <w:pPr>
      <w:tabs>
        <w:tab w:val="center" w:pos="4153"/>
        <w:tab w:val="right" w:pos="8306"/>
      </w:tabs>
      <w:snapToGrid w:val="0"/>
      <w:jc w:val="left"/>
    </w:pPr>
    <w:rPr>
      <w:sz w:val="18"/>
    </w:rPr>
  </w:style>
  <w:style w:type="paragraph" w:styleId="8">
    <w:name w:val="Normal (Web)"/>
    <w:basedOn w:val="1"/>
    <w:qFormat/>
    <w:uiPriority w:val="0"/>
    <w:pPr>
      <w:widowControl w:val="0"/>
      <w:jc w:val="both"/>
    </w:pPr>
    <w:rPr>
      <w:rFonts w:ascii="Calibri" w:hAnsi="Calibri" w:eastAsia="宋体" w:cs="黑体"/>
      <w:kern w:val="2"/>
      <w:sz w:val="24"/>
      <w:szCs w:val="24"/>
      <w:lang w:val="en-US" w:eastAsia="zh-CN" w:bidi="ar-SA"/>
    </w:rPr>
  </w:style>
  <w:style w:type="paragraph" w:styleId="9">
    <w:name w:val="Body Text First Indent 2"/>
    <w:basedOn w:val="1"/>
    <w:next w:val="10"/>
    <w:qFormat/>
    <w:uiPriority w:val="0"/>
    <w:pPr>
      <w:widowControl w:val="0"/>
      <w:spacing w:after="120"/>
      <w:ind w:left="420" w:firstLine="200" w:firstLineChars="200"/>
      <w:jc w:val="both"/>
    </w:pPr>
    <w:rPr>
      <w:rFonts w:ascii="Calibri" w:hAnsi="Calibri" w:eastAsia="宋体" w:cs="Times New Roman"/>
      <w:kern w:val="2"/>
      <w:sz w:val="21"/>
      <w:szCs w:val="24"/>
      <w:lang w:val="en-US" w:eastAsia="zh-CN" w:bidi="ar-SA"/>
    </w:rPr>
  </w:style>
  <w:style w:type="paragraph" w:styleId="10">
    <w:name w:val="List Paragraph"/>
    <w:basedOn w:val="1"/>
    <w:qFormat/>
    <w:uiPriority w:val="0"/>
    <w:pPr>
      <w:widowControl w:val="0"/>
      <w:ind w:firstLine="200" w:firstLineChars="200"/>
      <w:jc w:val="both"/>
    </w:pPr>
    <w:rPr>
      <w:rFonts w:ascii="Calibri" w:hAnsi="Calibri" w:eastAsia="宋体" w:cs="黑体"/>
      <w:kern w:val="2"/>
      <w:sz w:val="21"/>
      <w:szCs w:val="22"/>
      <w:lang w:val="en-US" w:eastAsia="zh-CN" w:bidi="ar-SA"/>
    </w:rPr>
  </w:style>
  <w:style w:type="paragraph" w:customStyle="1" w:styleId="13">
    <w:name w:val="BodyText1I2"/>
    <w:basedOn w:val="1"/>
    <w:qFormat/>
    <w:uiPriority w:val="0"/>
    <w:pPr>
      <w:widowControl w:val="0"/>
      <w:spacing w:line="240" w:lineRule="auto"/>
      <w:ind w:firstLine="200" w:firstLineChars="200"/>
      <w:jc w:val="both"/>
    </w:pPr>
    <w:rPr>
      <w:rFonts w:ascii="Times New Roman" w:hAnsi="Times New Roman" w:eastAsia="宋体" w:cs="Times New Roman"/>
      <w:kern w:val="2"/>
      <w:sz w:val="32"/>
      <w:szCs w:val="20"/>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27B45CE-84E1-4B7B-8A1C-D71768DA8032}">
  <ds:schemaRefs/>
</ds:datastoreItem>
</file>

<file path=docProps/app.xml><?xml version="1.0" encoding="utf-8"?>
<Properties xmlns="http://schemas.openxmlformats.org/officeDocument/2006/extended-properties" xmlns:vt="http://schemas.openxmlformats.org/officeDocument/2006/docPropsVTypes">
  <Template>Normal.eit</Template>
  <Pages>12</Pages>
  <Words>5501</Words>
  <Characters>5678</Characters>
  <Lines>0</Lines>
  <Paragraphs>105</Paragraphs>
  <TotalTime>353</TotalTime>
  <ScaleCrop>false</ScaleCrop>
  <LinksUpToDate>false</LinksUpToDate>
  <CharactersWithSpaces>5720</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CZJ</cp:lastModifiedBy>
  <cp:lastPrinted>2024-03-06T07:40:00Z</cp:lastPrinted>
  <dcterms:modified xsi:type="dcterms:W3CDTF">2025-10-17T09:23:02Z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E9645C47F73A4CFEBEB0924C0C5BD27B_13</vt:lpwstr>
  </property>
  <property fmtid="{D5CDD505-2E9C-101B-9397-08002B2CF9AE}" pid="4" name="KSOTemplateDocerSaveRecord">
    <vt:lpwstr>eyJoZGlkIjoiZjczMDZkNDRiZDdhZjExNTAyZWE2ZWI4OGU2YzBiY2EifQ==</vt:lpwstr>
  </property>
</Properties>
</file>