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BDE13F6">
      <w:pPr>
        <w:widowControl w:val="0"/>
        <w:wordWrap/>
        <w:adjustRightInd w:val="0"/>
        <w:snapToGrid w:val="0"/>
        <w:spacing w:line="560" w:lineRule="exact"/>
        <w:ind w:left="0" w:right="0"/>
        <w:textAlignment w:val="auto"/>
        <w:outlineLvl w:val="9"/>
        <w:rPr>
          <w:rFonts w:ascii="仿宋_GB2312" w:eastAsia="仿宋_GB2312"/>
          <w:sz w:val="32"/>
          <w:szCs w:val="32"/>
        </w:rPr>
      </w:pPr>
      <w:bookmarkStart w:id="0" w:name="_GoBack"/>
      <w:bookmarkEnd w:id="0"/>
      <w:r>
        <w:rPr>
          <w:rFonts w:hint="eastAsia" w:ascii="仿宋_GB2312" w:eastAsia="仿宋_GB2312"/>
          <w:sz w:val="32"/>
          <w:szCs w:val="32"/>
        </w:rPr>
        <w:t>附件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4</w:t>
      </w:r>
    </w:p>
    <w:p w14:paraId="25155DF9">
      <w:pPr>
        <w:widowControl w:val="0"/>
        <w:wordWrap/>
        <w:spacing w:line="560" w:lineRule="exact"/>
        <w:ind w:left="0" w:right="0"/>
        <w:jc w:val="center"/>
        <w:textAlignment w:val="auto"/>
        <w:outlineLvl w:val="9"/>
        <w:rPr>
          <w:rFonts w:hint="eastAsia" w:ascii="宋体" w:hAnsi="宋体" w:cs="宋体"/>
          <w:b/>
          <w:bCs/>
          <w:sz w:val="44"/>
          <w:szCs w:val="44"/>
        </w:rPr>
      </w:pPr>
    </w:p>
    <w:p w14:paraId="31D1C63A">
      <w:pPr>
        <w:widowControl w:val="0"/>
        <w:wordWrap/>
        <w:spacing w:line="560" w:lineRule="exact"/>
        <w:ind w:left="0" w:right="0"/>
        <w:jc w:val="center"/>
        <w:textAlignment w:val="auto"/>
        <w:outlineLvl w:val="9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ascii="宋体" w:hAnsi="宋体" w:cs="宋体"/>
          <w:b/>
          <w:bCs/>
          <w:sz w:val="44"/>
          <w:szCs w:val="44"/>
        </w:rPr>
        <w:t>人社局</w:t>
      </w:r>
      <w:r>
        <w:rPr>
          <w:rFonts w:hint="eastAsia" w:ascii="宋体" w:hAnsi="宋体" w:cs="宋体"/>
          <w:b/>
          <w:bCs/>
          <w:sz w:val="44"/>
          <w:szCs w:val="44"/>
          <w:lang w:eastAsia="zh-CN"/>
        </w:rPr>
        <w:t>部门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2024年度整体支出绩效</w:t>
      </w:r>
      <w:r>
        <w:rPr>
          <w:rFonts w:hint="eastAsia" w:ascii="宋体" w:hAnsi="宋体" w:cs="宋体"/>
          <w:b/>
          <w:bCs/>
          <w:sz w:val="44"/>
          <w:szCs w:val="44"/>
        </w:rPr>
        <w:t>自评报告</w:t>
      </w:r>
    </w:p>
    <w:p w14:paraId="4032661C">
      <w:pPr>
        <w:widowControl w:val="0"/>
        <w:wordWrap/>
        <w:spacing w:line="560" w:lineRule="exact"/>
        <w:ind w:left="0" w:right="0"/>
        <w:jc w:val="center"/>
        <w:textAlignment w:val="auto"/>
        <w:outlineLvl w:val="9"/>
        <w:rPr>
          <w:rFonts w:ascii="华文楷体" w:eastAsia="华文楷体"/>
          <w:sz w:val="32"/>
          <w:szCs w:val="32"/>
        </w:rPr>
      </w:pPr>
    </w:p>
    <w:p w14:paraId="6DB2A1C2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根据</w:t>
      </w:r>
      <w:r>
        <w:rPr>
          <w:rFonts w:hint="eastAsia" w:ascii="仿宋" w:hAnsi="仿宋" w:eastAsia="仿宋"/>
          <w:sz w:val="32"/>
          <w:szCs w:val="32"/>
        </w:rPr>
        <w:t>贯彻落实</w:t>
      </w:r>
      <w:r>
        <w:rPr>
          <w:rFonts w:ascii="仿宋" w:hAnsi="仿宋" w:eastAsia="仿宋"/>
          <w:sz w:val="32"/>
          <w:szCs w:val="32"/>
        </w:rPr>
        <w:t>区委区政府</w:t>
      </w:r>
      <w:r>
        <w:rPr>
          <w:rFonts w:hint="eastAsia" w:ascii="仿宋" w:hAnsi="仿宋" w:eastAsia="仿宋"/>
          <w:sz w:val="32"/>
          <w:szCs w:val="32"/>
        </w:rPr>
        <w:t>《关于全面落实预算绩效管理的实施意见》（</w:t>
      </w:r>
      <w:r>
        <w:rPr>
          <w:rFonts w:ascii="仿宋" w:hAnsi="仿宋" w:eastAsia="仿宋"/>
          <w:sz w:val="32"/>
          <w:szCs w:val="32"/>
        </w:rPr>
        <w:t>矿</w:t>
      </w:r>
      <w:r>
        <w:rPr>
          <w:rFonts w:hint="eastAsia" w:ascii="仿宋" w:hAnsi="仿宋" w:eastAsia="仿宋"/>
          <w:sz w:val="32"/>
          <w:szCs w:val="32"/>
        </w:rPr>
        <w:t>发﹝2019﹞</w:t>
      </w:r>
      <w:r>
        <w:rPr>
          <w:rFonts w:ascii="仿宋" w:hAnsi="仿宋" w:eastAsia="仿宋"/>
          <w:sz w:val="32"/>
          <w:szCs w:val="32"/>
        </w:rPr>
        <w:t>7</w:t>
      </w:r>
      <w:r>
        <w:rPr>
          <w:rFonts w:hint="eastAsia" w:ascii="仿宋" w:hAnsi="仿宋" w:eastAsia="仿宋"/>
          <w:sz w:val="32"/>
          <w:szCs w:val="32"/>
        </w:rPr>
        <w:t>号）文件精神，遵循“科学性、规范性、客观性和公正性”的原则，对</w:t>
      </w:r>
      <w:r>
        <w:rPr>
          <w:rFonts w:hint="eastAsia" w:ascii="仿宋" w:hAnsi="仿宋" w:eastAsia="仿宋"/>
          <w:sz w:val="32"/>
          <w:szCs w:val="32"/>
          <w:lang w:eastAsia="zh-CN"/>
        </w:rPr>
        <w:t>人社局</w:t>
      </w:r>
      <w:r>
        <w:rPr>
          <w:rFonts w:hint="eastAsia" w:ascii="仿宋" w:hAnsi="仿宋" w:eastAsia="仿宋"/>
          <w:sz w:val="32"/>
          <w:szCs w:val="32"/>
        </w:rPr>
        <w:t>部门202</w:t>
      </w:r>
      <w:r>
        <w:rPr>
          <w:rFonts w:ascii="仿宋" w:hAnsi="仿宋" w:eastAsia="仿宋"/>
          <w:sz w:val="32"/>
          <w:szCs w:val="32"/>
        </w:rPr>
        <w:t>4</w:t>
      </w:r>
      <w:r>
        <w:rPr>
          <w:rFonts w:hint="eastAsia" w:ascii="仿宋" w:hAnsi="仿宋" w:eastAsia="仿宋"/>
          <w:sz w:val="32"/>
          <w:szCs w:val="32"/>
        </w:rPr>
        <w:t>年整体支出情况实施了财政支出绩效自评价，形成本评价报告。</w:t>
      </w:r>
    </w:p>
    <w:p w14:paraId="5E07057C">
      <w:pPr>
        <w:widowControl w:val="0"/>
        <w:wordWrap/>
        <w:adjustRightInd w:val="0"/>
        <w:snapToGrid w:val="0"/>
        <w:spacing w:line="560" w:lineRule="exact"/>
        <w:ind w:left="0" w:right="0"/>
        <w:textAlignment w:val="auto"/>
        <w:outlineLvl w:val="9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仿宋" w:hAnsi="仿宋" w:eastAsia="仿宋"/>
          <w:sz w:val="32"/>
          <w:szCs w:val="32"/>
        </w:rPr>
        <w:t xml:space="preserve">    </w:t>
      </w:r>
      <w:r>
        <w:rPr>
          <w:rFonts w:hint="eastAsia" w:ascii="黑体" w:hAnsi="黑体" w:eastAsia="黑体"/>
          <w:sz w:val="32"/>
          <w:szCs w:val="32"/>
        </w:rPr>
        <w:t>一、</w:t>
      </w:r>
      <w:r>
        <w:rPr>
          <w:rFonts w:hint="eastAsia" w:ascii="黑体" w:hAnsi="黑体" w:eastAsia="黑体"/>
          <w:sz w:val="32"/>
          <w:szCs w:val="32"/>
          <w:lang w:eastAsia="zh-CN"/>
        </w:rPr>
        <w:t>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 w14:paraId="29037591">
      <w:pPr>
        <w:widowControl w:val="0"/>
        <w:wordWrap/>
        <w:adjustRightInd w:val="0"/>
        <w:snapToGrid w:val="0"/>
        <w:spacing w:line="560" w:lineRule="exact"/>
        <w:ind w:left="0" w:right="0" w:firstLine="643" w:firstLineChars="200"/>
        <w:textAlignment w:val="auto"/>
        <w:outlineLvl w:val="9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（一）</w:t>
      </w: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部门</w:t>
      </w:r>
      <w:r>
        <w:rPr>
          <w:rFonts w:hint="eastAsia" w:ascii="仿宋" w:hAnsi="仿宋" w:eastAsia="仿宋" w:cs="楷体_GB2312"/>
          <w:b/>
          <w:bCs/>
          <w:sz w:val="32"/>
          <w:szCs w:val="32"/>
        </w:rPr>
        <w:t>概况</w:t>
      </w:r>
    </w:p>
    <w:p w14:paraId="55136CF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left="0" w:right="0" w:firstLine="960" w:firstLineChars="3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部门职责：</w:t>
      </w:r>
    </w:p>
    <w:p w14:paraId="5235100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left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（一）负责促进就业工作，健全公共就业服务体系和人力资源市场体系，积极促进社会就业。    </w:t>
      </w:r>
    </w:p>
    <w:p w14:paraId="7FF5761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left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（二）制定我区养老、失业、工伤实施措施并推动落实。同时，对全县社保基金征缴、支付、管理进行监管。</w:t>
      </w:r>
    </w:p>
    <w:p w14:paraId="37628B6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left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（三）落实专业技术人员管理和继续教育政策。</w:t>
      </w:r>
    </w:p>
    <w:p w14:paraId="52AEE68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left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（四）承办全区各类人员的选调和安置。管理人事工资政策，组织人事考试和事业单位岗位设置管理及军转干部安置。</w:t>
      </w:r>
    </w:p>
    <w:p w14:paraId="194004C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left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（五）会同有关部门落实机关企事业单位人员工资收入分配政策，建立全区机关企事业单位人员工资正常增长和支付保障机制，落实机关企事业单位人员福利和离退休政策．并负责组织实施和监督检查。</w:t>
      </w:r>
    </w:p>
    <w:p w14:paraId="2CE0BA3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left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六）落实劳动、人事争议调解仲裁制度和劳动关系政策，完善劳动关系协调机制，落实消除非法使用童工政策和女工、未成年工的特殊劳动保护政策，组织实施劳动监察，协调劳动者维权工作，依法查处重大案件。</w:t>
      </w:r>
    </w:p>
    <w:p w14:paraId="17641BF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left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（七）拟订全区人力资源和社会保障事业发展规划。负责全区人力资源和社会保障的宣传和舆情研究，推进部门依法行政。保障政府服务、信息化、劳动保障政策研究等综合性工作。</w:t>
      </w:r>
    </w:p>
    <w:p w14:paraId="459B9E7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left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机构设置：</w:t>
      </w:r>
    </w:p>
    <w:tbl>
      <w:tblPr>
        <w:tblStyle w:val="7"/>
        <w:tblW w:w="8590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27"/>
        <w:gridCol w:w="1134"/>
        <w:gridCol w:w="1276"/>
        <w:gridCol w:w="2353"/>
      </w:tblGrid>
      <w:tr w14:paraId="69DF92C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tblHeader/>
          <w:jc w:val="center"/>
        </w:trPr>
        <w:tc>
          <w:tcPr>
            <w:tcW w:w="3827" w:type="dxa"/>
            <w:vMerge w:val="restart"/>
            <w:vAlign w:val="center"/>
          </w:tcPr>
          <w:p w14:paraId="0C4C2F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ind w:left="0" w:right="0" w:firstLine="640" w:firstLineChars="200"/>
              <w:textAlignment w:val="auto"/>
              <w:outlineLvl w:val="9"/>
              <w:rPr>
                <w:rFonts w:hint="eastAsia"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单位名称</w:t>
            </w:r>
          </w:p>
        </w:tc>
        <w:tc>
          <w:tcPr>
            <w:tcW w:w="1134" w:type="dxa"/>
            <w:vMerge w:val="restart"/>
            <w:vAlign w:val="center"/>
          </w:tcPr>
          <w:p w14:paraId="7FA232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ind w:left="0" w:right="0" w:firstLine="640" w:firstLineChars="200"/>
              <w:textAlignment w:val="auto"/>
              <w:outlineLvl w:val="9"/>
              <w:rPr>
                <w:rFonts w:hint="eastAsia"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单位性质</w:t>
            </w:r>
          </w:p>
        </w:tc>
        <w:tc>
          <w:tcPr>
            <w:tcW w:w="1276" w:type="dxa"/>
            <w:vMerge w:val="restart"/>
            <w:vAlign w:val="center"/>
          </w:tcPr>
          <w:p w14:paraId="6ACF5F8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ind w:left="0" w:right="0" w:firstLine="640" w:firstLineChars="200"/>
              <w:textAlignment w:val="auto"/>
              <w:outlineLvl w:val="9"/>
              <w:rPr>
                <w:rFonts w:hint="eastAsia"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单位规格</w:t>
            </w:r>
          </w:p>
        </w:tc>
        <w:tc>
          <w:tcPr>
            <w:tcW w:w="2353" w:type="dxa"/>
            <w:vMerge w:val="restart"/>
            <w:vAlign w:val="center"/>
          </w:tcPr>
          <w:p w14:paraId="288450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ind w:left="0" w:right="0" w:firstLine="640" w:firstLineChars="200"/>
              <w:textAlignment w:val="auto"/>
              <w:outlineLvl w:val="9"/>
              <w:rPr>
                <w:rFonts w:hint="eastAsia"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经费保障形式</w:t>
            </w:r>
          </w:p>
        </w:tc>
      </w:tr>
      <w:tr w14:paraId="77A3397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tblHeader/>
          <w:jc w:val="center"/>
        </w:trPr>
        <w:tc>
          <w:tcPr>
            <w:tcW w:w="3827" w:type="dxa"/>
            <w:vMerge w:val="continue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  <w:vAlign w:val="center"/>
          </w:tcPr>
          <w:p w14:paraId="1F831CFA"/>
        </w:tc>
        <w:tc>
          <w:tcPr>
            <w:tcW w:w="1134" w:type="dxa"/>
            <w:vMerge w:val="continue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  <w:vAlign w:val="center"/>
          </w:tcPr>
          <w:p w14:paraId="405D7310"/>
        </w:tc>
        <w:tc>
          <w:tcPr>
            <w:tcW w:w="1276" w:type="dxa"/>
            <w:vMerge w:val="continue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  <w:vAlign w:val="center"/>
          </w:tcPr>
          <w:p w14:paraId="4803C3BC"/>
        </w:tc>
        <w:tc>
          <w:tcPr>
            <w:tcW w:w="2353" w:type="dxa"/>
            <w:vMerge w:val="continue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  <w:vAlign w:val="center"/>
          </w:tcPr>
          <w:p w14:paraId="33737579"/>
        </w:tc>
      </w:tr>
      <w:tr w14:paraId="2D3B810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3827" w:type="dxa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  <w:vAlign w:val="center"/>
          </w:tcPr>
          <w:p w14:paraId="3E541B4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ind w:left="0" w:right="0" w:firstLine="640" w:firstLineChars="200"/>
              <w:textAlignment w:val="auto"/>
              <w:outlineLvl w:val="9"/>
              <w:rPr>
                <w:rFonts w:hint="eastAsia"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矿区人力资源和社会保障局机关</w:t>
            </w:r>
          </w:p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  <w:vAlign w:val="center"/>
          </w:tcPr>
          <w:p w14:paraId="6FB0214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ind w:left="0" w:right="0" w:firstLine="640" w:firstLineChars="200"/>
              <w:textAlignment w:val="auto"/>
              <w:outlineLvl w:val="9"/>
              <w:rPr>
                <w:rFonts w:hint="eastAsia"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行政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  <w:vAlign w:val="center"/>
          </w:tcPr>
          <w:p w14:paraId="1DDA031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ind w:left="0" w:right="0" w:firstLine="640" w:firstLineChars="200"/>
              <w:textAlignment w:val="auto"/>
              <w:outlineLvl w:val="9"/>
              <w:rPr>
                <w:rFonts w:hint="eastAsia"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正科级</w:t>
            </w:r>
          </w:p>
        </w:tc>
        <w:tc>
          <w:tcPr>
            <w:tcW w:w="2353" w:type="dxa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  <w:vAlign w:val="center"/>
          </w:tcPr>
          <w:p w14:paraId="0347486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ind w:left="0" w:right="0" w:firstLine="640" w:firstLineChars="200"/>
              <w:textAlignment w:val="auto"/>
              <w:outlineLvl w:val="9"/>
              <w:rPr>
                <w:rFonts w:hint="eastAsia"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财政拨款</w:t>
            </w:r>
          </w:p>
        </w:tc>
      </w:tr>
      <w:tr w14:paraId="769EE6F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3827" w:type="dxa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  <w:vAlign w:val="center"/>
          </w:tcPr>
          <w:p w14:paraId="7E76CE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ind w:left="0" w:right="0" w:firstLine="640" w:firstLineChars="200"/>
              <w:textAlignment w:val="auto"/>
              <w:outlineLvl w:val="9"/>
              <w:rPr>
                <w:rFonts w:hint="eastAsia"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矿区社会保险事业中心</w:t>
            </w:r>
          </w:p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  <w:vAlign w:val="center"/>
          </w:tcPr>
          <w:p w14:paraId="6EB18A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ind w:left="0" w:right="0" w:firstLine="640" w:firstLineChars="200"/>
              <w:textAlignment w:val="auto"/>
              <w:outlineLvl w:val="9"/>
              <w:rPr>
                <w:rFonts w:hint="eastAsia"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事业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  <w:vAlign w:val="center"/>
          </w:tcPr>
          <w:p w14:paraId="37F0F80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ind w:left="0" w:right="0" w:firstLine="640" w:firstLineChars="200"/>
              <w:textAlignment w:val="auto"/>
              <w:outlineLvl w:val="9"/>
              <w:rPr>
                <w:rFonts w:hint="eastAsia"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正科级</w:t>
            </w:r>
          </w:p>
        </w:tc>
        <w:tc>
          <w:tcPr>
            <w:tcW w:w="2353" w:type="dxa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  <w:vAlign w:val="center"/>
          </w:tcPr>
          <w:p w14:paraId="6865552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ind w:left="0" w:right="0" w:firstLine="640" w:firstLineChars="200"/>
              <w:textAlignment w:val="auto"/>
              <w:outlineLvl w:val="9"/>
              <w:rPr>
                <w:rFonts w:hint="eastAsia"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财政性资金基本保证</w:t>
            </w:r>
          </w:p>
        </w:tc>
      </w:tr>
      <w:tr w14:paraId="377F33B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3827" w:type="dxa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  <w:vAlign w:val="center"/>
          </w:tcPr>
          <w:p w14:paraId="1BFD9AD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ind w:left="0" w:right="0" w:firstLine="640" w:firstLineChars="200"/>
              <w:textAlignment w:val="auto"/>
              <w:outlineLvl w:val="9"/>
              <w:rPr>
                <w:rFonts w:hint="eastAsia"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矿区</w:t>
            </w:r>
            <w:r>
              <w:rPr>
                <w:rFonts w:hint="eastAsia" w:ascii="仿宋" w:hAnsi="仿宋" w:eastAsia="仿宋"/>
                <w:sz w:val="32"/>
                <w:szCs w:val="32"/>
                <w:lang w:eastAsia="zh-CN"/>
              </w:rPr>
              <w:t>劳动</w:t>
            </w:r>
            <w:r>
              <w:rPr>
                <w:rFonts w:hint="eastAsia" w:ascii="仿宋" w:hAnsi="仿宋" w:eastAsia="仿宋"/>
                <w:sz w:val="32"/>
                <w:szCs w:val="32"/>
              </w:rPr>
              <w:t>就业服务中心</w:t>
            </w:r>
          </w:p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  <w:vAlign w:val="center"/>
          </w:tcPr>
          <w:p w14:paraId="68662A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ind w:left="0" w:right="0" w:firstLine="640" w:firstLineChars="200"/>
              <w:textAlignment w:val="auto"/>
              <w:outlineLvl w:val="9"/>
              <w:rPr>
                <w:rFonts w:hint="eastAsia"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事业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  <w:vAlign w:val="center"/>
          </w:tcPr>
          <w:p w14:paraId="40A301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ind w:left="0" w:right="0" w:firstLine="640" w:firstLineChars="200"/>
              <w:textAlignment w:val="auto"/>
              <w:outlineLvl w:val="9"/>
              <w:rPr>
                <w:rFonts w:hint="eastAsia"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正科级</w:t>
            </w:r>
          </w:p>
        </w:tc>
        <w:tc>
          <w:tcPr>
            <w:tcW w:w="2353" w:type="dxa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  <w:vAlign w:val="center"/>
          </w:tcPr>
          <w:p w14:paraId="2A8EEC0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ind w:left="0" w:right="0" w:firstLine="640" w:firstLineChars="200"/>
              <w:textAlignment w:val="auto"/>
              <w:outlineLvl w:val="9"/>
              <w:rPr>
                <w:rFonts w:hint="eastAsia"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财政性资金基本保证</w:t>
            </w:r>
          </w:p>
        </w:tc>
      </w:tr>
    </w:tbl>
    <w:p w14:paraId="736D6E71">
      <w:pPr>
        <w:snapToGrid w:val="0"/>
        <w:spacing w:line="520" w:lineRule="exact"/>
        <w:ind w:firstLine="640" w:firstLineChars="200"/>
        <w:rPr>
          <w:rFonts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人员情况，包括当年变动情况及原因。</w:t>
      </w:r>
    </w:p>
    <w:p w14:paraId="38F9055C">
      <w:pPr>
        <w:snapToGrid w:val="0"/>
        <w:spacing w:line="520" w:lineRule="exact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截止到202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sz w:val="32"/>
          <w:szCs w:val="32"/>
        </w:rPr>
        <w:t>年12月</w:t>
      </w:r>
      <w:r>
        <w:rPr>
          <w:rFonts w:hint="eastAsia" w:ascii="仿宋" w:hAnsi="仿宋" w:eastAsia="仿宋"/>
          <w:sz w:val="32"/>
          <w:szCs w:val="32"/>
        </w:rPr>
        <w:t>矿区人力资源和社会保障局机关</w:t>
      </w:r>
      <w:r>
        <w:rPr>
          <w:rFonts w:hint="eastAsia" w:ascii="仿宋" w:hAnsi="仿宋" w:eastAsia="仿宋" w:cs="仿宋"/>
          <w:sz w:val="32"/>
          <w:szCs w:val="32"/>
        </w:rPr>
        <w:t>在职</w:t>
      </w:r>
      <w:r>
        <w:rPr>
          <w:rFonts w:ascii="仿宋" w:hAnsi="仿宋" w:eastAsia="仿宋" w:cs="仿宋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sz w:val="32"/>
          <w:szCs w:val="32"/>
        </w:rPr>
        <w:t>人，退休1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sz w:val="32"/>
          <w:szCs w:val="32"/>
        </w:rPr>
        <w:t>人。</w:t>
      </w:r>
      <w:r>
        <w:rPr>
          <w:rFonts w:hint="eastAsia" w:ascii="仿宋" w:hAnsi="仿宋" w:eastAsia="仿宋"/>
          <w:sz w:val="32"/>
          <w:szCs w:val="32"/>
        </w:rPr>
        <w:t>矿区</w:t>
      </w:r>
      <w:r>
        <w:rPr>
          <w:rFonts w:hint="eastAsia" w:ascii="仿宋" w:hAnsi="仿宋" w:eastAsia="仿宋"/>
          <w:sz w:val="32"/>
          <w:szCs w:val="32"/>
          <w:lang w:eastAsia="zh-CN"/>
        </w:rPr>
        <w:t>社会保险事业中心</w:t>
      </w:r>
      <w:r>
        <w:rPr>
          <w:rFonts w:hint="eastAsia" w:ascii="仿宋" w:hAnsi="仿宋" w:eastAsia="仿宋" w:cs="仿宋"/>
          <w:sz w:val="32"/>
          <w:szCs w:val="32"/>
        </w:rPr>
        <w:t>在职</w:t>
      </w:r>
      <w:r>
        <w:rPr>
          <w:rFonts w:ascii="仿宋" w:hAnsi="仿宋" w:eastAsia="仿宋" w:cs="仿宋"/>
          <w:sz w:val="32"/>
          <w:szCs w:val="32"/>
          <w:lang w:val="en-US" w:eastAsia="zh-CN"/>
        </w:rPr>
        <w:t>17</w:t>
      </w:r>
      <w:r>
        <w:rPr>
          <w:rFonts w:hint="eastAsia" w:ascii="仿宋" w:hAnsi="仿宋" w:eastAsia="仿宋" w:cs="仿宋"/>
          <w:sz w:val="32"/>
          <w:szCs w:val="32"/>
        </w:rPr>
        <w:t>人，退休</w:t>
      </w:r>
      <w:r>
        <w:rPr>
          <w:rFonts w:ascii="仿宋" w:hAnsi="仿宋" w:eastAsia="仿宋" w:cs="仿宋"/>
          <w:sz w:val="32"/>
          <w:szCs w:val="32"/>
          <w:lang w:val="en-US" w:eastAsia="zh-CN"/>
        </w:rPr>
        <w:t>8</w:t>
      </w:r>
      <w:r>
        <w:rPr>
          <w:rFonts w:hint="eastAsia" w:ascii="仿宋" w:hAnsi="仿宋" w:eastAsia="仿宋" w:cs="仿宋"/>
          <w:sz w:val="32"/>
          <w:szCs w:val="32"/>
        </w:rPr>
        <w:t>人。</w:t>
      </w:r>
      <w:r>
        <w:rPr>
          <w:rFonts w:hint="eastAsia" w:ascii="仿宋" w:hAnsi="仿宋" w:eastAsia="仿宋"/>
          <w:sz w:val="32"/>
          <w:szCs w:val="32"/>
        </w:rPr>
        <w:t>矿区</w:t>
      </w:r>
      <w:r>
        <w:rPr>
          <w:rFonts w:hint="eastAsia" w:ascii="仿宋" w:hAnsi="仿宋" w:eastAsia="仿宋"/>
          <w:sz w:val="32"/>
          <w:szCs w:val="32"/>
          <w:lang w:eastAsia="zh-CN"/>
        </w:rPr>
        <w:t>就业服务中心</w:t>
      </w:r>
      <w:r>
        <w:rPr>
          <w:rFonts w:hint="eastAsia" w:ascii="仿宋" w:hAnsi="仿宋" w:eastAsia="仿宋" w:cs="仿宋"/>
          <w:sz w:val="32"/>
          <w:szCs w:val="32"/>
        </w:rPr>
        <w:t>在职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8</w:t>
      </w:r>
      <w:r>
        <w:rPr>
          <w:rFonts w:hint="eastAsia" w:ascii="仿宋" w:hAnsi="仿宋" w:eastAsia="仿宋" w:cs="仿宋"/>
          <w:sz w:val="32"/>
          <w:szCs w:val="32"/>
        </w:rPr>
        <w:t>人，退休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9</w:t>
      </w:r>
      <w:r>
        <w:rPr>
          <w:rFonts w:hint="eastAsia" w:ascii="仿宋" w:hAnsi="仿宋" w:eastAsia="仿宋" w:cs="仿宋"/>
          <w:sz w:val="32"/>
          <w:szCs w:val="32"/>
        </w:rPr>
        <w:t>人。</w:t>
      </w:r>
    </w:p>
    <w:p w14:paraId="1491E5AD">
      <w:pPr>
        <w:snapToGrid w:val="0"/>
        <w:spacing w:line="520" w:lineRule="exact"/>
        <w:ind w:firstLine="640" w:firstLineChars="2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2024年年初本级资产80.01万元，年末资产65.46万元，比年初减少14.55万元，原因是提取2024年固定资产折旧。</w:t>
      </w:r>
    </w:p>
    <w:p w14:paraId="3CFBB6AE">
      <w:pPr>
        <w:widowControl w:val="0"/>
        <w:wordWrap/>
        <w:adjustRightInd w:val="0"/>
        <w:snapToGrid w:val="0"/>
        <w:spacing w:line="560" w:lineRule="exact"/>
        <w:ind w:left="0" w:right="0" w:firstLine="643" w:firstLineChars="200"/>
        <w:textAlignment w:val="auto"/>
        <w:outlineLvl w:val="9"/>
        <w:rPr>
          <w:rFonts w:ascii="仿宋" w:hAnsi="仿宋" w:eastAsia="仿宋" w:cs="楷体_GB2312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（二）</w:t>
      </w: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部门收支预决算情况</w:t>
      </w:r>
    </w:p>
    <w:p w14:paraId="7CD93A4A"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00" w:lineRule="exact"/>
        <w:ind w:firstLine="640" w:firstLineChars="200"/>
        <w:textAlignment w:val="auto"/>
        <w:rPr>
          <w:rFonts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2024年我部门项目年初预算资金10815.27 万元，调整预算数8178.19万元，决算实际支出8178.19万元，其中基本支出697.16万元，项目支出7481.03万元。</w:t>
      </w:r>
    </w:p>
    <w:p w14:paraId="7A0C81C0">
      <w:pPr>
        <w:widowControl w:val="0"/>
        <w:wordWrap/>
        <w:adjustRightInd w:val="0"/>
        <w:snapToGrid w:val="0"/>
        <w:spacing w:line="560" w:lineRule="exact"/>
        <w:ind w:left="0" w:right="0" w:firstLine="643" w:firstLineChars="200"/>
        <w:textAlignment w:val="auto"/>
        <w:outlineLvl w:val="9"/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（三）部门整体支出绩效目标、指标</w:t>
      </w:r>
    </w:p>
    <w:p w14:paraId="38EAE66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00" w:lineRule="exact"/>
        <w:ind w:firstLine="640" w:firstLineChars="200"/>
        <w:jc w:val="left"/>
        <w:textAlignment w:val="auto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2024年，我局将按照区委、区政府和市人社局的工作部署，认真落实以人民为中心的发展思想，以党建为统领，兜好底线、补齐短板、抓住重点、突出特色，全力推进人社系统高标准完成各项工作目标。</w:t>
      </w:r>
    </w:p>
    <w:p w14:paraId="1386E5B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00" w:lineRule="exact"/>
        <w:ind w:firstLine="640" w:firstLineChars="200"/>
        <w:jc w:val="left"/>
        <w:textAlignment w:val="auto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1、精准发力，大力促进就业工作。就业是最大的民生，作为资源枯竭型城市，我区就业面临严重压力，我局将把就业作为头等大事来抓，结合就业实际，抓好三个平台，促进高质量就业。　        ２、聚焦难点，大力推进社保工作。受环保、淘汰落后产能、社保缴费基数调整因素影响，我区社会保险扩面征缴、社保风险基金防控面临不少挑战，我局将进一步增强责任意识，迎难而上，推进社会保险扩面征缴工作。３、激发活力，大力做好人才工作。一是推进人事备案。二是落实人才政策。三是加强对非在编工作人员管理。４、履职尽责，构建和谐劳动关系</w:t>
      </w: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。５、真抓实干，围绕目标抓好工作。</w:t>
      </w:r>
    </w:p>
    <w:p w14:paraId="27147FF4">
      <w:pPr>
        <w:widowControl w:val="0"/>
        <w:wordWrap/>
        <w:adjustRightInd w:val="0"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</w:t>
      </w:r>
      <w:r>
        <w:rPr>
          <w:rFonts w:hint="eastAsia" w:ascii="黑体" w:hAnsi="黑体" w:eastAsia="黑体"/>
          <w:sz w:val="32"/>
          <w:szCs w:val="32"/>
          <w:lang w:eastAsia="zh-CN"/>
        </w:rPr>
        <w:t>开展</w:t>
      </w:r>
      <w:r>
        <w:rPr>
          <w:rFonts w:hint="eastAsia" w:ascii="黑体" w:hAnsi="黑体" w:eastAsia="黑体"/>
          <w:sz w:val="32"/>
          <w:szCs w:val="32"/>
        </w:rPr>
        <w:t>情况</w:t>
      </w:r>
    </w:p>
    <w:p w14:paraId="68058FEB">
      <w:pPr>
        <w:widowControl w:val="0"/>
        <w:wordWrap/>
        <w:spacing w:line="560" w:lineRule="exact"/>
        <w:ind w:left="0" w:right="0"/>
        <w:textAlignment w:val="auto"/>
        <w:outlineLvl w:val="9"/>
        <w:rPr>
          <w:rFonts w:ascii="仿宋" w:hAnsi="仿宋" w:eastAsia="仿宋" w:cs="楷体_GB2312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</w:t>
      </w:r>
      <w:r>
        <w:rPr>
          <w:rFonts w:hint="eastAsia" w:ascii="仿宋" w:hAnsi="仿宋" w:eastAsia="仿宋" w:cs="楷体_GB2312"/>
          <w:b/>
          <w:bCs/>
          <w:sz w:val="32"/>
          <w:szCs w:val="32"/>
        </w:rPr>
        <w:t>（一）自评的组织工作</w:t>
      </w:r>
    </w:p>
    <w:p w14:paraId="3ED2C48C">
      <w:pPr>
        <w:wordWrap/>
        <w:spacing w:line="560" w:lineRule="exact"/>
        <w:ind w:left="0"/>
        <w:rPr>
          <w:rFonts w:ascii="仿宋" w:hAnsi="仿宋" w:eastAsia="仿宋"/>
          <w:color w:val="auto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</w:t>
      </w:r>
      <w:r>
        <w:rPr>
          <w:rFonts w:hint="eastAsia" w:ascii="仿宋" w:hAnsi="仿宋" w:eastAsia="仿宋"/>
          <w:color w:val="auto"/>
          <w:sz w:val="32"/>
          <w:szCs w:val="32"/>
        </w:rPr>
        <w:t>我</w:t>
      </w: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部门</w:t>
      </w:r>
      <w:r>
        <w:rPr>
          <w:rFonts w:hint="eastAsia" w:ascii="仿宋" w:hAnsi="仿宋" w:eastAsia="仿宋"/>
          <w:color w:val="auto"/>
          <w:sz w:val="32"/>
          <w:szCs w:val="32"/>
        </w:rPr>
        <w:t>接到文件后，成立了绩效评价小组，根据部门具体情况，做出了资料准备和评价程序的安排。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/>
          <w:color w:val="auto"/>
          <w:sz w:val="32"/>
          <w:szCs w:val="32"/>
        </w:rPr>
        <w:t>月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15</w:t>
      </w:r>
      <w:r>
        <w:rPr>
          <w:rFonts w:hint="eastAsia" w:ascii="仿宋" w:hAnsi="仿宋" w:eastAsia="仿宋"/>
          <w:color w:val="auto"/>
          <w:sz w:val="32"/>
          <w:szCs w:val="32"/>
        </w:rPr>
        <w:t>日至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/>
          <w:color w:val="auto"/>
          <w:sz w:val="32"/>
          <w:szCs w:val="32"/>
        </w:rPr>
        <w:t>月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20</w:t>
      </w:r>
      <w:r>
        <w:rPr>
          <w:rFonts w:hint="eastAsia" w:ascii="仿宋" w:hAnsi="仿宋" w:eastAsia="仿宋"/>
          <w:color w:val="auto"/>
          <w:sz w:val="32"/>
          <w:szCs w:val="32"/>
        </w:rPr>
        <w:t>日，评价小组采用听取情况介绍，检查财务会计核算、预算决算资料，形成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2024年</w:t>
      </w: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人社局部门整体</w:t>
      </w:r>
      <w:r>
        <w:rPr>
          <w:rFonts w:hint="eastAsia" w:ascii="仿宋" w:hAnsi="仿宋" w:eastAsia="仿宋"/>
          <w:color w:val="auto"/>
          <w:sz w:val="32"/>
          <w:szCs w:val="32"/>
        </w:rPr>
        <w:t>绩效评价报告</w:t>
      </w:r>
    </w:p>
    <w:p w14:paraId="13756690">
      <w:pPr>
        <w:wordWrap/>
        <w:spacing w:line="560" w:lineRule="exact"/>
        <w:ind w:left="0" w:firstLine="320" w:firstLineChars="100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ascii="仿宋" w:hAnsi="仿宋" w:eastAsia="仿宋"/>
          <w:color w:val="auto"/>
          <w:sz w:val="32"/>
          <w:szCs w:val="32"/>
        </w:rPr>
        <w:t>（二）</w:t>
      </w:r>
      <w:r>
        <w:rPr>
          <w:rFonts w:hint="eastAsia" w:ascii="仿宋" w:hAnsi="仿宋" w:eastAsia="仿宋" w:cs="楷体_GB2312"/>
          <w:b/>
          <w:bCs/>
          <w:sz w:val="32"/>
          <w:szCs w:val="32"/>
        </w:rPr>
        <w:t>自评的方法和过程</w:t>
      </w:r>
    </w:p>
    <w:p w14:paraId="12A0DB0F">
      <w:pPr>
        <w:wordWrap/>
        <w:spacing w:line="560" w:lineRule="exact"/>
        <w:ind w:left="0" w:firstLine="420" w:firstLineChars="200"/>
        <w:rPr>
          <w:rFonts w:hint="eastAsia" w:ascii="仿宋" w:hAnsi="仿宋" w:eastAsia="仿宋" w:cs="楷体_GB2312"/>
          <w:b/>
          <w:bCs/>
          <w:sz w:val="32"/>
          <w:szCs w:val="32"/>
        </w:rPr>
      </w:pPr>
      <w:r>
        <w:rPr>
          <w:rFonts w:hint="eastAsia"/>
          <w:lang w:val="en-US" w:eastAsia="zh-CN"/>
        </w:rPr>
        <w:t xml:space="preserve"> </w:t>
      </w:r>
      <w:r>
        <w:rPr>
          <w:rFonts w:hint="eastAsia" w:ascii="仿宋" w:hAnsi="仿宋" w:eastAsia="仿宋"/>
          <w:color w:val="auto"/>
          <w:sz w:val="32"/>
          <w:szCs w:val="32"/>
        </w:rPr>
        <w:t>3月15日至3月20日，评价小组采用听取情况介绍，检查财务会计核算、预算决算资料，</w:t>
      </w: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询问有关党建、</w:t>
      </w:r>
      <w:r>
        <w:rPr>
          <w:rFonts w:hint="eastAsia" w:ascii="仿宋" w:hAnsi="仿宋" w:eastAsia="仿宋"/>
          <w:sz w:val="32"/>
          <w:szCs w:val="32"/>
          <w:lang w:eastAsia="zh-CN"/>
        </w:rPr>
        <w:t>档案数字化规范经费</w:t>
      </w: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等支出</w:t>
      </w:r>
      <w:r>
        <w:rPr>
          <w:rFonts w:hint="eastAsia" w:ascii="仿宋" w:hAnsi="仿宋" w:eastAsia="仿宋"/>
          <w:sz w:val="32"/>
          <w:szCs w:val="32"/>
        </w:rPr>
        <w:t>的办公费、</w:t>
      </w:r>
      <w:r>
        <w:rPr>
          <w:rFonts w:hint="eastAsia" w:ascii="仿宋" w:hAnsi="仿宋" w:eastAsia="仿宋"/>
          <w:sz w:val="32"/>
          <w:szCs w:val="32"/>
          <w:lang w:eastAsia="zh-CN"/>
        </w:rPr>
        <w:t>差旅费</w:t>
      </w:r>
      <w:r>
        <w:rPr>
          <w:rFonts w:hint="eastAsia" w:ascii="仿宋" w:hAnsi="仿宋" w:eastAsia="仿宋"/>
          <w:sz w:val="32"/>
          <w:szCs w:val="32"/>
        </w:rPr>
        <w:t>等</w:t>
      </w:r>
      <w:r>
        <w:rPr>
          <w:rFonts w:hint="eastAsia" w:ascii="仿宋" w:hAnsi="仿宋" w:eastAsia="仿宋"/>
          <w:sz w:val="32"/>
          <w:szCs w:val="32"/>
          <w:lang w:eastAsia="zh-CN"/>
        </w:rPr>
        <w:t>各项</w:t>
      </w:r>
      <w:r>
        <w:rPr>
          <w:rFonts w:hint="eastAsia" w:ascii="仿宋" w:hAnsi="仿宋" w:eastAsia="仿宋"/>
          <w:sz w:val="32"/>
          <w:szCs w:val="32"/>
        </w:rPr>
        <w:t>支出</w:t>
      </w:r>
      <w:r>
        <w:rPr>
          <w:rFonts w:hint="eastAsia" w:ascii="仿宋" w:hAnsi="仿宋" w:eastAsia="仿宋"/>
          <w:color w:val="auto"/>
          <w:sz w:val="32"/>
          <w:szCs w:val="32"/>
        </w:rPr>
        <w:t>，发放调查问卷等方式，经过综合分析，形成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2024年</w:t>
      </w: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人社部门整体</w:t>
      </w:r>
      <w:r>
        <w:rPr>
          <w:rFonts w:hint="eastAsia" w:ascii="仿宋" w:hAnsi="仿宋" w:eastAsia="仿宋"/>
          <w:color w:val="auto"/>
          <w:sz w:val="32"/>
          <w:szCs w:val="32"/>
        </w:rPr>
        <w:t>绩效评价报告。</w:t>
      </w:r>
    </w:p>
    <w:p w14:paraId="1D31D2B0">
      <w:pPr>
        <w:widowControl w:val="0"/>
        <w:wordWrap/>
        <w:spacing w:line="560" w:lineRule="exact"/>
        <w:ind w:left="0" w:right="0"/>
        <w:textAlignment w:val="auto"/>
        <w:outlineLvl w:val="9"/>
        <w:rPr>
          <w:rFonts w:hint="eastAsia" w:ascii="黑体" w:hAnsi="黑体" w:eastAsia="黑体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仿宋" w:hAnsi="仿宋" w:eastAsia="仿宋"/>
          <w:b/>
          <w:bCs/>
          <w:sz w:val="32"/>
          <w:szCs w:val="32"/>
        </w:rPr>
        <w:t xml:space="preserve"> </w:t>
      </w:r>
      <w:r>
        <w:rPr>
          <w:rFonts w:hint="eastAsia" w:ascii="黑体" w:hAnsi="黑体" w:eastAsia="黑体"/>
          <w:sz w:val="32"/>
          <w:szCs w:val="32"/>
        </w:rPr>
        <w:t>三、</w:t>
      </w:r>
      <w:r>
        <w:rPr>
          <w:rFonts w:hint="eastAsia" w:ascii="黑体" w:hAnsi="黑体" w:eastAsia="黑体"/>
          <w:sz w:val="32"/>
          <w:szCs w:val="32"/>
          <w:lang w:eastAsia="zh-CN"/>
        </w:rPr>
        <w:t>部门整体支出</w:t>
      </w:r>
      <w:r>
        <w:rPr>
          <w:rFonts w:hint="eastAsia" w:ascii="黑体" w:hAnsi="黑体" w:eastAsia="黑体"/>
          <w:sz w:val="32"/>
          <w:szCs w:val="32"/>
        </w:rPr>
        <w:t>绩效</w:t>
      </w:r>
      <w:r>
        <w:rPr>
          <w:rFonts w:hint="eastAsia" w:ascii="黑体" w:hAnsi="黑体" w:eastAsia="黑体"/>
          <w:sz w:val="32"/>
          <w:szCs w:val="32"/>
          <w:lang w:eastAsia="zh-CN"/>
        </w:rPr>
        <w:t>目标实现情况及指标分析</w:t>
      </w:r>
    </w:p>
    <w:p w14:paraId="39AFE615">
      <w:pPr>
        <w:widowControl w:val="0"/>
        <w:numPr>
          <w:ilvl w:val="0"/>
          <w:numId w:val="1"/>
        </w:numPr>
        <w:wordWrap/>
        <w:spacing w:line="560" w:lineRule="exact"/>
        <w:ind w:left="0" w:right="0" w:firstLine="643" w:firstLineChars="200"/>
        <w:textAlignment w:val="auto"/>
        <w:outlineLvl w:val="9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总体绩效目标实现情况</w:t>
      </w:r>
    </w:p>
    <w:p w14:paraId="0EF2F446"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jc w:val="left"/>
        <w:textAlignment w:val="auto"/>
        <w:outlineLvl w:val="9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/>
          <w:sz w:val="32"/>
          <w:szCs w:val="32"/>
          <w:lang w:eastAsia="zh-CN"/>
        </w:rPr>
        <w:t>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14</w:t>
      </w:r>
      <w:r>
        <w:rPr>
          <w:rFonts w:hint="eastAsia" w:ascii="仿宋" w:hAnsi="仿宋" w:eastAsia="仿宋"/>
          <w:sz w:val="32"/>
          <w:szCs w:val="32"/>
          <w:lang w:eastAsia="zh-CN"/>
        </w:rPr>
        <w:t>个项目进行了自评价，并完成《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2024年度区级</w:t>
      </w:r>
      <w:r>
        <w:rPr>
          <w:rFonts w:hint="eastAsia" w:ascii="仿宋" w:hAnsi="仿宋" w:eastAsia="仿宋"/>
          <w:sz w:val="32"/>
          <w:szCs w:val="32"/>
          <w:lang w:eastAsia="zh-CN"/>
        </w:rPr>
        <w:t>项目绩效自评表》，且对人社局城乡居民养老保险补助进行了重点评价。</w:t>
      </w:r>
    </w:p>
    <w:p w14:paraId="141E35CA"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jc w:val="left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绩效目标是贯穿预算绩效管理始终的一条主线，是预算资金安排、事中绩效跟踪和事后绩效评价的重要依据。根据相关文件要求，我局所有年初项目均设定了绩效目标，涉及产出指标和效果指标，但存在绩效指标不够全面、可评性不高、具体指标缺乏量化等问题。</w:t>
      </w:r>
    </w:p>
    <w:p w14:paraId="7D27F68C">
      <w:pPr>
        <w:widowControl w:val="0"/>
        <w:numPr>
          <w:ilvl w:val="0"/>
          <w:numId w:val="0"/>
        </w:numPr>
        <w:wordWrap/>
        <w:spacing w:line="560" w:lineRule="exact"/>
        <w:ind w:leftChars="200" w:right="0" w:rightChars="0"/>
        <w:textAlignment w:val="auto"/>
        <w:outlineLvl w:val="9"/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（二）分项绩效目标实现情况及指标分析</w:t>
      </w:r>
    </w:p>
    <w:p w14:paraId="1CE599A9">
      <w:pPr>
        <w:pStyle w:val="10"/>
        <w:numPr>
          <w:ilvl w:val="0"/>
          <w:numId w:val="2"/>
        </w:numPr>
        <w:ind w:left="480" w:leftChars="0" w:firstLine="0" w:firstLineChars="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党建经费</w:t>
      </w:r>
    </w:p>
    <w:p w14:paraId="10A1FA41">
      <w:pPr>
        <w:pStyle w:val="10"/>
        <w:numPr>
          <w:ilvl w:val="0"/>
          <w:numId w:val="0"/>
        </w:numPr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1.资金支出进度</w:t>
      </w:r>
    </w:p>
    <w:p w14:paraId="3619E737">
      <w:pPr>
        <w:pStyle w:val="10"/>
        <w:numPr>
          <w:ilvl w:val="0"/>
          <w:numId w:val="0"/>
        </w:numPr>
        <w:ind w:firstLine="64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该项目预算数是0.19万，支出0.19万元，总体支出进度为100%。</w:t>
      </w:r>
    </w:p>
    <w:p w14:paraId="671781BD">
      <w:pPr>
        <w:pStyle w:val="10"/>
        <w:numPr>
          <w:ilvl w:val="0"/>
          <w:numId w:val="3"/>
        </w:numPr>
        <w:ind w:firstLine="64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产出指标和效果指标完成情况</w:t>
      </w:r>
    </w:p>
    <w:p w14:paraId="19D214BD">
      <w:pPr>
        <w:pStyle w:val="10"/>
        <w:numPr>
          <w:ilvl w:val="0"/>
          <w:numId w:val="0"/>
        </w:numPr>
        <w:ind w:firstLine="64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该项经费用于开展党员教育活动的报刊、资料等，开展党的建设的其他活动经费，范围人社局党员。</w:t>
      </w:r>
    </w:p>
    <w:p w14:paraId="34BC537D">
      <w:pPr>
        <w:pStyle w:val="10"/>
        <w:numPr>
          <w:ilvl w:val="0"/>
          <w:numId w:val="0"/>
        </w:numPr>
        <w:ind w:firstLine="64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绩效指标为4个，评价等级为优。</w:t>
      </w:r>
    </w:p>
    <w:p w14:paraId="1E1A6F08">
      <w:pPr>
        <w:pStyle w:val="10"/>
        <w:numPr>
          <w:ilvl w:val="0"/>
          <w:numId w:val="2"/>
        </w:numPr>
        <w:ind w:left="480" w:leftChars="0" w:firstLine="0" w:firstLineChars="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机关工作经费</w:t>
      </w:r>
    </w:p>
    <w:p w14:paraId="5C400B00">
      <w:pPr>
        <w:pStyle w:val="10"/>
        <w:numPr>
          <w:ilvl w:val="0"/>
          <w:numId w:val="0"/>
        </w:numPr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1.资金支出进度</w:t>
      </w:r>
    </w:p>
    <w:p w14:paraId="0FE04C94">
      <w:pPr>
        <w:widowControl w:val="0"/>
        <w:wordWrap/>
        <w:adjustRightInd w:val="0"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仿宋" w:hAnsi="仿宋" w:eastAsia="仿宋"/>
          <w:color w:val="auto"/>
          <w:sz w:val="32"/>
          <w:szCs w:val="32"/>
        </w:rPr>
      </w:pPr>
      <w:r>
        <w:rPr>
          <w:rFonts w:hint="eastAsia" w:ascii="仿宋" w:hAnsi="仿宋" w:eastAsia="仿宋"/>
          <w:color w:val="auto"/>
          <w:sz w:val="32"/>
          <w:szCs w:val="32"/>
        </w:rPr>
        <w:t>202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color w:val="auto"/>
          <w:sz w:val="32"/>
          <w:szCs w:val="32"/>
        </w:rPr>
        <w:t>年度区级预算资金安排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/>
          <w:color w:val="auto"/>
          <w:sz w:val="32"/>
          <w:szCs w:val="32"/>
        </w:rPr>
        <w:t>万元，到位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/>
          <w:color w:val="auto"/>
          <w:sz w:val="32"/>
          <w:szCs w:val="32"/>
        </w:rPr>
        <w:t>万元，执行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/>
          <w:color w:val="auto"/>
          <w:sz w:val="32"/>
          <w:szCs w:val="32"/>
        </w:rPr>
        <w:t>万元，预算执行率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100%</w:t>
      </w:r>
      <w:r>
        <w:rPr>
          <w:rFonts w:hint="eastAsia" w:ascii="仿宋" w:hAnsi="仿宋" w:eastAsia="仿宋"/>
          <w:color w:val="auto"/>
          <w:sz w:val="32"/>
          <w:szCs w:val="32"/>
        </w:rPr>
        <w:t>。</w:t>
      </w:r>
    </w:p>
    <w:p w14:paraId="1F790F25">
      <w:pPr>
        <w:pStyle w:val="10"/>
        <w:numPr>
          <w:ilvl w:val="0"/>
          <w:numId w:val="0"/>
        </w:numPr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2.产出指标和效果指标完成情况</w:t>
      </w:r>
    </w:p>
    <w:p w14:paraId="6C8D688E"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jc w:val="left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</w:rPr>
        <w:t>人力资源和社会保障工作</w:t>
      </w:r>
      <w:r>
        <w:rPr>
          <w:rFonts w:hint="eastAsia" w:ascii="仿宋" w:hAnsi="仿宋" w:eastAsia="仿宋"/>
          <w:sz w:val="32"/>
          <w:szCs w:val="32"/>
          <w:lang w:eastAsia="zh-CN"/>
        </w:rPr>
        <w:t>。</w:t>
      </w:r>
    </w:p>
    <w:p w14:paraId="716CCED7">
      <w:pPr>
        <w:pStyle w:val="10"/>
        <w:numPr>
          <w:ilvl w:val="0"/>
          <w:numId w:val="0"/>
        </w:numPr>
        <w:ind w:firstLine="64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绩效指标为4个，评价等级为优</w:t>
      </w:r>
    </w:p>
    <w:p w14:paraId="5BD45382">
      <w:pPr>
        <w:pStyle w:val="10"/>
        <w:numPr>
          <w:ilvl w:val="0"/>
          <w:numId w:val="2"/>
        </w:numPr>
        <w:ind w:left="480" w:leftChars="0" w:firstLine="0" w:firstLineChars="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劳动仲裁经费</w:t>
      </w:r>
    </w:p>
    <w:p w14:paraId="149E827F">
      <w:pPr>
        <w:pStyle w:val="10"/>
        <w:numPr>
          <w:ilvl w:val="0"/>
          <w:numId w:val="0"/>
        </w:numPr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1.资金支出进度</w:t>
      </w:r>
    </w:p>
    <w:p w14:paraId="00C123ED">
      <w:pPr>
        <w:widowControl w:val="0"/>
        <w:wordWrap/>
        <w:adjustRightInd w:val="0"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仿宋" w:hAnsi="仿宋" w:eastAsia="仿宋"/>
          <w:color w:val="auto"/>
          <w:sz w:val="32"/>
          <w:szCs w:val="32"/>
        </w:rPr>
      </w:pPr>
      <w:r>
        <w:rPr>
          <w:rFonts w:hint="eastAsia" w:ascii="仿宋" w:hAnsi="仿宋" w:eastAsia="仿宋"/>
          <w:color w:val="auto"/>
          <w:sz w:val="32"/>
          <w:szCs w:val="32"/>
        </w:rPr>
        <w:t>202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color w:val="auto"/>
          <w:sz w:val="32"/>
          <w:szCs w:val="32"/>
        </w:rPr>
        <w:t>年度区级预算资金安排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1.6</w:t>
      </w:r>
      <w:r>
        <w:rPr>
          <w:rFonts w:hint="eastAsia" w:ascii="仿宋" w:hAnsi="仿宋" w:eastAsia="仿宋"/>
          <w:color w:val="auto"/>
          <w:sz w:val="32"/>
          <w:szCs w:val="32"/>
        </w:rPr>
        <w:t>万元，到位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1.6</w:t>
      </w:r>
      <w:r>
        <w:rPr>
          <w:rFonts w:hint="eastAsia" w:ascii="仿宋" w:hAnsi="仿宋" w:eastAsia="仿宋"/>
          <w:color w:val="auto"/>
          <w:sz w:val="32"/>
          <w:szCs w:val="32"/>
        </w:rPr>
        <w:t>万元，执行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1.6</w:t>
      </w:r>
      <w:r>
        <w:rPr>
          <w:rFonts w:hint="eastAsia" w:ascii="仿宋" w:hAnsi="仿宋" w:eastAsia="仿宋"/>
          <w:color w:val="auto"/>
          <w:sz w:val="32"/>
          <w:szCs w:val="32"/>
        </w:rPr>
        <w:t>万元，预算执行率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100%</w:t>
      </w:r>
      <w:r>
        <w:rPr>
          <w:rFonts w:hint="eastAsia" w:ascii="仿宋" w:hAnsi="仿宋" w:eastAsia="仿宋"/>
          <w:color w:val="auto"/>
          <w:sz w:val="32"/>
          <w:szCs w:val="32"/>
        </w:rPr>
        <w:t>。</w:t>
      </w:r>
    </w:p>
    <w:p w14:paraId="7E4B9C24">
      <w:pPr>
        <w:pStyle w:val="10"/>
        <w:numPr>
          <w:ilvl w:val="0"/>
          <w:numId w:val="0"/>
        </w:numPr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2.产出指标和效果指标完成情况</w:t>
      </w:r>
    </w:p>
    <w:p w14:paraId="0657A0F0">
      <w:pPr>
        <w:pStyle w:val="10"/>
        <w:numPr>
          <w:ilvl w:val="0"/>
          <w:numId w:val="0"/>
        </w:numPr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受理各类劳动仲裁案件199起（不予受理44起，调解69起，裁决66起，撤诉9起，中止2起，正在审理9起）。1.资金支出进度</w:t>
      </w:r>
    </w:p>
    <w:p w14:paraId="7B4C6D17">
      <w:pPr>
        <w:widowControl w:val="0"/>
        <w:wordWrap/>
        <w:adjustRightInd w:val="0"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仿宋" w:hAnsi="仿宋" w:eastAsia="仿宋"/>
          <w:color w:val="auto"/>
          <w:sz w:val="32"/>
          <w:szCs w:val="32"/>
        </w:rPr>
      </w:pPr>
      <w:r>
        <w:rPr>
          <w:rFonts w:hint="eastAsia" w:ascii="仿宋" w:hAnsi="仿宋" w:eastAsia="仿宋"/>
          <w:color w:val="auto"/>
          <w:sz w:val="32"/>
          <w:szCs w:val="32"/>
        </w:rPr>
        <w:t>202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color w:val="auto"/>
          <w:sz w:val="32"/>
          <w:szCs w:val="32"/>
        </w:rPr>
        <w:t>年度区级预算资金安排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1.6</w:t>
      </w:r>
      <w:r>
        <w:rPr>
          <w:rFonts w:hint="eastAsia" w:ascii="仿宋" w:hAnsi="仿宋" w:eastAsia="仿宋"/>
          <w:color w:val="auto"/>
          <w:sz w:val="32"/>
          <w:szCs w:val="32"/>
        </w:rPr>
        <w:t>万元，到位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1.6</w:t>
      </w:r>
      <w:r>
        <w:rPr>
          <w:rFonts w:hint="eastAsia" w:ascii="仿宋" w:hAnsi="仿宋" w:eastAsia="仿宋"/>
          <w:color w:val="auto"/>
          <w:sz w:val="32"/>
          <w:szCs w:val="32"/>
        </w:rPr>
        <w:t>万元，执行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1.6</w:t>
      </w:r>
      <w:r>
        <w:rPr>
          <w:rFonts w:hint="eastAsia" w:ascii="仿宋" w:hAnsi="仿宋" w:eastAsia="仿宋"/>
          <w:color w:val="auto"/>
          <w:sz w:val="32"/>
          <w:szCs w:val="32"/>
        </w:rPr>
        <w:t>万元，预算执行率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100%</w:t>
      </w:r>
      <w:r>
        <w:rPr>
          <w:rFonts w:hint="eastAsia" w:ascii="仿宋" w:hAnsi="仿宋" w:eastAsia="仿宋"/>
          <w:color w:val="auto"/>
          <w:sz w:val="32"/>
          <w:szCs w:val="32"/>
        </w:rPr>
        <w:t>。</w:t>
      </w:r>
    </w:p>
    <w:p w14:paraId="3894953F">
      <w:pPr>
        <w:pStyle w:val="10"/>
        <w:numPr>
          <w:ilvl w:val="0"/>
          <w:numId w:val="0"/>
        </w:numPr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2.产出指标和效果指标完成情况</w:t>
      </w:r>
    </w:p>
    <w:p w14:paraId="7194F797"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jc w:val="left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</w:rPr>
        <w:t>人力资源和社会保障工作</w:t>
      </w:r>
      <w:r>
        <w:rPr>
          <w:rFonts w:hint="eastAsia" w:ascii="仿宋" w:hAnsi="仿宋" w:eastAsia="仿宋"/>
          <w:sz w:val="32"/>
          <w:szCs w:val="32"/>
          <w:lang w:eastAsia="zh-CN"/>
        </w:rPr>
        <w:t>。</w:t>
      </w:r>
    </w:p>
    <w:p w14:paraId="3528DD0D">
      <w:pPr>
        <w:pStyle w:val="10"/>
        <w:numPr>
          <w:ilvl w:val="0"/>
          <w:numId w:val="0"/>
        </w:numPr>
        <w:ind w:left="480" w:leftChars="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绩效指标为4个，评价等级为优。</w:t>
      </w:r>
    </w:p>
    <w:p w14:paraId="0214C5A5">
      <w:pPr>
        <w:pStyle w:val="10"/>
        <w:numPr>
          <w:ilvl w:val="0"/>
          <w:numId w:val="2"/>
        </w:numPr>
        <w:ind w:left="480" w:leftChars="0" w:firstLine="0" w:firstLineChars="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劳动监察经费</w:t>
      </w:r>
    </w:p>
    <w:p w14:paraId="4D260E43">
      <w:pPr>
        <w:pStyle w:val="10"/>
        <w:numPr>
          <w:ilvl w:val="0"/>
          <w:numId w:val="0"/>
        </w:numPr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1.资金支出进度</w:t>
      </w:r>
    </w:p>
    <w:p w14:paraId="23C036A6">
      <w:pPr>
        <w:widowControl w:val="0"/>
        <w:wordWrap/>
        <w:adjustRightInd w:val="0"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仿宋" w:hAnsi="仿宋" w:eastAsia="仿宋"/>
          <w:color w:val="auto"/>
          <w:sz w:val="32"/>
          <w:szCs w:val="32"/>
        </w:rPr>
      </w:pPr>
      <w:r>
        <w:rPr>
          <w:rFonts w:hint="eastAsia" w:ascii="仿宋" w:hAnsi="仿宋" w:eastAsia="仿宋"/>
          <w:color w:val="auto"/>
          <w:sz w:val="32"/>
          <w:szCs w:val="32"/>
        </w:rPr>
        <w:t>202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color w:val="auto"/>
          <w:sz w:val="32"/>
          <w:szCs w:val="32"/>
        </w:rPr>
        <w:t>年度区级预算资金安排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2.4</w:t>
      </w:r>
      <w:r>
        <w:rPr>
          <w:rFonts w:hint="eastAsia" w:ascii="仿宋" w:hAnsi="仿宋" w:eastAsia="仿宋"/>
          <w:color w:val="auto"/>
          <w:sz w:val="32"/>
          <w:szCs w:val="32"/>
        </w:rPr>
        <w:t>万元，到位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2.4</w:t>
      </w:r>
      <w:r>
        <w:rPr>
          <w:rFonts w:hint="eastAsia" w:ascii="仿宋" w:hAnsi="仿宋" w:eastAsia="仿宋"/>
          <w:color w:val="auto"/>
          <w:sz w:val="32"/>
          <w:szCs w:val="32"/>
        </w:rPr>
        <w:t>万元，执行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2.4</w:t>
      </w:r>
      <w:r>
        <w:rPr>
          <w:rFonts w:hint="eastAsia" w:ascii="仿宋" w:hAnsi="仿宋" w:eastAsia="仿宋"/>
          <w:color w:val="auto"/>
          <w:sz w:val="32"/>
          <w:szCs w:val="32"/>
        </w:rPr>
        <w:t>万元，预算执行率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100%</w:t>
      </w:r>
      <w:r>
        <w:rPr>
          <w:rFonts w:hint="eastAsia" w:ascii="仿宋" w:hAnsi="仿宋" w:eastAsia="仿宋"/>
          <w:color w:val="auto"/>
          <w:sz w:val="32"/>
          <w:szCs w:val="32"/>
        </w:rPr>
        <w:t>。</w:t>
      </w:r>
    </w:p>
    <w:p w14:paraId="68173942">
      <w:pPr>
        <w:pStyle w:val="10"/>
        <w:numPr>
          <w:ilvl w:val="0"/>
          <w:numId w:val="0"/>
        </w:numPr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2.产出指标和效果指标完成情况</w:t>
      </w:r>
    </w:p>
    <w:p w14:paraId="62E389C3">
      <w:pPr>
        <w:pStyle w:val="10"/>
        <w:numPr>
          <w:ilvl w:val="0"/>
          <w:numId w:val="0"/>
        </w:numPr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国家欠薪平台投诉145件，市欠薪平台投诉46件；处理根治欠薪平台预警21个；线下接待来访40余批次，电话咨询80余起；处置市长热线93件；共为900余名农民工追讨工资1260余万元。           机关工作经费</w:t>
      </w:r>
    </w:p>
    <w:p w14:paraId="13C5982F">
      <w:pPr>
        <w:pStyle w:val="10"/>
        <w:numPr>
          <w:ilvl w:val="0"/>
          <w:numId w:val="0"/>
        </w:numPr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1.资金支出进度</w:t>
      </w:r>
    </w:p>
    <w:p w14:paraId="64512BD7">
      <w:pPr>
        <w:widowControl w:val="0"/>
        <w:wordWrap/>
        <w:adjustRightInd w:val="0"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仿宋" w:hAnsi="仿宋" w:eastAsia="仿宋"/>
          <w:color w:val="auto"/>
          <w:sz w:val="32"/>
          <w:szCs w:val="32"/>
        </w:rPr>
      </w:pPr>
      <w:r>
        <w:rPr>
          <w:rFonts w:hint="eastAsia" w:ascii="仿宋" w:hAnsi="仿宋" w:eastAsia="仿宋"/>
          <w:color w:val="auto"/>
          <w:sz w:val="32"/>
          <w:szCs w:val="32"/>
        </w:rPr>
        <w:t>202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color w:val="auto"/>
          <w:sz w:val="32"/>
          <w:szCs w:val="32"/>
        </w:rPr>
        <w:t>年度区级预算资金安排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2.4</w:t>
      </w:r>
      <w:r>
        <w:rPr>
          <w:rFonts w:hint="eastAsia" w:ascii="仿宋" w:hAnsi="仿宋" w:eastAsia="仿宋"/>
          <w:color w:val="auto"/>
          <w:sz w:val="32"/>
          <w:szCs w:val="32"/>
        </w:rPr>
        <w:t>万元，到位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2.4</w:t>
      </w:r>
      <w:r>
        <w:rPr>
          <w:rFonts w:hint="eastAsia" w:ascii="仿宋" w:hAnsi="仿宋" w:eastAsia="仿宋"/>
          <w:color w:val="auto"/>
          <w:sz w:val="32"/>
          <w:szCs w:val="32"/>
        </w:rPr>
        <w:t>万元，执行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2.4</w:t>
      </w:r>
      <w:r>
        <w:rPr>
          <w:rFonts w:hint="eastAsia" w:ascii="仿宋" w:hAnsi="仿宋" w:eastAsia="仿宋"/>
          <w:color w:val="auto"/>
          <w:sz w:val="32"/>
          <w:szCs w:val="32"/>
        </w:rPr>
        <w:t>万元，预算执行率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100%</w:t>
      </w:r>
      <w:r>
        <w:rPr>
          <w:rFonts w:hint="eastAsia" w:ascii="仿宋" w:hAnsi="仿宋" w:eastAsia="仿宋"/>
          <w:color w:val="auto"/>
          <w:sz w:val="32"/>
          <w:szCs w:val="32"/>
        </w:rPr>
        <w:t>。</w:t>
      </w:r>
    </w:p>
    <w:p w14:paraId="3F42F9C0">
      <w:pPr>
        <w:pStyle w:val="10"/>
        <w:numPr>
          <w:ilvl w:val="0"/>
          <w:numId w:val="0"/>
        </w:numPr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2.产出指标和效果指标完成情况</w:t>
      </w:r>
    </w:p>
    <w:p w14:paraId="657BFF8A"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jc w:val="left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</w:rPr>
        <w:t>人力资源和社会保障工作</w:t>
      </w:r>
      <w:r>
        <w:rPr>
          <w:rFonts w:hint="eastAsia" w:ascii="仿宋" w:hAnsi="仿宋" w:eastAsia="仿宋"/>
          <w:sz w:val="32"/>
          <w:szCs w:val="32"/>
          <w:lang w:eastAsia="zh-CN"/>
        </w:rPr>
        <w:t>。</w:t>
      </w:r>
    </w:p>
    <w:p w14:paraId="6890904D">
      <w:pPr>
        <w:pStyle w:val="10"/>
        <w:numPr>
          <w:ilvl w:val="0"/>
          <w:numId w:val="0"/>
        </w:numPr>
        <w:ind w:left="480" w:leftChars="0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绩效指标为4个，评价等级为优。</w:t>
      </w:r>
    </w:p>
    <w:p w14:paraId="24F0ACA7">
      <w:pPr>
        <w:pStyle w:val="10"/>
        <w:numPr>
          <w:ilvl w:val="0"/>
          <w:numId w:val="2"/>
        </w:numPr>
        <w:ind w:left="480" w:leftChars="0" w:firstLine="0" w:firstLineChars="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劳务派遣经费</w:t>
      </w:r>
    </w:p>
    <w:p w14:paraId="303B8A13">
      <w:pPr>
        <w:pStyle w:val="10"/>
        <w:numPr>
          <w:ilvl w:val="0"/>
          <w:numId w:val="0"/>
        </w:numPr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1.资金支出进度</w:t>
      </w:r>
    </w:p>
    <w:p w14:paraId="7A7BA2FE">
      <w:pPr>
        <w:widowControl w:val="0"/>
        <w:wordWrap/>
        <w:adjustRightInd w:val="0"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color w:val="auto"/>
          <w:sz w:val="32"/>
          <w:szCs w:val="32"/>
        </w:rPr>
        <w:t>202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color w:val="auto"/>
          <w:sz w:val="32"/>
          <w:szCs w:val="32"/>
        </w:rPr>
        <w:t>年度区级预算资金安排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50.7</w:t>
      </w:r>
      <w:r>
        <w:rPr>
          <w:rFonts w:hint="eastAsia" w:ascii="仿宋" w:hAnsi="仿宋" w:eastAsia="仿宋"/>
          <w:color w:val="auto"/>
          <w:sz w:val="32"/>
          <w:szCs w:val="32"/>
        </w:rPr>
        <w:t>万元，到位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50.7</w:t>
      </w:r>
      <w:r>
        <w:rPr>
          <w:rFonts w:hint="eastAsia" w:ascii="仿宋" w:hAnsi="仿宋" w:eastAsia="仿宋"/>
          <w:color w:val="auto"/>
          <w:sz w:val="32"/>
          <w:szCs w:val="32"/>
        </w:rPr>
        <w:t>万元，执行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50.7</w:t>
      </w:r>
      <w:r>
        <w:rPr>
          <w:rFonts w:hint="eastAsia" w:ascii="仿宋" w:hAnsi="仿宋" w:eastAsia="仿宋"/>
          <w:color w:val="auto"/>
          <w:sz w:val="32"/>
          <w:szCs w:val="32"/>
        </w:rPr>
        <w:t>万元，预算执行率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100%</w:t>
      </w:r>
      <w:r>
        <w:rPr>
          <w:rFonts w:hint="eastAsia" w:ascii="仿宋" w:hAnsi="仿宋" w:eastAsia="仿宋"/>
          <w:color w:val="auto"/>
          <w:sz w:val="32"/>
          <w:szCs w:val="32"/>
        </w:rPr>
        <w:t>。</w:t>
      </w:r>
    </w:p>
    <w:p w14:paraId="7F3E5BF5">
      <w:pPr>
        <w:pStyle w:val="10"/>
        <w:numPr>
          <w:ilvl w:val="0"/>
          <w:numId w:val="0"/>
        </w:numPr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2.产出指标和效果指标完成情况</w:t>
      </w:r>
    </w:p>
    <w:p w14:paraId="7B2BEE00">
      <w:pPr>
        <w:widowControl w:val="0"/>
        <w:wordWrap/>
        <w:adjustRightInd w:val="0"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color w:val="auto"/>
          <w:sz w:val="32"/>
          <w:szCs w:val="32"/>
        </w:rPr>
        <w:t>202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color w:val="auto"/>
          <w:sz w:val="32"/>
          <w:szCs w:val="32"/>
        </w:rPr>
        <w:t>年度区级预算资金安排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50.7</w:t>
      </w:r>
      <w:r>
        <w:rPr>
          <w:rFonts w:hint="eastAsia" w:ascii="仿宋" w:hAnsi="仿宋" w:eastAsia="仿宋"/>
          <w:color w:val="auto"/>
          <w:sz w:val="32"/>
          <w:szCs w:val="32"/>
        </w:rPr>
        <w:t>万元，</w:t>
      </w:r>
      <w:r>
        <w:rPr>
          <w:rFonts w:hint="eastAsia" w:ascii="仿宋" w:hAnsi="仿宋" w:eastAsia="仿宋"/>
          <w:sz w:val="32"/>
          <w:szCs w:val="32"/>
          <w:lang w:eastAsia="zh-CN"/>
        </w:rPr>
        <w:t>用于劳务派遣工作人员的工资保险支出。</w:t>
      </w:r>
    </w:p>
    <w:p w14:paraId="06E4009C">
      <w:pPr>
        <w:pStyle w:val="10"/>
        <w:numPr>
          <w:ilvl w:val="0"/>
          <w:numId w:val="0"/>
        </w:numPr>
        <w:ind w:left="480" w:leftChars="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绩效指标为4个，评价等级为优。</w:t>
      </w:r>
    </w:p>
    <w:p w14:paraId="04B9F485">
      <w:pPr>
        <w:pStyle w:val="10"/>
        <w:numPr>
          <w:ilvl w:val="0"/>
          <w:numId w:val="2"/>
        </w:numPr>
        <w:ind w:left="480" w:leftChars="0" w:firstLine="0" w:firstLineChars="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职称评审经费</w:t>
      </w:r>
    </w:p>
    <w:p w14:paraId="61955EC4">
      <w:pPr>
        <w:pStyle w:val="10"/>
        <w:numPr>
          <w:ilvl w:val="0"/>
          <w:numId w:val="0"/>
        </w:numPr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1.资金支出进度</w:t>
      </w:r>
    </w:p>
    <w:p w14:paraId="56D07BBF">
      <w:pPr>
        <w:widowControl w:val="0"/>
        <w:wordWrap/>
        <w:adjustRightInd w:val="0"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仿宋" w:hAnsi="仿宋" w:eastAsia="仿宋"/>
          <w:color w:val="auto"/>
          <w:sz w:val="32"/>
          <w:szCs w:val="32"/>
        </w:rPr>
      </w:pPr>
      <w:r>
        <w:rPr>
          <w:rFonts w:hint="eastAsia" w:ascii="仿宋" w:hAnsi="仿宋" w:eastAsia="仿宋"/>
          <w:color w:val="auto"/>
          <w:sz w:val="32"/>
          <w:szCs w:val="32"/>
        </w:rPr>
        <w:t>202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color w:val="auto"/>
          <w:sz w:val="32"/>
          <w:szCs w:val="32"/>
        </w:rPr>
        <w:t>年度区级预算资金安排</w:t>
      </w:r>
      <w:r>
        <w:rPr>
          <w:rFonts w:ascii="仿宋" w:hAnsi="仿宋" w:eastAsia="仿宋"/>
          <w:color w:val="auto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/>
          <w:color w:val="auto"/>
          <w:sz w:val="32"/>
          <w:szCs w:val="32"/>
        </w:rPr>
        <w:t>万元，到位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/>
          <w:color w:val="auto"/>
          <w:sz w:val="32"/>
          <w:szCs w:val="32"/>
        </w:rPr>
        <w:t>万元，执行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/>
          <w:color w:val="auto"/>
          <w:sz w:val="32"/>
          <w:szCs w:val="32"/>
        </w:rPr>
        <w:t>万元，预算执行率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79.65%</w:t>
      </w:r>
      <w:r>
        <w:rPr>
          <w:rFonts w:hint="eastAsia" w:ascii="仿宋" w:hAnsi="仿宋" w:eastAsia="仿宋"/>
          <w:color w:val="auto"/>
          <w:sz w:val="32"/>
          <w:szCs w:val="32"/>
        </w:rPr>
        <w:t>。</w:t>
      </w:r>
    </w:p>
    <w:p w14:paraId="456FB4C5">
      <w:pPr>
        <w:pStyle w:val="10"/>
        <w:numPr>
          <w:ilvl w:val="0"/>
          <w:numId w:val="0"/>
        </w:numPr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2.产出指标和效果指标完成情况</w:t>
      </w:r>
    </w:p>
    <w:p w14:paraId="79DE28A4">
      <w:pPr>
        <w:widowControl w:val="0"/>
        <w:wordWrap/>
        <w:adjustRightInd w:val="0"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color w:val="auto"/>
          <w:sz w:val="32"/>
          <w:szCs w:val="32"/>
        </w:rPr>
        <w:t>202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color w:val="auto"/>
          <w:sz w:val="32"/>
          <w:szCs w:val="32"/>
        </w:rPr>
        <w:t>年度区级预算资金安排</w:t>
      </w:r>
      <w:r>
        <w:rPr>
          <w:rFonts w:ascii="仿宋" w:hAnsi="仿宋" w:eastAsia="仿宋"/>
          <w:color w:val="auto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/>
          <w:color w:val="auto"/>
          <w:sz w:val="32"/>
          <w:szCs w:val="32"/>
        </w:rPr>
        <w:t>万元，</w:t>
      </w:r>
      <w:r>
        <w:rPr>
          <w:rFonts w:hint="eastAsia" w:ascii="仿宋" w:hAnsi="仿宋" w:eastAsia="仿宋"/>
          <w:sz w:val="32"/>
          <w:szCs w:val="32"/>
          <w:lang w:eastAsia="zh-CN"/>
        </w:rPr>
        <w:t>用于支付职称评审费。</w:t>
      </w:r>
    </w:p>
    <w:p w14:paraId="6086F2E5">
      <w:pPr>
        <w:pStyle w:val="10"/>
        <w:numPr>
          <w:ilvl w:val="0"/>
          <w:numId w:val="0"/>
        </w:numPr>
        <w:ind w:left="480" w:leftChars="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绩效指标为4个，评价等级为优。</w:t>
      </w:r>
    </w:p>
    <w:p w14:paraId="123F69DA">
      <w:pPr>
        <w:pStyle w:val="10"/>
        <w:numPr>
          <w:ilvl w:val="0"/>
          <w:numId w:val="2"/>
        </w:numPr>
        <w:ind w:left="480" w:leftChars="0" w:firstLine="0" w:firstLineChars="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城乡居民养老保险区级补助</w:t>
      </w:r>
    </w:p>
    <w:p w14:paraId="4CC56FCD">
      <w:pPr>
        <w:pStyle w:val="10"/>
        <w:numPr>
          <w:ilvl w:val="0"/>
          <w:numId w:val="0"/>
        </w:numPr>
        <w:ind w:firstLine="640" w:firstLineChars="200"/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1.资金支出进度</w:t>
      </w:r>
    </w:p>
    <w:p w14:paraId="11AA33AC">
      <w:pPr>
        <w:pStyle w:val="10"/>
        <w:numPr>
          <w:ilvl w:val="0"/>
          <w:numId w:val="0"/>
        </w:numPr>
        <w:ind w:firstLine="640" w:firstLineChars="200"/>
        <w:rPr>
          <w:rFonts w:hint="eastAsia" w:ascii="仿宋" w:hAnsi="仿宋" w:eastAsia="仿宋" w:cs="仿宋_GB2312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_GB2312"/>
          <w:b w:val="0"/>
          <w:bCs w:val="0"/>
          <w:sz w:val="32"/>
          <w:szCs w:val="32"/>
        </w:rPr>
        <w:t>202</w:t>
      </w:r>
      <w:r>
        <w:rPr>
          <w:rFonts w:hint="eastAsia" w:ascii="仿宋" w:hAnsi="仿宋" w:eastAsia="仿宋" w:cs="仿宋_GB2312"/>
          <w:b w:val="0"/>
          <w:bCs w:val="0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_GB2312"/>
          <w:b w:val="0"/>
          <w:bCs w:val="0"/>
          <w:sz w:val="32"/>
          <w:szCs w:val="32"/>
        </w:rPr>
        <w:t>年度预算资金安排</w:t>
      </w:r>
      <w:r>
        <w:rPr>
          <w:rFonts w:hint="eastAsia" w:ascii="仿宋" w:hAnsi="仿宋" w:eastAsia="仿宋" w:cs="仿宋_GB2312"/>
          <w:b w:val="0"/>
          <w:bCs w:val="0"/>
          <w:sz w:val="32"/>
          <w:szCs w:val="32"/>
          <w:lang w:val="en-US" w:eastAsia="zh-CN"/>
        </w:rPr>
        <w:t>1670.8</w:t>
      </w:r>
      <w:r>
        <w:rPr>
          <w:rFonts w:hint="eastAsia" w:ascii="仿宋" w:hAnsi="仿宋" w:eastAsia="仿宋" w:cs="仿宋_GB2312"/>
          <w:b w:val="0"/>
          <w:bCs w:val="0"/>
          <w:sz w:val="32"/>
          <w:szCs w:val="32"/>
        </w:rPr>
        <w:t>万元，到位</w:t>
      </w:r>
      <w:r>
        <w:rPr>
          <w:rFonts w:hint="eastAsia" w:ascii="仿宋" w:hAnsi="仿宋" w:eastAsia="仿宋" w:cs="仿宋_GB2312"/>
          <w:b w:val="0"/>
          <w:bCs w:val="0"/>
          <w:sz w:val="32"/>
          <w:szCs w:val="32"/>
          <w:lang w:val="en-US" w:eastAsia="zh-CN"/>
        </w:rPr>
        <w:t>1670.8</w:t>
      </w:r>
      <w:r>
        <w:rPr>
          <w:rFonts w:hint="eastAsia" w:ascii="仿宋" w:hAnsi="仿宋" w:eastAsia="仿宋" w:cs="仿宋_GB2312"/>
          <w:b w:val="0"/>
          <w:bCs w:val="0"/>
          <w:sz w:val="32"/>
          <w:szCs w:val="32"/>
        </w:rPr>
        <w:t>万元，执行</w:t>
      </w:r>
      <w:r>
        <w:rPr>
          <w:rFonts w:hint="eastAsia" w:ascii="仿宋" w:hAnsi="仿宋" w:eastAsia="仿宋" w:cs="仿宋_GB2312"/>
          <w:b w:val="0"/>
          <w:bCs w:val="0"/>
          <w:sz w:val="32"/>
          <w:szCs w:val="32"/>
          <w:lang w:val="en-US" w:eastAsia="zh-CN"/>
        </w:rPr>
        <w:t>1670.8</w:t>
      </w:r>
      <w:r>
        <w:rPr>
          <w:rFonts w:hint="eastAsia" w:ascii="仿宋" w:hAnsi="仿宋" w:eastAsia="仿宋" w:cs="仿宋_GB2312"/>
          <w:b w:val="0"/>
          <w:bCs w:val="0"/>
          <w:sz w:val="32"/>
          <w:szCs w:val="32"/>
        </w:rPr>
        <w:t>万元，预算执行率100%。</w:t>
      </w:r>
    </w:p>
    <w:p w14:paraId="1AFFCC22">
      <w:pPr>
        <w:pStyle w:val="10"/>
        <w:numPr>
          <w:ilvl w:val="0"/>
          <w:numId w:val="0"/>
        </w:numPr>
        <w:ind w:firstLine="640" w:firstLineChars="200"/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2.产出指标和效果指标完成情况</w:t>
      </w:r>
    </w:p>
    <w:p w14:paraId="16B3F676">
      <w:pPr>
        <w:spacing w:line="600" w:lineRule="exact"/>
        <w:ind w:firstLine="600" w:firstLineChars="200"/>
        <w:textAlignment w:val="baseline"/>
        <w:rPr>
          <w:rFonts w:ascii="仿宋" w:hAnsi="仿宋" w:eastAsia="仿宋"/>
          <w:b w:val="0"/>
          <w:bCs w:val="0"/>
          <w:sz w:val="30"/>
          <w:szCs w:val="30"/>
        </w:rPr>
      </w:pPr>
      <w:r>
        <w:rPr>
          <w:rStyle w:val="11"/>
          <w:rFonts w:hint="eastAsia" w:ascii="仿宋" w:hAnsi="仿宋" w:eastAsia="仿宋"/>
          <w:b w:val="0"/>
          <w:bCs w:val="0"/>
          <w:sz w:val="30"/>
          <w:szCs w:val="30"/>
        </w:rPr>
        <w:t>202</w:t>
      </w:r>
      <w:r>
        <w:rPr>
          <w:rStyle w:val="11"/>
          <w:rFonts w:hint="eastAsia" w:ascii="仿宋" w:hAnsi="仿宋" w:eastAsia="仿宋"/>
          <w:b w:val="0"/>
          <w:bCs w:val="0"/>
          <w:sz w:val="30"/>
          <w:szCs w:val="30"/>
          <w:lang w:val="en-US" w:eastAsia="zh-CN"/>
        </w:rPr>
        <w:t>4</w:t>
      </w:r>
      <w:r>
        <w:rPr>
          <w:rStyle w:val="11"/>
          <w:rFonts w:hint="eastAsia" w:ascii="仿宋" w:hAnsi="仿宋" w:eastAsia="仿宋"/>
          <w:b w:val="0"/>
          <w:bCs w:val="0"/>
          <w:sz w:val="30"/>
          <w:szCs w:val="30"/>
        </w:rPr>
        <w:t>年度我区城乡居民养老保险，每人每月最低领取基本养老金148元，比省规定基础养老金高10元，领取养老金待遇水平在全市比较靠前</w:t>
      </w:r>
      <w:r>
        <w:rPr>
          <w:rFonts w:hint="eastAsia" w:ascii="仿宋" w:hAnsi="仿宋" w:eastAsia="仿宋" w:cs="仿宋_GB2312"/>
          <w:b w:val="0"/>
          <w:bCs w:val="0"/>
          <w:sz w:val="30"/>
          <w:szCs w:val="30"/>
        </w:rPr>
        <w:t>。</w:t>
      </w:r>
      <w:r>
        <w:rPr>
          <w:rFonts w:hint="eastAsia" w:ascii="仿宋" w:hAnsi="仿宋" w:eastAsia="仿宋" w:cs="仿宋_GB2312"/>
          <w:b w:val="0"/>
          <w:bCs w:val="0"/>
          <w:sz w:val="32"/>
          <w:szCs w:val="32"/>
        </w:rPr>
        <w:t>预算目标总体完成率达100%。</w:t>
      </w:r>
    </w:p>
    <w:p w14:paraId="02CC946A">
      <w:pPr>
        <w:pStyle w:val="10"/>
        <w:numPr>
          <w:ilvl w:val="0"/>
          <w:numId w:val="0"/>
        </w:numPr>
        <w:ind w:firstLine="640" w:firstLineChars="200"/>
        <w:rPr>
          <w:rFonts w:hint="eastAsia" w:ascii="仿宋" w:hAnsi="仿宋" w:eastAsia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绩效指标为4个，评价等级为优</w:t>
      </w:r>
      <w:r>
        <w:rPr>
          <w:rFonts w:hint="eastAsia" w:ascii="仿宋" w:hAnsi="仿宋" w:eastAsia="仿宋"/>
          <w:b/>
          <w:bCs/>
          <w:sz w:val="32"/>
          <w:szCs w:val="32"/>
          <w:lang w:val="en-US" w:eastAsia="zh-CN"/>
        </w:rPr>
        <w:t>。</w:t>
      </w:r>
    </w:p>
    <w:p w14:paraId="4927AD20">
      <w:pPr>
        <w:pStyle w:val="10"/>
        <w:numPr>
          <w:ilvl w:val="0"/>
          <w:numId w:val="2"/>
        </w:numPr>
        <w:ind w:left="480" w:leftChars="0" w:firstLine="0" w:firstLineChars="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工资系统网络服务费</w:t>
      </w:r>
    </w:p>
    <w:p w14:paraId="5D4DF6E7">
      <w:pPr>
        <w:pStyle w:val="10"/>
        <w:numPr>
          <w:ilvl w:val="0"/>
          <w:numId w:val="0"/>
        </w:numPr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1.资金支出进度</w:t>
      </w:r>
    </w:p>
    <w:p w14:paraId="6DC24E39">
      <w:pPr>
        <w:widowControl w:val="0"/>
        <w:wordWrap/>
        <w:adjustRightInd w:val="0"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仿宋" w:hAnsi="仿宋" w:eastAsia="仿宋"/>
          <w:color w:val="auto"/>
          <w:sz w:val="32"/>
          <w:szCs w:val="32"/>
        </w:rPr>
      </w:pPr>
      <w:r>
        <w:rPr>
          <w:rFonts w:hint="eastAsia" w:ascii="仿宋" w:hAnsi="仿宋" w:eastAsia="仿宋"/>
          <w:color w:val="auto"/>
          <w:sz w:val="32"/>
          <w:szCs w:val="32"/>
        </w:rPr>
        <w:t>202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color w:val="auto"/>
          <w:sz w:val="32"/>
          <w:szCs w:val="32"/>
        </w:rPr>
        <w:t>年度区级预算资金安排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3.5</w:t>
      </w:r>
      <w:r>
        <w:rPr>
          <w:rFonts w:hint="eastAsia" w:ascii="仿宋" w:hAnsi="仿宋" w:eastAsia="仿宋"/>
          <w:color w:val="auto"/>
          <w:sz w:val="32"/>
          <w:szCs w:val="32"/>
        </w:rPr>
        <w:t>万元，到位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3.5</w:t>
      </w:r>
      <w:r>
        <w:rPr>
          <w:rFonts w:hint="eastAsia" w:ascii="仿宋" w:hAnsi="仿宋" w:eastAsia="仿宋"/>
          <w:color w:val="auto"/>
          <w:sz w:val="32"/>
          <w:szCs w:val="32"/>
        </w:rPr>
        <w:t>万元，执行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3.5</w:t>
      </w:r>
      <w:r>
        <w:rPr>
          <w:rFonts w:hint="eastAsia" w:ascii="仿宋" w:hAnsi="仿宋" w:eastAsia="仿宋"/>
          <w:color w:val="auto"/>
          <w:sz w:val="32"/>
          <w:szCs w:val="32"/>
        </w:rPr>
        <w:t>万元，预算执行率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100%</w:t>
      </w:r>
      <w:r>
        <w:rPr>
          <w:rFonts w:hint="eastAsia" w:ascii="仿宋" w:hAnsi="仿宋" w:eastAsia="仿宋"/>
          <w:color w:val="auto"/>
          <w:sz w:val="32"/>
          <w:szCs w:val="32"/>
        </w:rPr>
        <w:t>。</w:t>
      </w:r>
    </w:p>
    <w:p w14:paraId="37FABF94">
      <w:pPr>
        <w:pStyle w:val="10"/>
        <w:numPr>
          <w:ilvl w:val="0"/>
          <w:numId w:val="0"/>
        </w:numPr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2.产出指标和效果指标完成情况</w:t>
      </w:r>
    </w:p>
    <w:p w14:paraId="3E4DB21D">
      <w:pPr>
        <w:pStyle w:val="10"/>
        <w:numPr>
          <w:ilvl w:val="0"/>
          <w:numId w:val="0"/>
        </w:numPr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工资系统网络运行正常</w:t>
      </w:r>
    </w:p>
    <w:p w14:paraId="146123AE">
      <w:pPr>
        <w:pStyle w:val="10"/>
        <w:numPr>
          <w:ilvl w:val="0"/>
          <w:numId w:val="0"/>
        </w:numPr>
        <w:ind w:firstLine="640" w:firstLineChars="200"/>
        <w:rPr>
          <w:rFonts w:hint="eastAsia" w:ascii="仿宋" w:hAnsi="仿宋" w:eastAsia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绩效指标为4个，评价等级为优</w:t>
      </w:r>
    </w:p>
    <w:p w14:paraId="1AE4FEFA">
      <w:pPr>
        <w:pStyle w:val="10"/>
        <w:numPr>
          <w:ilvl w:val="0"/>
          <w:numId w:val="2"/>
        </w:numPr>
        <w:ind w:left="480" w:leftChars="0" w:firstLine="0" w:firstLineChars="0"/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cs="仿宋_GB2312"/>
          <w:b w:val="0"/>
          <w:bCs w:val="0"/>
          <w:sz w:val="32"/>
          <w:szCs w:val="32"/>
          <w:lang w:eastAsia="zh-CN"/>
        </w:rPr>
        <w:t>机关事业养老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保险</w:t>
      </w:r>
      <w:r>
        <w:rPr>
          <w:rFonts w:hint="eastAsia" w:ascii="仿宋_GB2312" w:hAnsi="仿宋_GB2312" w:cs="仿宋_GB2312"/>
          <w:b w:val="0"/>
          <w:bCs w:val="0"/>
          <w:sz w:val="32"/>
          <w:szCs w:val="32"/>
          <w:lang w:eastAsia="zh-CN"/>
        </w:rPr>
        <w:t>区级补助</w:t>
      </w:r>
    </w:p>
    <w:p w14:paraId="417538FE">
      <w:pPr>
        <w:pStyle w:val="10"/>
        <w:numPr>
          <w:ilvl w:val="0"/>
          <w:numId w:val="0"/>
        </w:numPr>
        <w:ind w:firstLine="640" w:firstLineChars="200"/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1.资金支出进度</w:t>
      </w:r>
    </w:p>
    <w:p w14:paraId="6AE17C03">
      <w:pPr>
        <w:spacing w:line="560" w:lineRule="exact"/>
        <w:ind w:firstLine="640" w:firstLineChars="200"/>
        <w:rPr>
          <w:rFonts w:ascii="仿宋" w:hAnsi="仿宋" w:eastAsia="仿宋" w:cs="仿宋_GB2312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_GB2312"/>
          <w:b w:val="0"/>
          <w:bCs w:val="0"/>
          <w:sz w:val="32"/>
          <w:szCs w:val="32"/>
        </w:rPr>
        <w:t>202</w:t>
      </w:r>
      <w:r>
        <w:rPr>
          <w:rFonts w:hint="eastAsia" w:ascii="仿宋" w:hAnsi="仿宋" w:eastAsia="仿宋" w:cs="仿宋_GB2312"/>
          <w:b w:val="0"/>
          <w:bCs w:val="0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_GB2312"/>
          <w:b w:val="0"/>
          <w:bCs w:val="0"/>
          <w:sz w:val="32"/>
          <w:szCs w:val="32"/>
        </w:rPr>
        <w:t>年度区级预算资金安排4</w:t>
      </w:r>
      <w:r>
        <w:rPr>
          <w:rFonts w:hint="eastAsia" w:ascii="仿宋" w:hAnsi="仿宋" w:eastAsia="仿宋" w:cs="仿宋_GB2312"/>
          <w:b w:val="0"/>
          <w:bCs w:val="0"/>
          <w:sz w:val="32"/>
          <w:szCs w:val="32"/>
          <w:lang w:val="en-US" w:eastAsia="zh-CN"/>
        </w:rPr>
        <w:t>564</w:t>
      </w:r>
      <w:r>
        <w:rPr>
          <w:rFonts w:hint="eastAsia" w:ascii="仿宋" w:hAnsi="仿宋" w:eastAsia="仿宋" w:cs="仿宋_GB2312"/>
          <w:b w:val="0"/>
          <w:bCs w:val="0"/>
          <w:sz w:val="32"/>
          <w:szCs w:val="32"/>
        </w:rPr>
        <w:t>万元，到位4</w:t>
      </w:r>
      <w:r>
        <w:rPr>
          <w:rFonts w:hint="eastAsia" w:ascii="仿宋" w:hAnsi="仿宋" w:eastAsia="仿宋" w:cs="仿宋_GB2312"/>
          <w:b w:val="0"/>
          <w:bCs w:val="0"/>
          <w:sz w:val="32"/>
          <w:szCs w:val="32"/>
          <w:lang w:val="en-US" w:eastAsia="zh-CN"/>
        </w:rPr>
        <w:t>564</w:t>
      </w:r>
      <w:r>
        <w:rPr>
          <w:rFonts w:hint="eastAsia" w:ascii="仿宋" w:hAnsi="仿宋" w:eastAsia="仿宋" w:cs="仿宋_GB2312"/>
          <w:b w:val="0"/>
          <w:bCs w:val="0"/>
          <w:sz w:val="32"/>
          <w:szCs w:val="32"/>
        </w:rPr>
        <w:t>万元，执行4</w:t>
      </w:r>
      <w:r>
        <w:rPr>
          <w:rFonts w:hint="eastAsia" w:ascii="仿宋" w:hAnsi="仿宋" w:eastAsia="仿宋" w:cs="仿宋_GB2312"/>
          <w:b w:val="0"/>
          <w:bCs w:val="0"/>
          <w:sz w:val="32"/>
          <w:szCs w:val="32"/>
          <w:lang w:val="en-US" w:eastAsia="zh-CN"/>
        </w:rPr>
        <w:t>564</w:t>
      </w:r>
      <w:r>
        <w:rPr>
          <w:rFonts w:hint="eastAsia" w:ascii="仿宋" w:hAnsi="仿宋" w:eastAsia="仿宋" w:cs="仿宋_GB2312"/>
          <w:b w:val="0"/>
          <w:bCs w:val="0"/>
          <w:sz w:val="32"/>
          <w:szCs w:val="32"/>
        </w:rPr>
        <w:t>万元，预算执行率100%。</w:t>
      </w:r>
    </w:p>
    <w:p w14:paraId="10498870">
      <w:pPr>
        <w:pStyle w:val="10"/>
        <w:numPr>
          <w:ilvl w:val="0"/>
          <w:numId w:val="0"/>
        </w:numPr>
        <w:ind w:firstLine="640" w:firstLineChars="200"/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2.产出指标和效果指标完成情况</w:t>
      </w:r>
    </w:p>
    <w:p w14:paraId="44110243">
      <w:pPr>
        <w:spacing w:line="600" w:lineRule="exact"/>
        <w:ind w:firstLine="600" w:firstLineChars="200"/>
        <w:textAlignment w:val="baseline"/>
        <w:rPr>
          <w:rFonts w:ascii="仿宋" w:hAnsi="仿宋" w:eastAsia="仿宋" w:cs="仿宋_GB2312"/>
          <w:b w:val="0"/>
          <w:bCs w:val="0"/>
          <w:sz w:val="32"/>
          <w:szCs w:val="32"/>
        </w:rPr>
      </w:pPr>
      <w:r>
        <w:rPr>
          <w:rStyle w:val="11"/>
          <w:rFonts w:hint="eastAsia" w:ascii="仿宋" w:hAnsi="仿宋" w:eastAsia="仿宋"/>
          <w:b w:val="0"/>
          <w:bCs w:val="0"/>
          <w:sz w:val="30"/>
          <w:szCs w:val="30"/>
        </w:rPr>
        <w:t>202</w:t>
      </w:r>
      <w:r>
        <w:rPr>
          <w:rStyle w:val="11"/>
          <w:rFonts w:hint="eastAsia" w:ascii="仿宋" w:hAnsi="仿宋" w:eastAsia="仿宋"/>
          <w:b w:val="0"/>
          <w:bCs w:val="0"/>
          <w:sz w:val="30"/>
          <w:szCs w:val="30"/>
          <w:lang w:val="en-US" w:eastAsia="zh-CN"/>
        </w:rPr>
        <w:t>4</w:t>
      </w:r>
      <w:r>
        <w:rPr>
          <w:rStyle w:val="11"/>
          <w:rFonts w:hint="eastAsia" w:ascii="仿宋" w:hAnsi="仿宋" w:eastAsia="仿宋"/>
          <w:b w:val="0"/>
          <w:bCs w:val="0"/>
          <w:sz w:val="30"/>
          <w:szCs w:val="30"/>
        </w:rPr>
        <w:t>年度我区机关事业养老保险，每月月均1690人按时、按标准发放养老金。</w:t>
      </w:r>
      <w:r>
        <w:rPr>
          <w:rFonts w:hint="eastAsia" w:ascii="仿宋" w:hAnsi="仿宋" w:eastAsia="仿宋" w:cs="仿宋_GB2312"/>
          <w:b w:val="0"/>
          <w:bCs w:val="0"/>
          <w:sz w:val="32"/>
          <w:szCs w:val="32"/>
        </w:rPr>
        <w:t>预算目标总体完成率达100%。</w:t>
      </w:r>
    </w:p>
    <w:p w14:paraId="4CCA615A">
      <w:pPr>
        <w:pStyle w:val="10"/>
        <w:numPr>
          <w:ilvl w:val="0"/>
          <w:numId w:val="0"/>
        </w:numPr>
        <w:ind w:firstLine="640" w:firstLineChars="200"/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绩效指标为4个，评价等级为优。</w:t>
      </w:r>
    </w:p>
    <w:p w14:paraId="71B3B130">
      <w:pPr>
        <w:pStyle w:val="10"/>
        <w:numPr>
          <w:ilvl w:val="0"/>
          <w:numId w:val="2"/>
        </w:numPr>
        <w:ind w:left="480" w:leftChars="0" w:firstLine="0" w:firstLineChars="0"/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cs="仿宋_GB2312"/>
          <w:b w:val="0"/>
          <w:bCs w:val="0"/>
          <w:sz w:val="32"/>
          <w:szCs w:val="32"/>
          <w:lang w:eastAsia="zh-CN"/>
        </w:rPr>
        <w:t>劳务派遣经费（社保中心）</w:t>
      </w:r>
    </w:p>
    <w:p w14:paraId="08105503">
      <w:pPr>
        <w:pStyle w:val="10"/>
        <w:numPr>
          <w:ilvl w:val="0"/>
          <w:numId w:val="0"/>
        </w:numPr>
        <w:ind w:firstLine="643" w:firstLineChars="200"/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/>
          <w:bCs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.资金支出进度</w:t>
      </w:r>
    </w:p>
    <w:p w14:paraId="15814204">
      <w:pPr>
        <w:spacing w:line="560" w:lineRule="exact"/>
        <w:ind w:firstLine="640" w:firstLineChars="200"/>
        <w:rPr>
          <w:rFonts w:ascii="仿宋" w:hAnsi="仿宋" w:eastAsia="仿宋" w:cs="仿宋_GB2312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_GB2312"/>
          <w:b w:val="0"/>
          <w:bCs w:val="0"/>
          <w:sz w:val="32"/>
          <w:szCs w:val="32"/>
        </w:rPr>
        <w:t>202</w:t>
      </w:r>
      <w:r>
        <w:rPr>
          <w:rFonts w:hint="eastAsia" w:ascii="仿宋" w:hAnsi="仿宋" w:eastAsia="仿宋" w:cs="仿宋_GB2312"/>
          <w:b w:val="0"/>
          <w:bCs w:val="0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_GB2312"/>
          <w:b w:val="0"/>
          <w:bCs w:val="0"/>
          <w:sz w:val="32"/>
          <w:szCs w:val="32"/>
        </w:rPr>
        <w:t>年度</w:t>
      </w:r>
      <w:r>
        <w:rPr>
          <w:rFonts w:hint="eastAsia" w:ascii="仿宋" w:hAnsi="仿宋" w:eastAsia="仿宋" w:cs="方正小标宋简体"/>
          <w:b w:val="0"/>
          <w:bCs w:val="0"/>
          <w:sz w:val="32"/>
          <w:szCs w:val="32"/>
        </w:rPr>
        <w:t>区级劳务派遣经费</w:t>
      </w:r>
      <w:r>
        <w:rPr>
          <w:rFonts w:hint="eastAsia" w:ascii="仿宋" w:hAnsi="仿宋" w:eastAsia="仿宋" w:cs="方正小标宋简体"/>
          <w:b w:val="0"/>
          <w:bCs w:val="0"/>
          <w:sz w:val="32"/>
          <w:szCs w:val="32"/>
          <w:lang w:val="en-US" w:eastAsia="zh-CN"/>
        </w:rPr>
        <w:t>28.96</w:t>
      </w:r>
      <w:r>
        <w:rPr>
          <w:rFonts w:hint="eastAsia" w:ascii="仿宋" w:hAnsi="仿宋" w:eastAsia="仿宋" w:cs="方正小标宋简体"/>
          <w:b w:val="0"/>
          <w:bCs w:val="0"/>
          <w:sz w:val="32"/>
          <w:szCs w:val="32"/>
        </w:rPr>
        <w:t>万元。</w:t>
      </w:r>
      <w:r>
        <w:rPr>
          <w:rFonts w:hint="eastAsia" w:ascii="仿宋" w:hAnsi="仿宋" w:eastAsia="仿宋" w:cs="仿宋_GB2312"/>
          <w:b w:val="0"/>
          <w:bCs w:val="0"/>
          <w:sz w:val="32"/>
          <w:szCs w:val="32"/>
        </w:rPr>
        <w:t>到位</w:t>
      </w:r>
      <w:r>
        <w:rPr>
          <w:rFonts w:hint="eastAsia" w:ascii="仿宋" w:hAnsi="仿宋" w:eastAsia="仿宋" w:cs="仿宋_GB2312"/>
          <w:b w:val="0"/>
          <w:bCs w:val="0"/>
          <w:sz w:val="32"/>
          <w:szCs w:val="32"/>
          <w:lang w:val="en-US" w:eastAsia="zh-CN"/>
        </w:rPr>
        <w:t>28.96</w:t>
      </w:r>
      <w:r>
        <w:rPr>
          <w:rFonts w:hint="eastAsia" w:ascii="仿宋" w:hAnsi="仿宋" w:eastAsia="仿宋" w:cs="仿宋_GB2312"/>
          <w:b w:val="0"/>
          <w:bCs w:val="0"/>
          <w:sz w:val="32"/>
          <w:szCs w:val="32"/>
        </w:rPr>
        <w:t>万元，预算执行率100%。</w:t>
      </w:r>
    </w:p>
    <w:p w14:paraId="3BE15E0A">
      <w:pPr>
        <w:pStyle w:val="10"/>
        <w:numPr>
          <w:ilvl w:val="0"/>
          <w:numId w:val="0"/>
        </w:numPr>
        <w:ind w:firstLine="640" w:firstLineChars="200"/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2.产出指标和效果指标完成情况</w:t>
      </w:r>
    </w:p>
    <w:p w14:paraId="2E1DE106">
      <w:pPr>
        <w:pStyle w:val="10"/>
        <w:numPr>
          <w:ilvl w:val="0"/>
          <w:numId w:val="0"/>
        </w:numPr>
        <w:ind w:firstLine="640" w:firstLineChars="200"/>
        <w:rPr>
          <w:rFonts w:hint="eastAsia" w:ascii="仿宋" w:hAnsi="仿宋" w:eastAsia="仿宋" w:cs="方正小标宋简体"/>
          <w:b w:val="0"/>
          <w:bCs w:val="0"/>
          <w:sz w:val="32"/>
          <w:szCs w:val="32"/>
        </w:rPr>
      </w:pPr>
      <w:r>
        <w:rPr>
          <w:rFonts w:hint="eastAsia" w:ascii="仿宋" w:hAnsi="仿宋" w:eastAsia="仿宋" w:cs="方正小标宋简体"/>
          <w:b w:val="0"/>
          <w:bCs w:val="0"/>
          <w:sz w:val="32"/>
          <w:szCs w:val="32"/>
        </w:rPr>
        <w:t>项目主要实施内容和范围用于人社局</w:t>
      </w:r>
      <w:r>
        <w:rPr>
          <w:rFonts w:hint="eastAsia" w:ascii="仿宋" w:hAnsi="仿宋" w:eastAsia="仿宋" w:cs="方正小标宋简体"/>
          <w:b w:val="0"/>
          <w:bCs w:val="0"/>
          <w:sz w:val="32"/>
          <w:szCs w:val="32"/>
          <w:lang w:eastAsia="zh-CN"/>
        </w:rPr>
        <w:t>社保中心</w:t>
      </w:r>
      <w:r>
        <w:rPr>
          <w:rFonts w:hint="eastAsia" w:ascii="仿宋" w:hAnsi="仿宋" w:eastAsia="仿宋" w:cs="方正小标宋简体"/>
          <w:b w:val="0"/>
          <w:bCs w:val="0"/>
          <w:sz w:val="32"/>
          <w:szCs w:val="32"/>
        </w:rPr>
        <w:t>劳务派遣人员经费，以保障社保业务正常开展。</w:t>
      </w:r>
    </w:p>
    <w:p w14:paraId="2059B1D7">
      <w:pPr>
        <w:pStyle w:val="10"/>
        <w:numPr>
          <w:ilvl w:val="0"/>
          <w:numId w:val="0"/>
        </w:numPr>
        <w:ind w:firstLine="640" w:firstLineChars="200"/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绩效指标为4个，评价等级为优。</w:t>
      </w:r>
    </w:p>
    <w:p w14:paraId="386228D4">
      <w:pPr>
        <w:pStyle w:val="10"/>
        <w:numPr>
          <w:ilvl w:val="0"/>
          <w:numId w:val="2"/>
        </w:numPr>
        <w:ind w:left="480" w:leftChars="0" w:firstLine="0" w:firstLineChars="0"/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cs="仿宋_GB2312"/>
          <w:b w:val="0"/>
          <w:bCs w:val="0"/>
          <w:sz w:val="32"/>
          <w:szCs w:val="32"/>
          <w:lang w:eastAsia="zh-CN"/>
        </w:rPr>
        <w:t>劳务派遣经费（就业中心）</w:t>
      </w:r>
    </w:p>
    <w:p w14:paraId="2E77E4F7">
      <w:pPr>
        <w:pStyle w:val="10"/>
        <w:numPr>
          <w:ilvl w:val="0"/>
          <w:numId w:val="0"/>
        </w:numPr>
        <w:ind w:firstLine="640" w:firstLineChars="200"/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1.资金支出进度</w:t>
      </w:r>
    </w:p>
    <w:p w14:paraId="53B58E7B">
      <w:pPr>
        <w:spacing w:line="560" w:lineRule="exact"/>
        <w:ind w:firstLine="640" w:firstLineChars="200"/>
        <w:rPr>
          <w:rFonts w:ascii="仿宋" w:hAnsi="仿宋" w:eastAsia="仿宋" w:cs="仿宋_GB2312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_GB2312"/>
          <w:b w:val="0"/>
          <w:bCs w:val="0"/>
          <w:sz w:val="32"/>
          <w:szCs w:val="32"/>
        </w:rPr>
        <w:t>202</w:t>
      </w:r>
      <w:r>
        <w:rPr>
          <w:rFonts w:hint="eastAsia" w:ascii="仿宋" w:hAnsi="仿宋" w:eastAsia="仿宋" w:cs="仿宋_GB2312"/>
          <w:b w:val="0"/>
          <w:bCs w:val="0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_GB2312"/>
          <w:b w:val="0"/>
          <w:bCs w:val="0"/>
          <w:sz w:val="32"/>
          <w:szCs w:val="32"/>
        </w:rPr>
        <w:t>年度</w:t>
      </w:r>
      <w:r>
        <w:rPr>
          <w:rFonts w:hint="eastAsia" w:ascii="仿宋" w:hAnsi="仿宋" w:eastAsia="仿宋" w:cs="方正小标宋简体"/>
          <w:b w:val="0"/>
          <w:bCs w:val="0"/>
          <w:sz w:val="32"/>
          <w:szCs w:val="32"/>
        </w:rPr>
        <w:t>区级劳务派遣经费</w:t>
      </w:r>
      <w:r>
        <w:rPr>
          <w:rFonts w:hint="eastAsia" w:ascii="仿宋" w:hAnsi="仿宋" w:eastAsia="仿宋" w:cs="方正小标宋简体"/>
          <w:b w:val="0"/>
          <w:bCs w:val="0"/>
          <w:sz w:val="32"/>
          <w:szCs w:val="32"/>
          <w:lang w:val="en-US" w:eastAsia="zh-CN"/>
        </w:rPr>
        <w:t>28.1</w:t>
      </w:r>
      <w:r>
        <w:rPr>
          <w:rFonts w:hint="eastAsia" w:ascii="仿宋" w:hAnsi="仿宋" w:eastAsia="仿宋" w:cs="方正小标宋简体"/>
          <w:b w:val="0"/>
          <w:bCs w:val="0"/>
          <w:sz w:val="32"/>
          <w:szCs w:val="32"/>
        </w:rPr>
        <w:t>万元。</w:t>
      </w:r>
      <w:r>
        <w:rPr>
          <w:rFonts w:hint="eastAsia" w:ascii="仿宋" w:hAnsi="仿宋" w:eastAsia="仿宋" w:cs="仿宋_GB2312"/>
          <w:b w:val="0"/>
          <w:bCs w:val="0"/>
          <w:sz w:val="32"/>
          <w:szCs w:val="32"/>
        </w:rPr>
        <w:t>到位</w:t>
      </w:r>
      <w:r>
        <w:rPr>
          <w:rFonts w:hint="eastAsia" w:ascii="仿宋" w:hAnsi="仿宋" w:eastAsia="仿宋" w:cs="仿宋_GB2312"/>
          <w:b w:val="0"/>
          <w:bCs w:val="0"/>
          <w:sz w:val="32"/>
          <w:szCs w:val="32"/>
          <w:lang w:val="en-US" w:eastAsia="zh-CN"/>
        </w:rPr>
        <w:t>28.1</w:t>
      </w:r>
      <w:r>
        <w:rPr>
          <w:rFonts w:hint="eastAsia" w:ascii="仿宋" w:hAnsi="仿宋" w:eastAsia="仿宋" w:cs="仿宋_GB2312"/>
          <w:b w:val="0"/>
          <w:bCs w:val="0"/>
          <w:sz w:val="32"/>
          <w:szCs w:val="32"/>
        </w:rPr>
        <w:t>万元，预算执行率100%。</w:t>
      </w:r>
    </w:p>
    <w:p w14:paraId="09CF8BD7">
      <w:pPr>
        <w:pStyle w:val="10"/>
        <w:numPr>
          <w:ilvl w:val="0"/>
          <w:numId w:val="0"/>
        </w:numPr>
        <w:ind w:firstLine="640" w:firstLineChars="200"/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2.产出指标和效果指标完成情况</w:t>
      </w:r>
    </w:p>
    <w:p w14:paraId="79ACFE2D">
      <w:pPr>
        <w:pStyle w:val="10"/>
        <w:numPr>
          <w:ilvl w:val="0"/>
          <w:numId w:val="0"/>
        </w:numPr>
        <w:ind w:firstLine="640" w:firstLineChars="200"/>
        <w:rPr>
          <w:rFonts w:hint="eastAsia" w:ascii="仿宋" w:hAnsi="仿宋" w:eastAsia="仿宋" w:cs="方正小标宋简体"/>
          <w:b w:val="0"/>
          <w:bCs w:val="0"/>
          <w:sz w:val="32"/>
          <w:szCs w:val="32"/>
        </w:rPr>
      </w:pPr>
      <w:r>
        <w:rPr>
          <w:rFonts w:hint="eastAsia" w:ascii="仿宋" w:hAnsi="仿宋" w:eastAsia="仿宋" w:cs="方正小标宋简体"/>
          <w:b w:val="0"/>
          <w:bCs w:val="0"/>
          <w:sz w:val="32"/>
          <w:szCs w:val="32"/>
        </w:rPr>
        <w:t>项目主要实施内容和范围用于人社局</w:t>
      </w:r>
      <w:r>
        <w:rPr>
          <w:rFonts w:hint="eastAsia" w:ascii="仿宋" w:hAnsi="仿宋" w:eastAsia="仿宋" w:cs="方正小标宋简体"/>
          <w:b w:val="0"/>
          <w:bCs w:val="0"/>
          <w:sz w:val="32"/>
          <w:szCs w:val="32"/>
          <w:lang w:eastAsia="zh-CN"/>
        </w:rPr>
        <w:t>就业中心</w:t>
      </w:r>
      <w:r>
        <w:rPr>
          <w:rFonts w:hint="eastAsia" w:ascii="仿宋" w:hAnsi="仿宋" w:eastAsia="仿宋" w:cs="方正小标宋简体"/>
          <w:b w:val="0"/>
          <w:bCs w:val="0"/>
          <w:sz w:val="32"/>
          <w:szCs w:val="32"/>
        </w:rPr>
        <w:t>劳务派遣人员经费，以保障社保业务正常开展。</w:t>
      </w:r>
    </w:p>
    <w:p w14:paraId="31CE3499">
      <w:pPr>
        <w:pStyle w:val="10"/>
        <w:numPr>
          <w:ilvl w:val="0"/>
          <w:numId w:val="0"/>
        </w:numPr>
        <w:ind w:firstLine="640" w:firstLineChars="200"/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绩效指标为4个，评价等级为优。</w:t>
      </w:r>
    </w:p>
    <w:p w14:paraId="68A00791">
      <w:pPr>
        <w:pStyle w:val="10"/>
        <w:numPr>
          <w:ilvl w:val="0"/>
          <w:numId w:val="2"/>
        </w:numPr>
        <w:ind w:left="480" w:leftChars="0" w:firstLine="0" w:firstLineChars="0"/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</w:rPr>
        <w:t>普惠金融发展专项资金</w:t>
      </w:r>
      <w:r>
        <w:rPr>
          <w:rFonts w:hint="eastAsia" w:ascii="仿宋_GB2312" w:hAnsi="仿宋_GB2312" w:cs="仿宋_GB2312"/>
          <w:b w:val="0"/>
          <w:bCs w:val="0"/>
          <w:sz w:val="32"/>
          <w:szCs w:val="32"/>
          <w:lang w:eastAsia="zh-CN"/>
        </w:rPr>
        <w:t>（就业中心）</w:t>
      </w:r>
    </w:p>
    <w:p w14:paraId="2866DDF4">
      <w:pPr>
        <w:pStyle w:val="10"/>
        <w:numPr>
          <w:ilvl w:val="0"/>
          <w:numId w:val="0"/>
        </w:numPr>
        <w:ind w:firstLine="640" w:firstLineChars="200"/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1.资金支出进度</w:t>
      </w:r>
    </w:p>
    <w:p w14:paraId="09BB3BFF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b w:val="0"/>
          <w:bCs w:val="0"/>
          <w:sz w:val="32"/>
          <w:szCs w:val="32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</w:rPr>
        <w:t>202</w:t>
      </w: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b w:val="0"/>
          <w:bCs w:val="0"/>
          <w:sz w:val="32"/>
          <w:szCs w:val="32"/>
        </w:rPr>
        <w:t>年度</w:t>
      </w:r>
      <w:r>
        <w:rPr>
          <w:rFonts w:hint="eastAsia" w:ascii="仿宋" w:hAnsi="仿宋"/>
          <w:b w:val="0"/>
          <w:bCs w:val="0"/>
          <w:sz w:val="32"/>
          <w:szCs w:val="32"/>
          <w:lang w:eastAsia="zh-CN"/>
        </w:rPr>
        <w:t>专项</w:t>
      </w:r>
      <w:r>
        <w:rPr>
          <w:rFonts w:hint="eastAsia" w:ascii="仿宋" w:hAnsi="仿宋" w:eastAsia="仿宋"/>
          <w:b w:val="0"/>
          <w:bCs w:val="0"/>
          <w:sz w:val="32"/>
          <w:szCs w:val="32"/>
        </w:rPr>
        <w:t>预算资金安排</w:t>
      </w:r>
      <w:r>
        <w:rPr>
          <w:rFonts w:hint="eastAsia" w:ascii="仿宋" w:hAnsi="仿宋"/>
          <w:b w:val="0"/>
          <w:bCs w:val="0"/>
          <w:sz w:val="32"/>
          <w:szCs w:val="32"/>
          <w:lang w:val="en-US" w:eastAsia="zh-CN"/>
        </w:rPr>
        <w:t>0.91</w:t>
      </w:r>
      <w:r>
        <w:rPr>
          <w:rFonts w:hint="eastAsia" w:ascii="仿宋" w:hAnsi="仿宋" w:eastAsia="仿宋"/>
          <w:b w:val="0"/>
          <w:bCs w:val="0"/>
          <w:sz w:val="32"/>
          <w:szCs w:val="32"/>
        </w:rPr>
        <w:t>万元，到位</w:t>
      </w: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0.91</w:t>
      </w:r>
      <w:r>
        <w:rPr>
          <w:rFonts w:hint="eastAsia" w:ascii="仿宋" w:hAnsi="仿宋" w:eastAsia="仿宋"/>
          <w:b w:val="0"/>
          <w:bCs w:val="0"/>
          <w:sz w:val="32"/>
          <w:szCs w:val="32"/>
        </w:rPr>
        <w:t>万元，执行</w:t>
      </w: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0.91</w:t>
      </w:r>
      <w:r>
        <w:rPr>
          <w:rFonts w:hint="eastAsia" w:ascii="仿宋" w:hAnsi="仿宋" w:eastAsia="仿宋"/>
          <w:b w:val="0"/>
          <w:bCs w:val="0"/>
          <w:sz w:val="32"/>
          <w:szCs w:val="32"/>
        </w:rPr>
        <w:t>万元，预算执行率</w:t>
      </w:r>
      <w:r>
        <w:rPr>
          <w:rFonts w:hint="eastAsia" w:ascii="仿宋" w:hAnsi="仿宋"/>
          <w:b w:val="0"/>
          <w:bCs w:val="0"/>
          <w:sz w:val="32"/>
          <w:szCs w:val="32"/>
          <w:lang w:val="en-US" w:eastAsia="zh-CN"/>
        </w:rPr>
        <w:t>100</w:t>
      </w:r>
      <w:r>
        <w:rPr>
          <w:rFonts w:hint="eastAsia" w:ascii="仿宋" w:hAnsi="仿宋" w:eastAsia="仿宋"/>
          <w:b w:val="0"/>
          <w:bCs w:val="0"/>
          <w:sz w:val="32"/>
          <w:szCs w:val="32"/>
        </w:rPr>
        <w:t>%。</w:t>
      </w:r>
    </w:p>
    <w:p w14:paraId="38EE2E9B">
      <w:pPr>
        <w:pStyle w:val="10"/>
        <w:numPr>
          <w:ilvl w:val="0"/>
          <w:numId w:val="0"/>
        </w:numPr>
        <w:ind w:firstLine="640" w:firstLineChars="200"/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2.产出指标和效果指标完成情况</w:t>
      </w:r>
    </w:p>
    <w:p w14:paraId="60213918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方正小标宋简体"/>
          <w:b w:val="0"/>
          <w:bCs w:val="0"/>
          <w:sz w:val="32"/>
          <w:szCs w:val="32"/>
        </w:rPr>
        <w:t>项目主要实施内容和范围</w:t>
      </w:r>
      <w:r>
        <w:rPr>
          <w:rFonts w:hint="eastAsia" w:ascii="仿宋" w:hAnsi="仿宋" w:eastAsia="仿宋"/>
          <w:b w:val="0"/>
          <w:bCs w:val="0"/>
          <w:sz w:val="32"/>
          <w:szCs w:val="32"/>
        </w:rPr>
        <w:t>用于支付202</w:t>
      </w: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b w:val="0"/>
          <w:bCs w:val="0"/>
          <w:sz w:val="32"/>
          <w:szCs w:val="32"/>
        </w:rPr>
        <w:t>年普惠金融发展专项资金。</w:t>
      </w:r>
    </w:p>
    <w:p w14:paraId="6827A663">
      <w:pPr>
        <w:pStyle w:val="10"/>
        <w:numPr>
          <w:ilvl w:val="0"/>
          <w:numId w:val="0"/>
        </w:numPr>
        <w:ind w:firstLine="640" w:firstLineChars="200"/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绩效指标为4个，评价等级为优。</w:t>
      </w:r>
    </w:p>
    <w:p w14:paraId="7CACE0C1">
      <w:pPr>
        <w:pStyle w:val="10"/>
        <w:numPr>
          <w:ilvl w:val="0"/>
          <w:numId w:val="2"/>
        </w:numPr>
        <w:ind w:left="480" w:leftChars="0" w:firstLine="0" w:firstLineChars="0"/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  <w:lang w:eastAsia="zh-CN"/>
        </w:rPr>
        <w:t>提前下达2023年中央就业补助资金预算（人社局本级）</w:t>
      </w:r>
    </w:p>
    <w:p w14:paraId="5A1DA8F9">
      <w:pPr>
        <w:pStyle w:val="10"/>
        <w:numPr>
          <w:ilvl w:val="0"/>
          <w:numId w:val="0"/>
        </w:numPr>
        <w:ind w:firstLine="640" w:firstLineChars="200"/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1.资金支出进度</w:t>
      </w:r>
    </w:p>
    <w:p w14:paraId="34A1B6A3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b w:val="0"/>
          <w:bCs w:val="0"/>
          <w:sz w:val="32"/>
          <w:szCs w:val="32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</w:rPr>
        <w:t>202</w:t>
      </w: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b w:val="0"/>
          <w:bCs w:val="0"/>
          <w:sz w:val="32"/>
          <w:szCs w:val="32"/>
        </w:rPr>
        <w:t>年度</w:t>
      </w:r>
      <w:r>
        <w:rPr>
          <w:rFonts w:hint="eastAsia" w:ascii="仿宋" w:hAnsi="仿宋"/>
          <w:b w:val="0"/>
          <w:bCs w:val="0"/>
          <w:sz w:val="32"/>
          <w:szCs w:val="32"/>
          <w:lang w:eastAsia="zh-CN"/>
        </w:rPr>
        <w:t>专项</w:t>
      </w:r>
      <w:r>
        <w:rPr>
          <w:rFonts w:hint="eastAsia" w:ascii="仿宋" w:hAnsi="仿宋" w:eastAsia="仿宋"/>
          <w:b w:val="0"/>
          <w:bCs w:val="0"/>
          <w:sz w:val="32"/>
          <w:szCs w:val="32"/>
        </w:rPr>
        <w:t>预算资金</w:t>
      </w:r>
      <w:r>
        <w:rPr>
          <w:rFonts w:hint="eastAsia" w:ascii="仿宋" w:hAnsi="仿宋" w:eastAsia="仿宋"/>
          <w:b w:val="0"/>
          <w:bCs w:val="0"/>
          <w:sz w:val="32"/>
          <w:szCs w:val="32"/>
          <w:lang w:eastAsia="zh-CN"/>
        </w:rPr>
        <w:t>（中央）</w:t>
      </w:r>
      <w:r>
        <w:rPr>
          <w:rFonts w:hint="eastAsia" w:ascii="仿宋" w:hAnsi="仿宋" w:eastAsia="仿宋"/>
          <w:b w:val="0"/>
          <w:bCs w:val="0"/>
          <w:sz w:val="32"/>
          <w:szCs w:val="32"/>
        </w:rPr>
        <w:t>安排</w:t>
      </w:r>
      <w:r>
        <w:rPr>
          <w:rFonts w:hint="eastAsia" w:ascii="仿宋" w:hAnsi="仿宋"/>
          <w:b w:val="0"/>
          <w:bCs w:val="0"/>
          <w:sz w:val="32"/>
          <w:szCs w:val="32"/>
          <w:lang w:val="en-US" w:eastAsia="zh-CN"/>
        </w:rPr>
        <w:t>429.52</w:t>
      </w:r>
      <w:r>
        <w:rPr>
          <w:rFonts w:hint="eastAsia" w:ascii="仿宋" w:hAnsi="仿宋" w:eastAsia="仿宋"/>
          <w:b w:val="0"/>
          <w:bCs w:val="0"/>
          <w:sz w:val="32"/>
          <w:szCs w:val="32"/>
        </w:rPr>
        <w:t>万元，到位</w:t>
      </w:r>
      <w:r>
        <w:rPr>
          <w:rFonts w:hint="eastAsia" w:ascii="仿宋" w:hAnsi="仿宋"/>
          <w:b w:val="0"/>
          <w:bCs w:val="0"/>
          <w:sz w:val="32"/>
          <w:szCs w:val="32"/>
          <w:lang w:val="en-US" w:eastAsia="zh-CN"/>
        </w:rPr>
        <w:t>429.52</w:t>
      </w:r>
      <w:r>
        <w:rPr>
          <w:rFonts w:hint="eastAsia" w:ascii="仿宋" w:hAnsi="仿宋" w:eastAsia="仿宋"/>
          <w:b w:val="0"/>
          <w:bCs w:val="0"/>
          <w:sz w:val="32"/>
          <w:szCs w:val="32"/>
        </w:rPr>
        <w:t>万元，执行</w:t>
      </w:r>
      <w:r>
        <w:rPr>
          <w:rFonts w:hint="eastAsia" w:ascii="仿宋" w:hAnsi="仿宋"/>
          <w:b w:val="0"/>
          <w:bCs w:val="0"/>
          <w:sz w:val="32"/>
          <w:szCs w:val="32"/>
          <w:lang w:val="en-US" w:eastAsia="zh-CN"/>
        </w:rPr>
        <w:t>429.52</w:t>
      </w:r>
      <w:r>
        <w:rPr>
          <w:rFonts w:hint="eastAsia" w:ascii="仿宋" w:hAnsi="仿宋" w:eastAsia="仿宋"/>
          <w:b w:val="0"/>
          <w:bCs w:val="0"/>
          <w:sz w:val="32"/>
          <w:szCs w:val="32"/>
        </w:rPr>
        <w:t>万元，预算执行率</w:t>
      </w:r>
      <w:r>
        <w:rPr>
          <w:rFonts w:hint="eastAsia" w:ascii="仿宋" w:hAnsi="仿宋"/>
          <w:b w:val="0"/>
          <w:bCs w:val="0"/>
          <w:sz w:val="32"/>
          <w:szCs w:val="32"/>
          <w:lang w:val="en-US" w:eastAsia="zh-CN"/>
        </w:rPr>
        <w:t>100</w:t>
      </w:r>
      <w:r>
        <w:rPr>
          <w:rFonts w:hint="eastAsia" w:ascii="仿宋" w:hAnsi="仿宋" w:eastAsia="仿宋"/>
          <w:b w:val="0"/>
          <w:bCs w:val="0"/>
          <w:sz w:val="32"/>
          <w:szCs w:val="32"/>
        </w:rPr>
        <w:t>%。</w:t>
      </w:r>
    </w:p>
    <w:p w14:paraId="58EBCCA2">
      <w:pPr>
        <w:pStyle w:val="10"/>
        <w:numPr>
          <w:ilvl w:val="0"/>
          <w:numId w:val="0"/>
        </w:numPr>
        <w:ind w:firstLine="640" w:firstLineChars="200"/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2.产出指标和效果指标完成情况</w:t>
      </w:r>
    </w:p>
    <w:p w14:paraId="0AE389C7">
      <w:pPr>
        <w:adjustRightInd w:val="0"/>
        <w:snapToGrid w:val="0"/>
        <w:spacing w:line="560" w:lineRule="exact"/>
        <w:ind w:firstLine="640" w:firstLineChars="200"/>
        <w:rPr>
          <w:rFonts w:hint="default" w:ascii="仿宋" w:hAnsi="仿宋" w:eastAsia="仿宋" w:cs="Times New Roman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Times New Roman"/>
          <w:b w:val="0"/>
          <w:bCs w:val="0"/>
          <w:kern w:val="2"/>
          <w:sz w:val="32"/>
          <w:szCs w:val="32"/>
          <w:lang w:val="en-US" w:eastAsia="zh-CN" w:bidi="ar-SA"/>
        </w:rPr>
        <w:t>项目主要支付2024年公益性岗位补贴、4050人员补贴、孵化基地补贴</w:t>
      </w:r>
    </w:p>
    <w:p w14:paraId="71361604">
      <w:pPr>
        <w:pStyle w:val="10"/>
        <w:numPr>
          <w:ilvl w:val="0"/>
          <w:numId w:val="0"/>
        </w:numPr>
        <w:ind w:firstLine="640" w:firstLineChars="200"/>
        <w:rPr>
          <w:rFonts w:hint="eastAsia" w:ascii="仿宋" w:hAnsi="仿宋" w:eastAsia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绩效指标为4个，评价等级为优</w:t>
      </w:r>
      <w:r>
        <w:rPr>
          <w:rFonts w:hint="eastAsia" w:ascii="仿宋" w:hAnsi="仿宋" w:eastAsia="仿宋"/>
          <w:b/>
          <w:bCs/>
          <w:sz w:val="32"/>
          <w:szCs w:val="32"/>
          <w:lang w:val="en-US" w:eastAsia="zh-CN"/>
        </w:rPr>
        <w:t>。</w:t>
      </w:r>
    </w:p>
    <w:p w14:paraId="5151C005">
      <w:pPr>
        <w:pStyle w:val="10"/>
        <w:numPr>
          <w:ilvl w:val="0"/>
          <w:numId w:val="2"/>
        </w:numPr>
        <w:ind w:left="480" w:leftChars="0" w:firstLine="0" w:firstLineChars="0"/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  <w:lang w:eastAsia="zh-CN"/>
        </w:rPr>
        <w:t>提前下达2023年省级就业补助资金（人社局本级）</w:t>
      </w:r>
    </w:p>
    <w:p w14:paraId="7C9D0F2A">
      <w:pPr>
        <w:pStyle w:val="10"/>
        <w:numPr>
          <w:ilvl w:val="0"/>
          <w:numId w:val="0"/>
        </w:numPr>
        <w:ind w:firstLine="640" w:firstLineChars="200"/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1.资金支出进度</w:t>
      </w:r>
    </w:p>
    <w:p w14:paraId="7BC49F2D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b w:val="0"/>
          <w:bCs w:val="0"/>
          <w:sz w:val="32"/>
          <w:szCs w:val="32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</w:rPr>
        <w:t>202</w:t>
      </w: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b w:val="0"/>
          <w:bCs w:val="0"/>
          <w:sz w:val="32"/>
          <w:szCs w:val="32"/>
        </w:rPr>
        <w:t>年度</w:t>
      </w:r>
      <w:r>
        <w:rPr>
          <w:rFonts w:hint="eastAsia" w:ascii="仿宋" w:hAnsi="仿宋"/>
          <w:b w:val="0"/>
          <w:bCs w:val="0"/>
          <w:sz w:val="32"/>
          <w:szCs w:val="32"/>
          <w:lang w:eastAsia="zh-CN"/>
        </w:rPr>
        <w:t>专项</w:t>
      </w:r>
      <w:r>
        <w:rPr>
          <w:rFonts w:hint="eastAsia" w:ascii="仿宋" w:hAnsi="仿宋" w:eastAsia="仿宋"/>
          <w:b w:val="0"/>
          <w:bCs w:val="0"/>
          <w:sz w:val="32"/>
          <w:szCs w:val="32"/>
        </w:rPr>
        <w:t>预算资金</w:t>
      </w:r>
      <w:r>
        <w:rPr>
          <w:rFonts w:hint="eastAsia" w:ascii="仿宋" w:hAnsi="仿宋" w:eastAsia="仿宋"/>
          <w:b w:val="0"/>
          <w:bCs w:val="0"/>
          <w:sz w:val="32"/>
          <w:szCs w:val="32"/>
          <w:lang w:eastAsia="zh-CN"/>
        </w:rPr>
        <w:t>（中央）</w:t>
      </w:r>
      <w:r>
        <w:rPr>
          <w:rFonts w:hint="eastAsia" w:ascii="仿宋" w:hAnsi="仿宋" w:eastAsia="仿宋"/>
          <w:b w:val="0"/>
          <w:bCs w:val="0"/>
          <w:sz w:val="32"/>
          <w:szCs w:val="32"/>
        </w:rPr>
        <w:t>安排</w:t>
      </w:r>
      <w:r>
        <w:rPr>
          <w:rFonts w:hint="eastAsia" w:ascii="仿宋" w:hAnsi="仿宋"/>
          <w:b w:val="0"/>
          <w:bCs w:val="0"/>
          <w:sz w:val="32"/>
          <w:szCs w:val="32"/>
          <w:lang w:val="en-US" w:eastAsia="zh-CN"/>
        </w:rPr>
        <w:t>429.52</w:t>
      </w:r>
      <w:r>
        <w:rPr>
          <w:rFonts w:hint="eastAsia" w:ascii="仿宋" w:hAnsi="仿宋" w:eastAsia="仿宋"/>
          <w:b w:val="0"/>
          <w:bCs w:val="0"/>
          <w:sz w:val="32"/>
          <w:szCs w:val="32"/>
        </w:rPr>
        <w:t>万元，到位</w:t>
      </w:r>
      <w:r>
        <w:rPr>
          <w:rFonts w:hint="eastAsia" w:ascii="仿宋" w:hAnsi="仿宋"/>
          <w:b w:val="0"/>
          <w:bCs w:val="0"/>
          <w:sz w:val="32"/>
          <w:szCs w:val="32"/>
          <w:lang w:val="en-US" w:eastAsia="zh-CN"/>
        </w:rPr>
        <w:t>429.52</w:t>
      </w:r>
      <w:r>
        <w:rPr>
          <w:rFonts w:hint="eastAsia" w:ascii="仿宋" w:hAnsi="仿宋" w:eastAsia="仿宋"/>
          <w:b w:val="0"/>
          <w:bCs w:val="0"/>
          <w:sz w:val="32"/>
          <w:szCs w:val="32"/>
        </w:rPr>
        <w:t>万元，执行</w:t>
      </w:r>
      <w:r>
        <w:rPr>
          <w:rFonts w:hint="eastAsia" w:ascii="仿宋" w:hAnsi="仿宋"/>
          <w:b w:val="0"/>
          <w:bCs w:val="0"/>
          <w:sz w:val="32"/>
          <w:szCs w:val="32"/>
          <w:lang w:val="en-US" w:eastAsia="zh-CN"/>
        </w:rPr>
        <w:t>429.52</w:t>
      </w:r>
      <w:r>
        <w:rPr>
          <w:rFonts w:hint="eastAsia" w:ascii="仿宋" w:hAnsi="仿宋" w:eastAsia="仿宋"/>
          <w:b w:val="0"/>
          <w:bCs w:val="0"/>
          <w:sz w:val="32"/>
          <w:szCs w:val="32"/>
        </w:rPr>
        <w:t>万元，预算执行率</w:t>
      </w:r>
      <w:r>
        <w:rPr>
          <w:rFonts w:hint="eastAsia" w:ascii="仿宋" w:hAnsi="仿宋"/>
          <w:b w:val="0"/>
          <w:bCs w:val="0"/>
          <w:sz w:val="32"/>
          <w:szCs w:val="32"/>
          <w:lang w:val="en-US" w:eastAsia="zh-CN"/>
        </w:rPr>
        <w:t>100</w:t>
      </w:r>
      <w:r>
        <w:rPr>
          <w:rFonts w:hint="eastAsia" w:ascii="仿宋" w:hAnsi="仿宋" w:eastAsia="仿宋"/>
          <w:b w:val="0"/>
          <w:bCs w:val="0"/>
          <w:sz w:val="32"/>
          <w:szCs w:val="32"/>
        </w:rPr>
        <w:t>%。</w:t>
      </w:r>
    </w:p>
    <w:p w14:paraId="0DDBC834">
      <w:pPr>
        <w:pStyle w:val="10"/>
        <w:numPr>
          <w:ilvl w:val="0"/>
          <w:numId w:val="0"/>
        </w:numPr>
        <w:ind w:firstLine="640" w:firstLineChars="200"/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2.产出指标和效果指标完成情况</w:t>
      </w:r>
    </w:p>
    <w:p w14:paraId="2943BF3C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 w:cs="Times New Roman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Times New Roman"/>
          <w:b w:val="0"/>
          <w:bCs w:val="0"/>
          <w:kern w:val="2"/>
          <w:sz w:val="32"/>
          <w:szCs w:val="32"/>
          <w:lang w:val="en-US" w:eastAsia="zh-CN" w:bidi="ar-SA"/>
        </w:rPr>
        <w:t>项目主要支付2024年公益性岗位补贴、4050人员补贴、孵化基地补贴。</w:t>
      </w:r>
    </w:p>
    <w:p w14:paraId="38E141C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00" w:lineRule="exact"/>
        <w:ind w:left="0" w:right="0" w:firstLine="640" w:firstLineChars="200"/>
        <w:textAlignment w:val="auto"/>
        <w:outlineLvl w:val="9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 w14:paraId="63494CB5"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00" w:lineRule="exact"/>
        <w:textAlignment w:val="auto"/>
        <w:rPr>
          <w:rFonts w:eastAsia="仿宋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</w:t>
      </w:r>
      <w:r>
        <w:rPr>
          <w:rFonts w:hint="eastAsia" w:ascii="仿宋" w:hAnsi="仿宋" w:eastAsia="仿宋"/>
          <w:sz w:val="32"/>
          <w:szCs w:val="32"/>
        </w:rPr>
        <w:t>根据项目执行情况和项目绩效情况，总得分</w:t>
      </w:r>
      <w:r>
        <w:rPr>
          <w:rFonts w:hint="eastAsia" w:ascii="仿宋" w:hAnsi="仿宋" w:eastAsia="仿宋"/>
          <w:sz w:val="32"/>
          <w:szCs w:val="32"/>
          <w:lang w:eastAsia="zh-CN"/>
        </w:rPr>
        <w:t>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95</w:t>
      </w:r>
      <w:r>
        <w:rPr>
          <w:rFonts w:hint="eastAsia" w:ascii="仿宋" w:hAnsi="仿宋" w:eastAsia="仿宋"/>
          <w:sz w:val="32"/>
          <w:szCs w:val="32"/>
        </w:rPr>
        <w:t>分</w:t>
      </w:r>
      <w:r>
        <w:rPr>
          <w:rFonts w:hint="eastAsia" w:ascii="仿宋" w:hAnsi="仿宋" w:eastAsia="仿宋"/>
          <w:sz w:val="32"/>
          <w:szCs w:val="32"/>
          <w:lang w:eastAsia="zh-CN"/>
        </w:rPr>
        <w:t>。</w:t>
      </w:r>
      <w:r>
        <w:rPr>
          <w:rFonts w:hint="eastAsia" w:ascii="仿宋" w:hAnsi="仿宋" w:eastAsia="仿宋"/>
          <w:sz w:val="32"/>
          <w:szCs w:val="32"/>
        </w:rPr>
        <w:t>综合评价结论和项目综合绩效评价等级为</w:t>
      </w:r>
      <w:r>
        <w:rPr>
          <w:rFonts w:hint="eastAsia" w:ascii="仿宋" w:hAnsi="仿宋" w:eastAsia="仿宋"/>
          <w:sz w:val="32"/>
          <w:szCs w:val="32"/>
          <w:lang w:eastAsia="zh-CN"/>
        </w:rPr>
        <w:t>优秀。</w:t>
      </w:r>
    </w:p>
    <w:p w14:paraId="3BF4699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00" w:lineRule="exact"/>
        <w:ind w:left="0" w:right="0" w:firstLine="640" w:firstLineChars="200"/>
        <w:textAlignment w:val="auto"/>
        <w:outlineLvl w:val="9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 w14:paraId="0AC8A31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00" w:lineRule="exact"/>
        <w:ind w:left="0" w:right="0" w:firstLine="643" w:firstLineChars="200"/>
        <w:textAlignment w:val="auto"/>
        <w:outlineLvl w:val="9"/>
        <w:rPr>
          <w:rFonts w:hint="eastAsia"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>（一）存在的主要问题</w:t>
      </w:r>
    </w:p>
    <w:p w14:paraId="76CCD1A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00" w:lineRule="exact"/>
        <w:ind w:left="0" w:right="0" w:firstLine="643" w:firstLineChars="200"/>
        <w:textAlignment w:val="auto"/>
        <w:outlineLvl w:val="9"/>
        <w:rPr>
          <w:rFonts w:eastAsia="仿宋"/>
          <w:lang w:val="en-US" w:eastAsia="zh-CN"/>
        </w:rPr>
      </w:pPr>
      <w:r>
        <w:rPr>
          <w:rFonts w:hint="eastAsia" w:ascii="仿宋" w:hAnsi="仿宋" w:eastAsia="仿宋"/>
          <w:b/>
          <w:bCs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/>
          <w:sz w:val="32"/>
          <w:szCs w:val="32"/>
        </w:rPr>
        <w:t>绩效评价在目标设定上过于简单，对于绩效考核来讲，目标就是方向，如果在绩效考核目标设定上出现问题、或者是设计不合理势必要影响到绩效考核的全局。当前绩效考核在目标设定上不能实现多元化的目标。绩效评价在指标设定上存在偏离的现象。在当前绩效考核指标设定上，德能勤绩这种传统的固化思维模式依旧存在，不能紧紧围绕工作重点、偏离实际的现象依旧凸显。</w:t>
      </w:r>
    </w:p>
    <w:p w14:paraId="089CF3DA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spacing w:line="500" w:lineRule="exact"/>
        <w:ind w:left="0" w:right="0" w:firstLine="643" w:firstLineChars="200"/>
        <w:textAlignment w:val="auto"/>
        <w:outlineLvl w:val="9"/>
        <w:rPr>
          <w:rFonts w:hint="eastAsia"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>针对问题提出具体的改进措施或建议</w:t>
      </w:r>
    </w:p>
    <w:p w14:paraId="5464F295">
      <w:pPr>
        <w:adjustRightInd w:val="0"/>
        <w:snapToGrid w:val="0"/>
        <w:spacing w:line="560" w:lineRule="exact"/>
        <w:ind w:firstLine="420" w:firstLineChars="200"/>
      </w:pPr>
      <w:r>
        <w:rPr>
          <w:rFonts w:hint="eastAsia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>针对绩效指标设定中存在的问题，从实际出发，在202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sz w:val="32"/>
          <w:szCs w:val="32"/>
        </w:rPr>
        <w:t>年项目绩效目标填报中增强指标的可评价性和可量化性，合理如实的反映资金使用的绩效成果，审核</w:t>
      </w:r>
      <w:r>
        <w:rPr>
          <w:rFonts w:ascii="仿宋" w:hAnsi="仿宋" w:eastAsia="仿宋" w:cs="仿宋"/>
          <w:sz w:val="32"/>
          <w:szCs w:val="32"/>
        </w:rPr>
        <w:t>实现绩效目标所需资金的合理性以及填报的规范性、完整性</w:t>
      </w:r>
      <w:r>
        <w:rPr>
          <w:rFonts w:hint="eastAsia" w:ascii="仿宋" w:hAnsi="仿宋" w:eastAsia="仿宋" w:cs="仿宋"/>
          <w:sz w:val="32"/>
          <w:szCs w:val="32"/>
        </w:rPr>
        <w:t>，提高财政支出产生的社会效益和经济效益，重点考虑项目的外界因素对年度任务的影响。</w:t>
      </w:r>
    </w:p>
    <w:p w14:paraId="680F5BA4">
      <w:pPr>
        <w:adjustRightInd w:val="0"/>
        <w:snapToGrid w:val="0"/>
        <w:spacing w:line="560" w:lineRule="exact"/>
        <w:ind w:firstLine="640" w:firstLineChars="200"/>
      </w:pPr>
      <w:r>
        <w:rPr>
          <w:rFonts w:hint="eastAsia" w:ascii="仿宋" w:hAnsi="仿宋" w:eastAsia="仿宋" w:cs="仿宋"/>
          <w:sz w:val="32"/>
          <w:szCs w:val="32"/>
        </w:rPr>
        <w:t>在以后的工作中，</w:t>
      </w:r>
      <w:r>
        <w:rPr>
          <w:rFonts w:ascii="仿宋" w:hAnsi="仿宋" w:eastAsia="仿宋" w:cs="仿宋"/>
          <w:sz w:val="32"/>
          <w:szCs w:val="32"/>
        </w:rPr>
        <w:t>要根据年度工作计划制定具体、可衡量、可实现的绩效目标，明确支出的必要性、可行性和有效性，并围绕绩效目标编制清晰、量化、便于考核的绩效指标。</w:t>
      </w:r>
      <w:r>
        <w:rPr>
          <w:rFonts w:hint="eastAsia" w:ascii="仿宋" w:hAnsi="仿宋" w:eastAsia="仿宋" w:cs="仿宋"/>
          <w:sz w:val="32"/>
          <w:szCs w:val="32"/>
        </w:rPr>
        <w:t>要重视绩效评价工作，切实发挥绩效评价结果应用的作用，通过绩效评价应用实践，积累连续的数据库，优化对比分析，总结实践中的经验和教训，强化财政资金管理水平、提高财政资金使用效益，在更高层次上实现财政资源配置的公平性和合理性。</w:t>
      </w:r>
    </w:p>
    <w:p w14:paraId="43B6E0D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left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六、评价工作组人员名单及签字（姓名、工作单位、职务、职称）</w:t>
      </w:r>
    </w:p>
    <w:tbl>
      <w:tblPr>
        <w:tblStyle w:val="7"/>
        <w:tblW w:w="906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9"/>
        <w:gridCol w:w="1650"/>
        <w:gridCol w:w="2867"/>
        <w:gridCol w:w="1987"/>
        <w:gridCol w:w="1638"/>
      </w:tblGrid>
      <w:tr w14:paraId="11E4A9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19" w:type="dxa"/>
          </w:tcPr>
          <w:p w14:paraId="29A907EF">
            <w:pPr>
              <w:pStyle w:val="9"/>
              <w:jc w:val="center"/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  <w:t>序号</w:t>
            </w:r>
          </w:p>
        </w:tc>
        <w:tc>
          <w:tcPr>
            <w:tcW w:w="1650" w:type="dxa"/>
          </w:tcPr>
          <w:p w14:paraId="0329644D">
            <w:pPr>
              <w:pStyle w:val="9"/>
              <w:jc w:val="center"/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  <w:t>姓名</w:t>
            </w:r>
          </w:p>
        </w:tc>
        <w:tc>
          <w:tcPr>
            <w:tcW w:w="2867" w:type="dxa"/>
          </w:tcPr>
          <w:p w14:paraId="0477EF97">
            <w:pPr>
              <w:pStyle w:val="9"/>
              <w:jc w:val="center"/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  <w:t>工作单位</w:t>
            </w:r>
          </w:p>
        </w:tc>
        <w:tc>
          <w:tcPr>
            <w:tcW w:w="1987" w:type="dxa"/>
          </w:tcPr>
          <w:p w14:paraId="23C096D7">
            <w:pPr>
              <w:pStyle w:val="9"/>
              <w:jc w:val="center"/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  <w:t>职务</w:t>
            </w:r>
          </w:p>
        </w:tc>
        <w:tc>
          <w:tcPr>
            <w:tcW w:w="1638" w:type="dxa"/>
          </w:tcPr>
          <w:p w14:paraId="412E1C50">
            <w:pPr>
              <w:pStyle w:val="9"/>
              <w:jc w:val="center"/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  <w:t>签名</w:t>
            </w:r>
          </w:p>
        </w:tc>
      </w:tr>
      <w:tr w14:paraId="7C1873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1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28656834">
            <w:pPr>
              <w:pStyle w:val="9"/>
              <w:jc w:val="center"/>
              <w:rPr>
                <w:rFonts w:hint="eastAsia" w:ascii="仿宋" w:hAnsi="仿宋" w:eastAsia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165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62218621">
            <w:pPr>
              <w:pStyle w:val="9"/>
              <w:jc w:val="center"/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  <w:t>郭建林</w:t>
            </w:r>
          </w:p>
        </w:tc>
        <w:tc>
          <w:tcPr>
            <w:tcW w:w="286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130DC651">
            <w:pPr>
              <w:pStyle w:val="9"/>
              <w:jc w:val="center"/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  <w:t>矿区人社局</w:t>
            </w:r>
          </w:p>
        </w:tc>
        <w:tc>
          <w:tcPr>
            <w:tcW w:w="198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7016A994">
            <w:pPr>
              <w:pStyle w:val="9"/>
              <w:jc w:val="center"/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  <w:t>局长</w:t>
            </w:r>
          </w:p>
        </w:tc>
        <w:tc>
          <w:tcPr>
            <w:tcW w:w="163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5A1CF829">
            <w:pPr>
              <w:pStyle w:val="9"/>
              <w:jc w:val="center"/>
              <w:rPr>
                <w:rFonts w:ascii="仿宋" w:hAnsi="仿宋" w:eastAsia="仿宋"/>
                <w:sz w:val="28"/>
                <w:szCs w:val="28"/>
                <w:vertAlign w:val="baseline"/>
              </w:rPr>
            </w:pPr>
          </w:p>
        </w:tc>
      </w:tr>
      <w:tr w14:paraId="327FEA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1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1868B21A">
            <w:pPr>
              <w:pStyle w:val="9"/>
              <w:jc w:val="center"/>
              <w:rPr>
                <w:rFonts w:hint="eastAsia" w:ascii="仿宋" w:hAnsi="仿宋" w:eastAsia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ascii="仿宋" w:hAnsi="仿宋" w:eastAsia="仿宋"/>
                <w:sz w:val="28"/>
                <w:szCs w:val="28"/>
                <w:vertAlign w:val="baseline"/>
                <w:lang w:val="en-US" w:eastAsia="zh-CN"/>
              </w:rPr>
              <w:t>2</w:t>
            </w:r>
          </w:p>
        </w:tc>
        <w:tc>
          <w:tcPr>
            <w:tcW w:w="165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462582B7">
            <w:pPr>
              <w:pStyle w:val="9"/>
              <w:jc w:val="center"/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  <w:t>张鸿健</w:t>
            </w:r>
          </w:p>
        </w:tc>
        <w:tc>
          <w:tcPr>
            <w:tcW w:w="286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40976CF4">
            <w:pPr>
              <w:pStyle w:val="9"/>
              <w:jc w:val="center"/>
              <w:rPr>
                <w:rFonts w:ascii="仿宋" w:hAnsi="仿宋" w:eastAsia="仿宋"/>
                <w:sz w:val="28"/>
                <w:szCs w:val="28"/>
                <w:vertAlign w:val="baseline"/>
              </w:rPr>
            </w:pPr>
            <w:r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  <w:t>矿区人社局</w:t>
            </w:r>
          </w:p>
        </w:tc>
        <w:tc>
          <w:tcPr>
            <w:tcW w:w="198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085018EB">
            <w:pPr>
              <w:pStyle w:val="9"/>
              <w:jc w:val="center"/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vertAlign w:val="baseline"/>
                <w:lang w:eastAsia="zh-CN"/>
              </w:rPr>
              <w:t>副局长主管社保</w:t>
            </w:r>
          </w:p>
        </w:tc>
        <w:tc>
          <w:tcPr>
            <w:tcW w:w="163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74B4EEE7">
            <w:pPr>
              <w:pStyle w:val="9"/>
              <w:jc w:val="center"/>
              <w:rPr>
                <w:rFonts w:ascii="仿宋" w:hAnsi="仿宋" w:eastAsia="仿宋"/>
                <w:sz w:val="28"/>
                <w:szCs w:val="28"/>
                <w:vertAlign w:val="baseline"/>
              </w:rPr>
            </w:pPr>
          </w:p>
        </w:tc>
      </w:tr>
      <w:tr w14:paraId="7C34C1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1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47633A96">
            <w:pPr>
              <w:pStyle w:val="9"/>
              <w:jc w:val="center"/>
              <w:rPr>
                <w:rFonts w:ascii="仿宋" w:hAnsi="仿宋" w:eastAsia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vertAlign w:val="baseline"/>
                <w:lang w:val="en-US" w:eastAsia="zh-CN"/>
              </w:rPr>
              <w:t>3</w:t>
            </w:r>
          </w:p>
        </w:tc>
        <w:tc>
          <w:tcPr>
            <w:tcW w:w="165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22BCD7AF">
            <w:pPr>
              <w:pStyle w:val="9"/>
              <w:jc w:val="center"/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  <w:t>郭宗飞</w:t>
            </w:r>
          </w:p>
        </w:tc>
        <w:tc>
          <w:tcPr>
            <w:tcW w:w="286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327B8887">
            <w:pPr>
              <w:pStyle w:val="9"/>
              <w:jc w:val="center"/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  <w:t>矿区人社局</w:t>
            </w:r>
          </w:p>
        </w:tc>
        <w:tc>
          <w:tcPr>
            <w:tcW w:w="198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49010BE3">
            <w:pPr>
              <w:pStyle w:val="9"/>
              <w:jc w:val="center"/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  <w:t>主管</w:t>
            </w:r>
            <w:r>
              <w:rPr>
                <w:rFonts w:ascii="仿宋" w:hAnsi="仿宋" w:eastAsia="仿宋"/>
                <w:sz w:val="28"/>
                <w:szCs w:val="28"/>
                <w:vertAlign w:val="baseline"/>
                <w:lang w:eastAsia="zh-CN"/>
              </w:rPr>
              <w:t>人才</w:t>
            </w:r>
            <w:r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  <w:t>中心</w:t>
            </w:r>
          </w:p>
        </w:tc>
        <w:tc>
          <w:tcPr>
            <w:tcW w:w="163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277ADFF2">
            <w:pPr>
              <w:pStyle w:val="9"/>
              <w:jc w:val="center"/>
              <w:rPr>
                <w:rFonts w:ascii="仿宋" w:hAnsi="仿宋" w:eastAsia="仿宋"/>
                <w:sz w:val="28"/>
                <w:szCs w:val="28"/>
                <w:vertAlign w:val="baseline"/>
              </w:rPr>
            </w:pPr>
          </w:p>
        </w:tc>
      </w:tr>
      <w:tr w14:paraId="15D9A7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1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3EA77C62">
            <w:pPr>
              <w:pStyle w:val="9"/>
              <w:jc w:val="center"/>
              <w:rPr>
                <w:rFonts w:ascii="仿宋" w:hAnsi="仿宋" w:eastAsia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vertAlign w:val="baseline"/>
                <w:lang w:val="en-US" w:eastAsia="zh-CN"/>
              </w:rPr>
              <w:t>4</w:t>
            </w:r>
          </w:p>
        </w:tc>
        <w:tc>
          <w:tcPr>
            <w:tcW w:w="165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6207F7A6">
            <w:pPr>
              <w:pStyle w:val="9"/>
              <w:jc w:val="center"/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ascii="仿宋" w:hAnsi="仿宋" w:eastAsia="仿宋"/>
                <w:sz w:val="28"/>
                <w:szCs w:val="28"/>
                <w:vertAlign w:val="baseline"/>
                <w:lang w:eastAsia="zh-CN"/>
              </w:rPr>
              <w:t>高海云</w:t>
            </w:r>
          </w:p>
        </w:tc>
        <w:tc>
          <w:tcPr>
            <w:tcW w:w="286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63B66B63">
            <w:pPr>
              <w:pStyle w:val="9"/>
              <w:jc w:val="center"/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  <w:t>矿区人社局</w:t>
            </w:r>
          </w:p>
        </w:tc>
        <w:tc>
          <w:tcPr>
            <w:tcW w:w="198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2EA1B769">
            <w:pPr>
              <w:pStyle w:val="9"/>
              <w:jc w:val="center"/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ascii="仿宋" w:hAnsi="仿宋" w:eastAsia="仿宋"/>
                <w:sz w:val="28"/>
                <w:szCs w:val="28"/>
                <w:vertAlign w:val="baseline"/>
                <w:lang w:eastAsia="zh-CN"/>
              </w:rPr>
              <w:t>主管就业中心</w:t>
            </w:r>
          </w:p>
        </w:tc>
        <w:tc>
          <w:tcPr>
            <w:tcW w:w="163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276AF4E1">
            <w:pPr>
              <w:pStyle w:val="9"/>
              <w:jc w:val="center"/>
              <w:rPr>
                <w:rFonts w:ascii="仿宋" w:hAnsi="仿宋" w:eastAsia="仿宋"/>
                <w:sz w:val="28"/>
                <w:szCs w:val="28"/>
                <w:vertAlign w:val="baseline"/>
              </w:rPr>
            </w:pPr>
          </w:p>
        </w:tc>
      </w:tr>
      <w:tr w14:paraId="710B8F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1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520E7A07">
            <w:pPr>
              <w:pStyle w:val="9"/>
              <w:jc w:val="center"/>
              <w:rPr>
                <w:rFonts w:ascii="仿宋" w:hAnsi="仿宋" w:eastAsia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vertAlign w:val="baseline"/>
                <w:lang w:val="en-US" w:eastAsia="zh-CN"/>
              </w:rPr>
              <w:t>5</w:t>
            </w:r>
          </w:p>
        </w:tc>
        <w:tc>
          <w:tcPr>
            <w:tcW w:w="165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7A23E36E">
            <w:pPr>
              <w:pStyle w:val="9"/>
              <w:jc w:val="center"/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  <w:t>曾亮</w:t>
            </w:r>
          </w:p>
        </w:tc>
        <w:tc>
          <w:tcPr>
            <w:tcW w:w="286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0582504D">
            <w:pPr>
              <w:pStyle w:val="9"/>
              <w:jc w:val="center"/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  <w:t>矿区人社局</w:t>
            </w:r>
          </w:p>
        </w:tc>
        <w:tc>
          <w:tcPr>
            <w:tcW w:w="198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29C2D19C">
            <w:pPr>
              <w:pStyle w:val="9"/>
              <w:jc w:val="center"/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ascii="仿宋" w:hAnsi="仿宋" w:eastAsia="仿宋"/>
                <w:sz w:val="28"/>
                <w:szCs w:val="28"/>
                <w:vertAlign w:val="baseline"/>
                <w:lang w:eastAsia="zh-CN"/>
              </w:rPr>
              <w:t>劳动监察队长</w:t>
            </w:r>
          </w:p>
        </w:tc>
        <w:tc>
          <w:tcPr>
            <w:tcW w:w="163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45B82856">
            <w:pPr>
              <w:pStyle w:val="9"/>
              <w:jc w:val="center"/>
              <w:rPr>
                <w:rFonts w:ascii="仿宋" w:hAnsi="仿宋" w:eastAsia="仿宋"/>
                <w:sz w:val="28"/>
                <w:szCs w:val="28"/>
                <w:vertAlign w:val="baseline"/>
              </w:rPr>
            </w:pPr>
          </w:p>
        </w:tc>
      </w:tr>
      <w:tr w14:paraId="7E2D45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1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6A9CD500">
            <w:pPr>
              <w:pStyle w:val="9"/>
              <w:jc w:val="center"/>
              <w:rPr>
                <w:rFonts w:hint="default" w:ascii="仿宋" w:hAnsi="仿宋" w:eastAsia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vertAlign w:val="baseline"/>
                <w:lang w:val="en-US" w:eastAsia="zh-CN"/>
              </w:rPr>
              <w:t>6</w:t>
            </w:r>
          </w:p>
        </w:tc>
        <w:tc>
          <w:tcPr>
            <w:tcW w:w="165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76532DE6">
            <w:pPr>
              <w:pStyle w:val="9"/>
              <w:jc w:val="center"/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  <w:t>温永生</w:t>
            </w:r>
          </w:p>
        </w:tc>
        <w:tc>
          <w:tcPr>
            <w:tcW w:w="286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5517C183">
            <w:pPr>
              <w:pStyle w:val="9"/>
              <w:jc w:val="center"/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  <w:t>矿区人社局</w:t>
            </w:r>
          </w:p>
        </w:tc>
        <w:tc>
          <w:tcPr>
            <w:tcW w:w="198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0287D4DC">
            <w:pPr>
              <w:pStyle w:val="9"/>
              <w:jc w:val="center"/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vertAlign w:val="baseline"/>
                <w:lang w:eastAsia="zh-CN"/>
              </w:rPr>
              <w:t>局办公室主任</w:t>
            </w:r>
          </w:p>
        </w:tc>
        <w:tc>
          <w:tcPr>
            <w:tcW w:w="163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6A1D1563">
            <w:pPr>
              <w:pStyle w:val="9"/>
              <w:jc w:val="center"/>
              <w:rPr>
                <w:rFonts w:ascii="仿宋" w:hAnsi="仿宋" w:eastAsia="仿宋"/>
                <w:sz w:val="28"/>
                <w:szCs w:val="28"/>
                <w:vertAlign w:val="baseline"/>
              </w:rPr>
            </w:pPr>
          </w:p>
        </w:tc>
      </w:tr>
    </w:tbl>
    <w:p w14:paraId="7E8C28FD">
      <w:pPr>
        <w:widowControl w:val="0"/>
        <w:wordWrap/>
        <w:spacing w:line="560" w:lineRule="exact"/>
        <w:ind w:left="0" w:right="0"/>
        <w:textAlignment w:val="auto"/>
        <w:outlineLvl w:val="9"/>
        <w:rPr>
          <w:rFonts w:ascii="仿宋" w:hAnsi="仿宋" w:eastAsia="仿宋"/>
        </w:rPr>
      </w:pPr>
    </w:p>
    <w:p w14:paraId="2864B367">
      <w:pPr>
        <w:spacing w:line="560" w:lineRule="exact"/>
        <w:rPr>
          <w:rFonts w:ascii="仿宋" w:hAnsi="仿宋" w:eastAsia="仿宋"/>
        </w:rPr>
      </w:pP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103506D">
    <w:pPr>
      <w:pStyle w:val="5"/>
    </w:pPr>
    <w:r>
      <mc:AlternateContent>
        <mc:Choice Requires="wps">
          <w:drawing>
            <wp:anchor distT="0" distB="0" distL="90805" distR="90805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209550" cy="16256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09492" cy="162820"/>
                      </a:xfrm>
                      <a:prstGeom prst="rect">
                        <a:avLst/>
                      </a:prstGeom>
                      <a:noFill/>
                      <a:ln w="9525" cap="flat" cmpd="sng">
                        <a:noFill/>
                        <a:prstDash val="solid"/>
                        <a:miter/>
                      </a:ln>
                    </wps:spPr>
                    <wps:txbx>
                      <w:txbxContent>
                        <w:p w14:paraId="04E401C8"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Quad Arrow 3073" o:spid="_x0000_s1026" o:spt="1" style="position:absolute;left:0pt;margin-top:0pt;height:12.8pt;width:16.5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">
              <v:fill on="f" focussize="0,0"/>
              <v:stroke on="f" joinstyle="miter"/>
              <v:imagedata o:title=""/>
              <o:lock v:ext="edit" aspectratio="f"/>
              <v:textbox inset="0mm,0mm,0mm,0mm" style="mso-fit-shape-to-text:t;">
                <w:txbxContent>
                  <w:p w14:paraId="04E401C8"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B30E35B"/>
    <w:multiLevelType w:val="singleLevel"/>
    <w:tmpl w:val="BB30E35B"/>
    <w:lvl w:ilvl="0" w:tentative="0">
      <w:start w:val="2"/>
      <w:numFmt w:val="decimal"/>
      <w:lvlText w:val="%1."/>
      <w:lvlJc w:val="left"/>
      <w:pPr>
        <w:tabs>
          <w:tab w:val="left" w:pos="312"/>
        </w:tabs>
      </w:pPr>
    </w:lvl>
  </w:abstractNum>
  <w:abstractNum w:abstractNumId="1">
    <w:nsid w:val="08F47D2F"/>
    <w:multiLevelType w:val="singleLevel"/>
    <w:tmpl w:val="08F47D2F"/>
    <w:lvl w:ilvl="0" w:tentative="0">
      <w:start w:val="1"/>
      <w:numFmt w:val="chineseCounting"/>
      <w:suff w:val="nothing"/>
      <w:lvlText w:val="（%1）"/>
      <w:lvlJc w:val="left"/>
      <w:pPr>
        <w:ind w:left="480" w:leftChars="0" w:firstLine="0" w:firstLineChars="0"/>
      </w:pPr>
      <w:rPr>
        <w:rFonts w:hint="eastAsia"/>
      </w:rPr>
    </w:lvl>
  </w:abstractNum>
  <w:abstractNum w:abstractNumId="2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pPr>
        <w:ind w:left="0" w:firstLine="0"/>
      </w:pPr>
      <w:rPr>
        <w:rFonts w:ascii="楷体" w:hAnsi="楷体" w:eastAsia="楷体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dit="readOnly"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WQxMGZkOWViNDMwNmZmZGIyZmM3YThiMzdhNjgzOTQifQ=="/>
  </w:docVars>
  <w:rsids>
    <w:rsidRoot w:val="00000000"/>
    <w:rsid w:val="0BB84DE3"/>
    <w:rsid w:val="0C372353"/>
    <w:rsid w:val="23D13C9D"/>
    <w:rsid w:val="3B5F40A8"/>
    <w:rsid w:val="3CBD0327"/>
    <w:rsid w:val="4BA601D9"/>
    <w:rsid w:val="6096659D"/>
    <w:rsid w:val="64624649"/>
    <w:rsid w:val="687E3344"/>
    <w:rsid w:val="6E08292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widowControl w:val="0"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qFormat/>
    <w:uiPriority w:val="0"/>
    <w:pPr>
      <w:keepNext/>
      <w:keepLines/>
      <w:widowControl w:val="0"/>
      <w:spacing w:before="260" w:after="260" w:line="415" w:lineRule="auto"/>
      <w:outlineLvl w:val="1"/>
    </w:pPr>
    <w:rPr>
      <w:rFonts w:ascii="Times New Roman" w:hAnsi="Times New Roman" w:eastAsia="黑体"/>
      <w:b/>
      <w:bCs/>
      <w:sz w:val="32"/>
      <w:szCs w:val="32"/>
    </w:rPr>
  </w:style>
  <w:style w:type="paragraph" w:styleId="4">
    <w:name w:val="heading 3"/>
    <w:basedOn w:val="1"/>
    <w:next w:val="1"/>
    <w:qFormat/>
    <w:uiPriority w:val="0"/>
    <w:pPr>
      <w:keepNext/>
      <w:keepLines/>
      <w:widowControl w:val="0"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8">
    <w:name w:val="Default Paragraph Font"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customStyle="1" w:styleId="9">
    <w:name w:val="Plain Text"/>
    <w:basedOn w:val="1"/>
    <w:qFormat/>
    <w:uiPriority w:val="0"/>
    <w:pPr>
      <w:widowControl w:val="0"/>
      <w:jc w:val="both"/>
    </w:pPr>
    <w:rPr>
      <w:rFonts w:ascii="宋体" w:hAnsi="Calibri" w:eastAsia="宋体" w:cs="黑体"/>
      <w:kern w:val="2"/>
      <w:sz w:val="21"/>
      <w:szCs w:val="22"/>
      <w:lang w:val="en-US" w:eastAsia="zh-CN" w:bidi="ar-SA"/>
    </w:rPr>
  </w:style>
  <w:style w:type="paragraph" w:customStyle="1" w:styleId="10">
    <w:name w:val="无间隔1"/>
    <w:qFormat/>
    <w:uiPriority w:val="0"/>
    <w:pPr>
      <w:widowControl w:val="0"/>
      <w:jc w:val="both"/>
    </w:pPr>
    <w:rPr>
      <w:rFonts w:ascii="宋体" w:hAnsi="宋体" w:eastAsia="仿宋_GB2312" w:cs="Times New Roman"/>
      <w:kern w:val="2"/>
      <w:sz w:val="32"/>
      <w:szCs w:val="22"/>
      <w:lang w:val="en-US" w:eastAsia="zh-CN" w:bidi="ar-SA"/>
    </w:rPr>
  </w:style>
  <w:style w:type="character" w:customStyle="1" w:styleId="11">
    <w:name w:val="NormalCharacter"/>
    <w:semiHidden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2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2.xml><?xml version="1.0" encoding="utf-8"?>
<customData xmlns="http://www.yozosoft.com.cn/officeDocument/2016/customData">
  <customProps>
    <docPr revisions="3 0 5 0 0 0 1 0 0 0 3000 0 1 1 1 1"/>
    <sectPr/>
  </customProps>
</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2CFF0AC5-597A-436C-8052-6BABDDFA8FA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Pages>11</Pages>
  <Words>4155</Words>
  <Characters>4556</Characters>
  <Lines>0</Lines>
  <Paragraphs>29</Paragraphs>
  <TotalTime>9</TotalTime>
  <ScaleCrop>false</ScaleCrop>
  <LinksUpToDate>false</LinksUpToDate>
  <CharactersWithSpaces>4607</CharactersWithSpaces>
  <Application>WPS Office_12.1.0.23125_F1E327BC-269C-435d-A152-05C5408002CA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CZJ</cp:lastModifiedBy>
  <cp:lastPrinted>2024-03-06T07:40:00Z</cp:lastPrinted>
  <dcterms:modified xsi:type="dcterms:W3CDTF">2025-10-20T01:30:59Z</dcterms:modified>
  <dc:title>附件3：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F005E59F757740B58E9910094E88FEC1_13</vt:lpwstr>
  </property>
  <property fmtid="{D5CDD505-2E9C-101B-9397-08002B2CF9AE}" pid="4" name="KSOTemplateDocerSaveRecord">
    <vt:lpwstr>eyJoZGlkIjoiZjczMDZkNDRiZDdhZjExNTAyZWE2ZWI4OGU2YzBiY2EifQ==</vt:lpwstr>
  </property>
</Properties>
</file>