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42</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43</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333石家庄市井陉矿区住房和城乡建设局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11127.88</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240.00</w:t>
            </w: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288.06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47.58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957.44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2269.52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8070.14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11367.88</w:t>
            </w:r>
          </w:p>
        </w:tc>
        <w:tc>
          <w:tcPr>
            <w:tcW w:w="4535" w:type="dxa"/>
            <w:vAlign w:val="center"/>
          </w:tcPr>
          <w:p>
            <w:pPr>
              <w:pStyle w:val="15"/>
            </w:pPr>
            <w:r>
              <w:t>本年支出合计</w:t>
            </w:r>
          </w:p>
        </w:tc>
        <w:tc>
          <w:tcPr>
            <w:tcW w:w="2126" w:type="dxa"/>
            <w:vAlign w:val="center"/>
          </w:tcPr>
          <w:p>
            <w:pPr>
              <w:pStyle w:val="16"/>
            </w:pPr>
            <w:r>
              <w:t>11634.74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266.86</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11634.74</w:t>
            </w:r>
          </w:p>
        </w:tc>
        <w:tc>
          <w:tcPr>
            <w:tcW w:w="4535" w:type="dxa"/>
            <w:vAlign w:val="center"/>
          </w:tcPr>
          <w:p>
            <w:pPr>
              <w:pStyle w:val="15"/>
            </w:pPr>
            <w:r>
              <w:t>支出总计</w:t>
            </w:r>
          </w:p>
        </w:tc>
        <w:tc>
          <w:tcPr>
            <w:tcW w:w="2126" w:type="dxa"/>
            <w:vAlign w:val="center"/>
          </w:tcPr>
          <w:p>
            <w:pPr>
              <w:pStyle w:val="16"/>
            </w:pPr>
            <w:r>
              <w:t>11634.74</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333石家庄市井陉矿区住房和城乡建设局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11634.74</w:t>
            </w:r>
          </w:p>
        </w:tc>
        <w:tc>
          <w:tcPr>
            <w:tcW w:w="1134" w:type="dxa"/>
            <w:vAlign w:val="center"/>
          </w:tcPr>
          <w:p>
            <w:pPr>
              <w:pStyle w:val="16"/>
            </w:pPr>
            <w:r>
              <w:t>11367.88</w:t>
            </w:r>
          </w:p>
        </w:tc>
        <w:tc>
          <w:tcPr>
            <w:tcW w:w="1134" w:type="dxa"/>
            <w:vAlign w:val="center"/>
          </w:tcPr>
          <w:p>
            <w:pPr>
              <w:pStyle w:val="16"/>
            </w:pPr>
            <w:r>
              <w:t>11367.88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266.86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288.06</w:t>
            </w:r>
          </w:p>
        </w:tc>
        <w:tc>
          <w:tcPr>
            <w:tcW w:w="1134" w:type="dxa"/>
            <w:vAlign w:val="center"/>
          </w:tcPr>
          <w:p>
            <w:pPr>
              <w:pStyle w:val="12"/>
            </w:pPr>
            <w:r>
              <w:t>288.06</w:t>
            </w:r>
          </w:p>
        </w:tc>
        <w:tc>
          <w:tcPr>
            <w:tcW w:w="1134" w:type="dxa"/>
            <w:vAlign w:val="center"/>
          </w:tcPr>
          <w:p>
            <w:pPr>
              <w:pStyle w:val="12"/>
            </w:pPr>
            <w:r>
              <w:t>288.06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285.22</w:t>
            </w:r>
          </w:p>
        </w:tc>
        <w:tc>
          <w:tcPr>
            <w:tcW w:w="1134" w:type="dxa"/>
            <w:vAlign w:val="center"/>
          </w:tcPr>
          <w:p>
            <w:pPr>
              <w:pStyle w:val="12"/>
            </w:pPr>
            <w:r>
              <w:t>285.22</w:t>
            </w:r>
          </w:p>
        </w:tc>
        <w:tc>
          <w:tcPr>
            <w:tcW w:w="1134" w:type="dxa"/>
            <w:vAlign w:val="center"/>
          </w:tcPr>
          <w:p>
            <w:pPr>
              <w:pStyle w:val="12"/>
            </w:pPr>
            <w:r>
              <w:t>285.22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218.37</w:t>
            </w:r>
          </w:p>
        </w:tc>
        <w:tc>
          <w:tcPr>
            <w:tcW w:w="1134" w:type="dxa"/>
            <w:vAlign w:val="center"/>
          </w:tcPr>
          <w:p>
            <w:pPr>
              <w:pStyle w:val="12"/>
            </w:pPr>
            <w:r>
              <w:t>218.37</w:t>
            </w:r>
          </w:p>
        </w:tc>
        <w:tc>
          <w:tcPr>
            <w:tcW w:w="1134" w:type="dxa"/>
            <w:vAlign w:val="center"/>
          </w:tcPr>
          <w:p>
            <w:pPr>
              <w:pStyle w:val="12"/>
            </w:pPr>
            <w:r>
              <w:t>218.37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13.76</w:t>
            </w:r>
          </w:p>
        </w:tc>
        <w:tc>
          <w:tcPr>
            <w:tcW w:w="1134" w:type="dxa"/>
            <w:vAlign w:val="center"/>
          </w:tcPr>
          <w:p>
            <w:pPr>
              <w:pStyle w:val="12"/>
            </w:pPr>
            <w:r>
              <w:t>13.76</w:t>
            </w:r>
          </w:p>
        </w:tc>
        <w:tc>
          <w:tcPr>
            <w:tcW w:w="1134" w:type="dxa"/>
            <w:vAlign w:val="center"/>
          </w:tcPr>
          <w:p>
            <w:pPr>
              <w:pStyle w:val="12"/>
            </w:pPr>
            <w:r>
              <w:t>13.76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48.41</w:t>
            </w:r>
          </w:p>
        </w:tc>
        <w:tc>
          <w:tcPr>
            <w:tcW w:w="1134" w:type="dxa"/>
            <w:vAlign w:val="center"/>
          </w:tcPr>
          <w:p>
            <w:pPr>
              <w:pStyle w:val="12"/>
            </w:pPr>
            <w:r>
              <w:t>48.41</w:t>
            </w:r>
          </w:p>
        </w:tc>
        <w:tc>
          <w:tcPr>
            <w:tcW w:w="1134" w:type="dxa"/>
            <w:vAlign w:val="center"/>
          </w:tcPr>
          <w:p>
            <w:pPr>
              <w:pStyle w:val="12"/>
            </w:pPr>
            <w:r>
              <w:t>48.41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4.68</w:t>
            </w:r>
          </w:p>
        </w:tc>
        <w:tc>
          <w:tcPr>
            <w:tcW w:w="1134" w:type="dxa"/>
            <w:vAlign w:val="center"/>
          </w:tcPr>
          <w:p>
            <w:pPr>
              <w:pStyle w:val="12"/>
            </w:pPr>
            <w:r>
              <w:t>4.68</w:t>
            </w:r>
          </w:p>
        </w:tc>
        <w:tc>
          <w:tcPr>
            <w:tcW w:w="1134" w:type="dxa"/>
            <w:vAlign w:val="center"/>
          </w:tcPr>
          <w:p>
            <w:pPr>
              <w:pStyle w:val="12"/>
            </w:pPr>
            <w:r>
              <w:t>4.68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2.84</w:t>
            </w:r>
          </w:p>
        </w:tc>
        <w:tc>
          <w:tcPr>
            <w:tcW w:w="1134" w:type="dxa"/>
            <w:vAlign w:val="center"/>
          </w:tcPr>
          <w:p>
            <w:pPr>
              <w:pStyle w:val="12"/>
            </w:pPr>
            <w:r>
              <w:t>2.84</w:t>
            </w:r>
          </w:p>
        </w:tc>
        <w:tc>
          <w:tcPr>
            <w:tcW w:w="1134" w:type="dxa"/>
            <w:vAlign w:val="center"/>
          </w:tcPr>
          <w:p>
            <w:pPr>
              <w:pStyle w:val="12"/>
            </w:pPr>
            <w:r>
              <w:t>2.84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2.84</w:t>
            </w:r>
          </w:p>
        </w:tc>
        <w:tc>
          <w:tcPr>
            <w:tcW w:w="1134" w:type="dxa"/>
            <w:vAlign w:val="center"/>
          </w:tcPr>
          <w:p>
            <w:pPr>
              <w:pStyle w:val="12"/>
            </w:pPr>
            <w:r>
              <w:t>2.84</w:t>
            </w:r>
          </w:p>
        </w:tc>
        <w:tc>
          <w:tcPr>
            <w:tcW w:w="1134" w:type="dxa"/>
            <w:vAlign w:val="center"/>
          </w:tcPr>
          <w:p>
            <w:pPr>
              <w:pStyle w:val="12"/>
            </w:pPr>
            <w:r>
              <w:t>2.84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47.58</w:t>
            </w:r>
          </w:p>
        </w:tc>
        <w:tc>
          <w:tcPr>
            <w:tcW w:w="1134" w:type="dxa"/>
            <w:vAlign w:val="center"/>
          </w:tcPr>
          <w:p>
            <w:pPr>
              <w:pStyle w:val="12"/>
            </w:pPr>
            <w:r>
              <w:t>47.58</w:t>
            </w:r>
          </w:p>
        </w:tc>
        <w:tc>
          <w:tcPr>
            <w:tcW w:w="1134" w:type="dxa"/>
            <w:vAlign w:val="center"/>
          </w:tcPr>
          <w:p>
            <w:pPr>
              <w:pStyle w:val="12"/>
            </w:pPr>
            <w:r>
              <w:t>47.58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47.58</w:t>
            </w:r>
          </w:p>
        </w:tc>
        <w:tc>
          <w:tcPr>
            <w:tcW w:w="1134" w:type="dxa"/>
            <w:vAlign w:val="center"/>
          </w:tcPr>
          <w:p>
            <w:pPr>
              <w:pStyle w:val="12"/>
            </w:pPr>
            <w:r>
              <w:t>47.58</w:t>
            </w:r>
          </w:p>
        </w:tc>
        <w:tc>
          <w:tcPr>
            <w:tcW w:w="1134" w:type="dxa"/>
            <w:vAlign w:val="center"/>
          </w:tcPr>
          <w:p>
            <w:pPr>
              <w:pStyle w:val="12"/>
            </w:pPr>
            <w:r>
              <w:t>47.58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31.13</w:t>
            </w:r>
          </w:p>
        </w:tc>
        <w:tc>
          <w:tcPr>
            <w:tcW w:w="1134" w:type="dxa"/>
            <w:vAlign w:val="center"/>
          </w:tcPr>
          <w:p>
            <w:pPr>
              <w:pStyle w:val="12"/>
            </w:pPr>
            <w:r>
              <w:t>31.13</w:t>
            </w:r>
          </w:p>
        </w:tc>
        <w:tc>
          <w:tcPr>
            <w:tcW w:w="1134" w:type="dxa"/>
            <w:vAlign w:val="center"/>
          </w:tcPr>
          <w:p>
            <w:pPr>
              <w:pStyle w:val="12"/>
            </w:pPr>
            <w:r>
              <w:t>31.13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12.45</w:t>
            </w:r>
          </w:p>
        </w:tc>
        <w:tc>
          <w:tcPr>
            <w:tcW w:w="1134" w:type="dxa"/>
            <w:vAlign w:val="center"/>
          </w:tcPr>
          <w:p>
            <w:pPr>
              <w:pStyle w:val="12"/>
            </w:pPr>
            <w:r>
              <w:t>12.45</w:t>
            </w:r>
          </w:p>
        </w:tc>
        <w:tc>
          <w:tcPr>
            <w:tcW w:w="1134" w:type="dxa"/>
            <w:vAlign w:val="center"/>
          </w:tcPr>
          <w:p>
            <w:pPr>
              <w:pStyle w:val="12"/>
            </w:pPr>
            <w:r>
              <w:t>12.45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957.44</w:t>
            </w:r>
          </w:p>
        </w:tc>
        <w:tc>
          <w:tcPr>
            <w:tcW w:w="1134" w:type="dxa"/>
            <w:vAlign w:val="center"/>
          </w:tcPr>
          <w:p>
            <w:pPr>
              <w:pStyle w:val="12"/>
            </w:pPr>
            <w:r>
              <w:t>767.72</w:t>
            </w:r>
          </w:p>
        </w:tc>
        <w:tc>
          <w:tcPr>
            <w:tcW w:w="1134" w:type="dxa"/>
            <w:vAlign w:val="center"/>
          </w:tcPr>
          <w:p>
            <w:pPr>
              <w:pStyle w:val="12"/>
            </w:pPr>
            <w:r>
              <w:t>767.72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189.72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21201</w:t>
            </w:r>
          </w:p>
        </w:tc>
        <w:tc>
          <w:tcPr>
            <w:tcW w:w="1559" w:type="dxa"/>
            <w:vAlign w:val="center"/>
          </w:tcPr>
          <w:p>
            <w:pPr>
              <w:pStyle w:val="13"/>
            </w:pPr>
            <w:r>
              <w:t>城乡社区管理事务</w:t>
            </w:r>
          </w:p>
        </w:tc>
        <w:tc>
          <w:tcPr>
            <w:tcW w:w="1134" w:type="dxa"/>
            <w:vAlign w:val="center"/>
          </w:tcPr>
          <w:p>
            <w:pPr>
              <w:pStyle w:val="12"/>
            </w:pPr>
            <w:r>
              <w:t>494.33</w:t>
            </w:r>
          </w:p>
        </w:tc>
        <w:tc>
          <w:tcPr>
            <w:tcW w:w="1134" w:type="dxa"/>
            <w:vAlign w:val="center"/>
          </w:tcPr>
          <w:p>
            <w:pPr>
              <w:pStyle w:val="12"/>
            </w:pPr>
            <w:r>
              <w:t>494.33</w:t>
            </w:r>
          </w:p>
        </w:tc>
        <w:tc>
          <w:tcPr>
            <w:tcW w:w="1134" w:type="dxa"/>
            <w:vAlign w:val="center"/>
          </w:tcPr>
          <w:p>
            <w:pPr>
              <w:pStyle w:val="12"/>
            </w:pPr>
            <w:r>
              <w:t>494.33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2120101</w:t>
            </w:r>
          </w:p>
        </w:tc>
        <w:tc>
          <w:tcPr>
            <w:tcW w:w="1559" w:type="dxa"/>
            <w:vAlign w:val="center"/>
          </w:tcPr>
          <w:p>
            <w:pPr>
              <w:pStyle w:val="13"/>
            </w:pPr>
            <w:r>
              <w:t>行政运行</w:t>
            </w:r>
          </w:p>
        </w:tc>
        <w:tc>
          <w:tcPr>
            <w:tcW w:w="1134" w:type="dxa"/>
            <w:vAlign w:val="center"/>
          </w:tcPr>
          <w:p>
            <w:pPr>
              <w:pStyle w:val="12"/>
            </w:pPr>
            <w:r>
              <w:t>410.69</w:t>
            </w:r>
          </w:p>
        </w:tc>
        <w:tc>
          <w:tcPr>
            <w:tcW w:w="1134" w:type="dxa"/>
            <w:vAlign w:val="center"/>
          </w:tcPr>
          <w:p>
            <w:pPr>
              <w:pStyle w:val="12"/>
            </w:pPr>
            <w:r>
              <w:t>410.69</w:t>
            </w:r>
          </w:p>
        </w:tc>
        <w:tc>
          <w:tcPr>
            <w:tcW w:w="1134" w:type="dxa"/>
            <w:vAlign w:val="center"/>
          </w:tcPr>
          <w:p>
            <w:pPr>
              <w:pStyle w:val="12"/>
            </w:pPr>
            <w:r>
              <w:t>410.69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2120102</w:t>
            </w:r>
          </w:p>
        </w:tc>
        <w:tc>
          <w:tcPr>
            <w:tcW w:w="1559" w:type="dxa"/>
            <w:vAlign w:val="center"/>
          </w:tcPr>
          <w:p>
            <w:pPr>
              <w:pStyle w:val="13"/>
            </w:pPr>
            <w:r>
              <w:t>一般行政管理事务</w:t>
            </w:r>
          </w:p>
        </w:tc>
        <w:tc>
          <w:tcPr>
            <w:tcW w:w="1134" w:type="dxa"/>
            <w:vAlign w:val="center"/>
          </w:tcPr>
          <w:p>
            <w:pPr>
              <w:pStyle w:val="12"/>
            </w:pPr>
            <w:r>
              <w:t>8.56</w:t>
            </w:r>
          </w:p>
        </w:tc>
        <w:tc>
          <w:tcPr>
            <w:tcW w:w="1134" w:type="dxa"/>
            <w:vAlign w:val="center"/>
          </w:tcPr>
          <w:p>
            <w:pPr>
              <w:pStyle w:val="12"/>
            </w:pPr>
            <w:r>
              <w:t>8.56</w:t>
            </w:r>
          </w:p>
        </w:tc>
        <w:tc>
          <w:tcPr>
            <w:tcW w:w="1134" w:type="dxa"/>
            <w:vAlign w:val="center"/>
          </w:tcPr>
          <w:p>
            <w:pPr>
              <w:pStyle w:val="12"/>
            </w:pPr>
            <w:r>
              <w:t>8.56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2120109</w:t>
            </w:r>
          </w:p>
        </w:tc>
        <w:tc>
          <w:tcPr>
            <w:tcW w:w="1559" w:type="dxa"/>
            <w:vAlign w:val="center"/>
          </w:tcPr>
          <w:p>
            <w:pPr>
              <w:pStyle w:val="13"/>
            </w:pPr>
            <w:r>
              <w:t>住宅建设与房地产市场监管</w:t>
            </w:r>
          </w:p>
        </w:tc>
        <w:tc>
          <w:tcPr>
            <w:tcW w:w="1134" w:type="dxa"/>
            <w:vAlign w:val="center"/>
          </w:tcPr>
          <w:p>
            <w:pPr>
              <w:pStyle w:val="12"/>
            </w:pPr>
            <w:r>
              <w:t>75.08</w:t>
            </w:r>
          </w:p>
        </w:tc>
        <w:tc>
          <w:tcPr>
            <w:tcW w:w="1134" w:type="dxa"/>
            <w:vAlign w:val="center"/>
          </w:tcPr>
          <w:p>
            <w:pPr>
              <w:pStyle w:val="12"/>
            </w:pPr>
            <w:r>
              <w:t>75.08</w:t>
            </w:r>
          </w:p>
        </w:tc>
        <w:tc>
          <w:tcPr>
            <w:tcW w:w="1134" w:type="dxa"/>
            <w:vAlign w:val="center"/>
          </w:tcPr>
          <w:p>
            <w:pPr>
              <w:pStyle w:val="12"/>
            </w:pPr>
            <w:r>
              <w:t>75.08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21203</w:t>
            </w:r>
          </w:p>
        </w:tc>
        <w:tc>
          <w:tcPr>
            <w:tcW w:w="1559" w:type="dxa"/>
            <w:vAlign w:val="center"/>
          </w:tcPr>
          <w:p>
            <w:pPr>
              <w:pStyle w:val="13"/>
            </w:pPr>
            <w:r>
              <w:t>城乡社区公共设施</w:t>
            </w:r>
          </w:p>
        </w:tc>
        <w:tc>
          <w:tcPr>
            <w:tcW w:w="1134" w:type="dxa"/>
            <w:vAlign w:val="center"/>
          </w:tcPr>
          <w:p>
            <w:pPr>
              <w:pStyle w:val="12"/>
            </w:pPr>
            <w:r>
              <w:t>33.39</w:t>
            </w:r>
          </w:p>
        </w:tc>
        <w:tc>
          <w:tcPr>
            <w:tcW w:w="1134" w:type="dxa"/>
            <w:vAlign w:val="center"/>
          </w:tcPr>
          <w:p>
            <w:pPr>
              <w:pStyle w:val="12"/>
            </w:pPr>
            <w:r>
              <w:t>33.39</w:t>
            </w:r>
          </w:p>
        </w:tc>
        <w:tc>
          <w:tcPr>
            <w:tcW w:w="1134" w:type="dxa"/>
            <w:vAlign w:val="center"/>
          </w:tcPr>
          <w:p>
            <w:pPr>
              <w:pStyle w:val="12"/>
            </w:pPr>
            <w:r>
              <w:t>33.39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2120303</w:t>
            </w:r>
          </w:p>
        </w:tc>
        <w:tc>
          <w:tcPr>
            <w:tcW w:w="1559" w:type="dxa"/>
            <w:vAlign w:val="center"/>
          </w:tcPr>
          <w:p>
            <w:pPr>
              <w:pStyle w:val="13"/>
            </w:pPr>
            <w:r>
              <w:t>小城镇基础设施建设</w:t>
            </w:r>
          </w:p>
        </w:tc>
        <w:tc>
          <w:tcPr>
            <w:tcW w:w="1134" w:type="dxa"/>
            <w:vAlign w:val="center"/>
          </w:tcPr>
          <w:p>
            <w:pPr>
              <w:pStyle w:val="12"/>
            </w:pPr>
            <w:r>
              <w:t>33.39</w:t>
            </w:r>
          </w:p>
        </w:tc>
        <w:tc>
          <w:tcPr>
            <w:tcW w:w="1134" w:type="dxa"/>
            <w:vAlign w:val="center"/>
          </w:tcPr>
          <w:p>
            <w:pPr>
              <w:pStyle w:val="12"/>
            </w:pPr>
            <w:r>
              <w:t>33.39</w:t>
            </w:r>
          </w:p>
        </w:tc>
        <w:tc>
          <w:tcPr>
            <w:tcW w:w="1134" w:type="dxa"/>
            <w:vAlign w:val="center"/>
          </w:tcPr>
          <w:p>
            <w:pPr>
              <w:pStyle w:val="12"/>
            </w:pPr>
            <w:r>
              <w:t>33.39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189.72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189.72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2120810</w:t>
            </w:r>
          </w:p>
        </w:tc>
        <w:tc>
          <w:tcPr>
            <w:tcW w:w="1559" w:type="dxa"/>
            <w:vAlign w:val="center"/>
          </w:tcPr>
          <w:p>
            <w:pPr>
              <w:pStyle w:val="13"/>
            </w:pPr>
            <w:r>
              <w:t>棚户区改造支出</w:t>
            </w:r>
          </w:p>
        </w:tc>
        <w:tc>
          <w:tcPr>
            <w:tcW w:w="1134" w:type="dxa"/>
            <w:vAlign w:val="center"/>
          </w:tcPr>
          <w:p>
            <w:pPr>
              <w:pStyle w:val="12"/>
            </w:pPr>
            <w:r>
              <w:t>189.72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189.72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21213</w:t>
            </w:r>
          </w:p>
        </w:tc>
        <w:tc>
          <w:tcPr>
            <w:tcW w:w="1559" w:type="dxa"/>
            <w:vAlign w:val="center"/>
          </w:tcPr>
          <w:p>
            <w:pPr>
              <w:pStyle w:val="13"/>
            </w:pPr>
            <w:r>
              <w:t>城市基础设施配套费安排的支出</w:t>
            </w:r>
          </w:p>
        </w:tc>
        <w:tc>
          <w:tcPr>
            <w:tcW w:w="1134" w:type="dxa"/>
            <w:vAlign w:val="center"/>
          </w:tcPr>
          <w:p>
            <w:pPr>
              <w:pStyle w:val="12"/>
            </w:pPr>
            <w:r>
              <w:t>240.00</w:t>
            </w:r>
          </w:p>
        </w:tc>
        <w:tc>
          <w:tcPr>
            <w:tcW w:w="1134" w:type="dxa"/>
            <w:vAlign w:val="center"/>
          </w:tcPr>
          <w:p>
            <w:pPr>
              <w:pStyle w:val="12"/>
            </w:pPr>
            <w:r>
              <w:t>240.00</w:t>
            </w:r>
          </w:p>
        </w:tc>
        <w:tc>
          <w:tcPr>
            <w:tcW w:w="1134" w:type="dxa"/>
            <w:vAlign w:val="center"/>
          </w:tcPr>
          <w:p>
            <w:pPr>
              <w:pStyle w:val="12"/>
            </w:pPr>
            <w:r>
              <w:t>240.00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2121301</w:t>
            </w:r>
          </w:p>
        </w:tc>
        <w:tc>
          <w:tcPr>
            <w:tcW w:w="1559" w:type="dxa"/>
            <w:vAlign w:val="center"/>
          </w:tcPr>
          <w:p>
            <w:pPr>
              <w:pStyle w:val="13"/>
            </w:pPr>
            <w:r>
              <w:t>城市公共设施</w:t>
            </w:r>
          </w:p>
        </w:tc>
        <w:tc>
          <w:tcPr>
            <w:tcW w:w="1134" w:type="dxa"/>
            <w:vAlign w:val="center"/>
          </w:tcPr>
          <w:p>
            <w:pPr>
              <w:pStyle w:val="12"/>
            </w:pPr>
            <w:r>
              <w:t>240.00</w:t>
            </w:r>
          </w:p>
        </w:tc>
        <w:tc>
          <w:tcPr>
            <w:tcW w:w="1134" w:type="dxa"/>
            <w:vAlign w:val="center"/>
          </w:tcPr>
          <w:p>
            <w:pPr>
              <w:pStyle w:val="12"/>
            </w:pPr>
            <w:r>
              <w:t>240.00</w:t>
            </w:r>
          </w:p>
        </w:tc>
        <w:tc>
          <w:tcPr>
            <w:tcW w:w="1134" w:type="dxa"/>
            <w:vAlign w:val="center"/>
          </w:tcPr>
          <w:p>
            <w:pPr>
              <w:pStyle w:val="12"/>
            </w:pPr>
            <w:r>
              <w:t>240.00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2130126</w:t>
            </w:r>
          </w:p>
        </w:tc>
        <w:tc>
          <w:tcPr>
            <w:tcW w:w="1559" w:type="dxa"/>
            <w:vAlign w:val="center"/>
          </w:tcPr>
          <w:p>
            <w:pPr>
              <w:pStyle w:val="13"/>
            </w:pPr>
            <w:r>
              <w:t>农村社会事业</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2269.52</w:t>
            </w:r>
          </w:p>
        </w:tc>
        <w:tc>
          <w:tcPr>
            <w:tcW w:w="1134" w:type="dxa"/>
            <w:vAlign w:val="center"/>
          </w:tcPr>
          <w:p>
            <w:pPr>
              <w:pStyle w:val="12"/>
            </w:pPr>
            <w:r>
              <w:t>2269.52</w:t>
            </w:r>
          </w:p>
        </w:tc>
        <w:tc>
          <w:tcPr>
            <w:tcW w:w="1134" w:type="dxa"/>
            <w:vAlign w:val="center"/>
          </w:tcPr>
          <w:p>
            <w:pPr>
              <w:pStyle w:val="12"/>
            </w:pPr>
            <w:r>
              <w:t>2269.52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22101</w:t>
            </w:r>
          </w:p>
        </w:tc>
        <w:tc>
          <w:tcPr>
            <w:tcW w:w="1559" w:type="dxa"/>
            <w:vAlign w:val="center"/>
          </w:tcPr>
          <w:p>
            <w:pPr>
              <w:pStyle w:val="13"/>
            </w:pPr>
            <w:r>
              <w:t>保障性安居工程支出</w:t>
            </w:r>
          </w:p>
        </w:tc>
        <w:tc>
          <w:tcPr>
            <w:tcW w:w="1134" w:type="dxa"/>
            <w:vAlign w:val="center"/>
          </w:tcPr>
          <w:p>
            <w:pPr>
              <w:pStyle w:val="12"/>
            </w:pPr>
            <w:r>
              <w:t>2229.80</w:t>
            </w:r>
          </w:p>
        </w:tc>
        <w:tc>
          <w:tcPr>
            <w:tcW w:w="1134" w:type="dxa"/>
            <w:vAlign w:val="center"/>
          </w:tcPr>
          <w:p>
            <w:pPr>
              <w:pStyle w:val="12"/>
            </w:pPr>
            <w:r>
              <w:t>2229.80</w:t>
            </w:r>
          </w:p>
        </w:tc>
        <w:tc>
          <w:tcPr>
            <w:tcW w:w="1134" w:type="dxa"/>
            <w:vAlign w:val="center"/>
          </w:tcPr>
          <w:p>
            <w:pPr>
              <w:pStyle w:val="12"/>
            </w:pPr>
            <w:r>
              <w:t>2229.80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2210103</w:t>
            </w:r>
          </w:p>
        </w:tc>
        <w:tc>
          <w:tcPr>
            <w:tcW w:w="1559" w:type="dxa"/>
            <w:vAlign w:val="center"/>
          </w:tcPr>
          <w:p>
            <w:pPr>
              <w:pStyle w:val="13"/>
            </w:pPr>
            <w:r>
              <w:t>棚户区改造</w:t>
            </w:r>
          </w:p>
        </w:tc>
        <w:tc>
          <w:tcPr>
            <w:tcW w:w="1134" w:type="dxa"/>
            <w:vAlign w:val="center"/>
          </w:tcPr>
          <w:p>
            <w:pPr>
              <w:pStyle w:val="12"/>
            </w:pPr>
            <w:r>
              <w:t>2226.80</w:t>
            </w:r>
          </w:p>
        </w:tc>
        <w:tc>
          <w:tcPr>
            <w:tcW w:w="1134" w:type="dxa"/>
            <w:vAlign w:val="center"/>
          </w:tcPr>
          <w:p>
            <w:pPr>
              <w:pStyle w:val="12"/>
            </w:pPr>
            <w:r>
              <w:t>2226.80</w:t>
            </w:r>
          </w:p>
        </w:tc>
        <w:tc>
          <w:tcPr>
            <w:tcW w:w="1134" w:type="dxa"/>
            <w:vAlign w:val="center"/>
          </w:tcPr>
          <w:p>
            <w:pPr>
              <w:pStyle w:val="12"/>
            </w:pPr>
            <w:r>
              <w:t>2226.80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2210199</w:t>
            </w:r>
          </w:p>
        </w:tc>
        <w:tc>
          <w:tcPr>
            <w:tcW w:w="1559" w:type="dxa"/>
            <w:vAlign w:val="center"/>
          </w:tcPr>
          <w:p>
            <w:pPr>
              <w:pStyle w:val="13"/>
            </w:pPr>
            <w:r>
              <w:t>其他保障性安居工程支出</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39.72</w:t>
            </w:r>
          </w:p>
        </w:tc>
        <w:tc>
          <w:tcPr>
            <w:tcW w:w="1134" w:type="dxa"/>
            <w:vAlign w:val="center"/>
          </w:tcPr>
          <w:p>
            <w:pPr>
              <w:pStyle w:val="12"/>
            </w:pPr>
            <w:r>
              <w:t>39.72</w:t>
            </w:r>
          </w:p>
        </w:tc>
        <w:tc>
          <w:tcPr>
            <w:tcW w:w="1134" w:type="dxa"/>
            <w:vAlign w:val="center"/>
          </w:tcPr>
          <w:p>
            <w:pPr>
              <w:pStyle w:val="12"/>
            </w:pPr>
            <w:r>
              <w:t>39.72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39.72</w:t>
            </w:r>
          </w:p>
        </w:tc>
        <w:tc>
          <w:tcPr>
            <w:tcW w:w="1134" w:type="dxa"/>
            <w:vAlign w:val="center"/>
          </w:tcPr>
          <w:p>
            <w:pPr>
              <w:pStyle w:val="12"/>
            </w:pPr>
            <w:r>
              <w:t>39.72</w:t>
            </w:r>
          </w:p>
        </w:tc>
        <w:tc>
          <w:tcPr>
            <w:tcW w:w="1134" w:type="dxa"/>
            <w:vAlign w:val="center"/>
          </w:tcPr>
          <w:p>
            <w:pPr>
              <w:pStyle w:val="12"/>
            </w:pPr>
            <w:r>
              <w:t>39.72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8070.14</w:t>
            </w:r>
          </w:p>
        </w:tc>
        <w:tc>
          <w:tcPr>
            <w:tcW w:w="1134" w:type="dxa"/>
            <w:vAlign w:val="center"/>
          </w:tcPr>
          <w:p>
            <w:pPr>
              <w:pStyle w:val="12"/>
            </w:pPr>
            <w:r>
              <w:t>7993.00</w:t>
            </w:r>
          </w:p>
        </w:tc>
        <w:tc>
          <w:tcPr>
            <w:tcW w:w="1134" w:type="dxa"/>
            <w:vAlign w:val="center"/>
          </w:tcPr>
          <w:p>
            <w:pPr>
              <w:pStyle w:val="12"/>
            </w:pPr>
            <w:r>
              <w:t>7993.00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77.14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77.14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77.14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77.14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77.14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22999</w:t>
            </w:r>
          </w:p>
        </w:tc>
        <w:tc>
          <w:tcPr>
            <w:tcW w:w="1559" w:type="dxa"/>
            <w:vAlign w:val="center"/>
          </w:tcPr>
          <w:p>
            <w:pPr>
              <w:pStyle w:val="13"/>
            </w:pPr>
            <w:r>
              <w:t>其他支出</w:t>
            </w:r>
          </w:p>
        </w:tc>
        <w:tc>
          <w:tcPr>
            <w:tcW w:w="1134" w:type="dxa"/>
            <w:vAlign w:val="center"/>
          </w:tcPr>
          <w:p>
            <w:pPr>
              <w:pStyle w:val="12"/>
            </w:pPr>
            <w:r>
              <w:t>7993.00</w:t>
            </w:r>
          </w:p>
        </w:tc>
        <w:tc>
          <w:tcPr>
            <w:tcW w:w="1134" w:type="dxa"/>
            <w:vAlign w:val="center"/>
          </w:tcPr>
          <w:p>
            <w:pPr>
              <w:pStyle w:val="12"/>
            </w:pPr>
            <w:r>
              <w:t>7993.00</w:t>
            </w:r>
          </w:p>
        </w:tc>
        <w:tc>
          <w:tcPr>
            <w:tcW w:w="1134" w:type="dxa"/>
            <w:vAlign w:val="center"/>
          </w:tcPr>
          <w:p>
            <w:pPr>
              <w:pStyle w:val="12"/>
            </w:pPr>
            <w:r>
              <w:t>7993.00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2299999</w:t>
            </w:r>
          </w:p>
        </w:tc>
        <w:tc>
          <w:tcPr>
            <w:tcW w:w="1559" w:type="dxa"/>
            <w:vAlign w:val="center"/>
          </w:tcPr>
          <w:p>
            <w:pPr>
              <w:pStyle w:val="13"/>
            </w:pPr>
            <w:r>
              <w:t>其他支出</w:t>
            </w:r>
          </w:p>
        </w:tc>
        <w:tc>
          <w:tcPr>
            <w:tcW w:w="1134" w:type="dxa"/>
            <w:vAlign w:val="center"/>
          </w:tcPr>
          <w:p>
            <w:pPr>
              <w:pStyle w:val="12"/>
            </w:pPr>
            <w:r>
              <w:t>7993.00</w:t>
            </w:r>
          </w:p>
        </w:tc>
        <w:tc>
          <w:tcPr>
            <w:tcW w:w="1134" w:type="dxa"/>
            <w:vAlign w:val="center"/>
          </w:tcPr>
          <w:p>
            <w:pPr>
              <w:pStyle w:val="12"/>
            </w:pPr>
            <w:r>
              <w:t>7993.00</w:t>
            </w:r>
          </w:p>
        </w:tc>
        <w:tc>
          <w:tcPr>
            <w:tcW w:w="1134" w:type="dxa"/>
            <w:vAlign w:val="center"/>
          </w:tcPr>
          <w:p>
            <w:pPr>
              <w:pStyle w:val="12"/>
            </w:pPr>
            <w:r>
              <w:t>7993.00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333石家庄市井陉矿区住房和城乡建设局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11634.74</w:t>
            </w:r>
          </w:p>
        </w:tc>
        <w:tc>
          <w:tcPr>
            <w:tcW w:w="1361" w:type="dxa"/>
            <w:vAlign w:val="center"/>
          </w:tcPr>
          <w:p>
            <w:pPr>
              <w:pStyle w:val="16"/>
            </w:pPr>
            <w:r>
              <w:t>738.63</w:t>
            </w:r>
          </w:p>
        </w:tc>
        <w:tc>
          <w:tcPr>
            <w:tcW w:w="1361" w:type="dxa"/>
            <w:vAlign w:val="center"/>
          </w:tcPr>
          <w:p>
            <w:pPr>
              <w:pStyle w:val="16"/>
            </w:pPr>
            <w:r>
              <w:t>10896.11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288.06</w:t>
            </w:r>
          </w:p>
        </w:tc>
        <w:tc>
          <w:tcPr>
            <w:tcW w:w="1361" w:type="dxa"/>
            <w:vAlign w:val="center"/>
          </w:tcPr>
          <w:p>
            <w:pPr>
              <w:pStyle w:val="12"/>
            </w:pPr>
            <w:r>
              <w:t>288.06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285.22</w:t>
            </w:r>
          </w:p>
        </w:tc>
        <w:tc>
          <w:tcPr>
            <w:tcW w:w="1361" w:type="dxa"/>
            <w:vAlign w:val="center"/>
          </w:tcPr>
          <w:p>
            <w:pPr>
              <w:pStyle w:val="12"/>
            </w:pPr>
            <w:r>
              <w:t>285.22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218.37</w:t>
            </w:r>
          </w:p>
        </w:tc>
        <w:tc>
          <w:tcPr>
            <w:tcW w:w="1361" w:type="dxa"/>
            <w:vAlign w:val="center"/>
          </w:tcPr>
          <w:p>
            <w:pPr>
              <w:pStyle w:val="12"/>
            </w:pPr>
            <w:r>
              <w:t>218.37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13.76</w:t>
            </w:r>
          </w:p>
        </w:tc>
        <w:tc>
          <w:tcPr>
            <w:tcW w:w="1361" w:type="dxa"/>
            <w:vAlign w:val="center"/>
          </w:tcPr>
          <w:p>
            <w:pPr>
              <w:pStyle w:val="12"/>
            </w:pPr>
            <w:r>
              <w:t>13.76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48.41</w:t>
            </w:r>
          </w:p>
        </w:tc>
        <w:tc>
          <w:tcPr>
            <w:tcW w:w="1361" w:type="dxa"/>
            <w:vAlign w:val="center"/>
          </w:tcPr>
          <w:p>
            <w:pPr>
              <w:pStyle w:val="12"/>
            </w:pPr>
            <w:r>
              <w:t>48.41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4.68</w:t>
            </w:r>
          </w:p>
        </w:tc>
        <w:tc>
          <w:tcPr>
            <w:tcW w:w="1361" w:type="dxa"/>
            <w:vAlign w:val="center"/>
          </w:tcPr>
          <w:p>
            <w:pPr>
              <w:pStyle w:val="12"/>
            </w:pPr>
            <w:r>
              <w:t>4.68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2.84</w:t>
            </w:r>
          </w:p>
        </w:tc>
        <w:tc>
          <w:tcPr>
            <w:tcW w:w="1361" w:type="dxa"/>
            <w:vAlign w:val="center"/>
          </w:tcPr>
          <w:p>
            <w:pPr>
              <w:pStyle w:val="12"/>
            </w:pPr>
            <w:r>
              <w:t>2.84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2.84</w:t>
            </w:r>
          </w:p>
        </w:tc>
        <w:tc>
          <w:tcPr>
            <w:tcW w:w="1361" w:type="dxa"/>
            <w:vAlign w:val="center"/>
          </w:tcPr>
          <w:p>
            <w:pPr>
              <w:pStyle w:val="12"/>
            </w:pPr>
            <w:r>
              <w:t>2.84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47.58</w:t>
            </w:r>
          </w:p>
        </w:tc>
        <w:tc>
          <w:tcPr>
            <w:tcW w:w="1361" w:type="dxa"/>
            <w:vAlign w:val="center"/>
          </w:tcPr>
          <w:p>
            <w:pPr>
              <w:pStyle w:val="12"/>
            </w:pPr>
            <w:r>
              <w:t>33.11</w:t>
            </w:r>
          </w:p>
        </w:tc>
        <w:tc>
          <w:tcPr>
            <w:tcW w:w="1361" w:type="dxa"/>
            <w:vAlign w:val="center"/>
          </w:tcPr>
          <w:p>
            <w:pPr>
              <w:pStyle w:val="12"/>
            </w:pPr>
            <w:r>
              <w:t>14.47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47.58</w:t>
            </w:r>
          </w:p>
        </w:tc>
        <w:tc>
          <w:tcPr>
            <w:tcW w:w="1361" w:type="dxa"/>
            <w:vAlign w:val="center"/>
          </w:tcPr>
          <w:p>
            <w:pPr>
              <w:pStyle w:val="12"/>
            </w:pPr>
            <w:r>
              <w:t>33.11</w:t>
            </w:r>
          </w:p>
        </w:tc>
        <w:tc>
          <w:tcPr>
            <w:tcW w:w="1361" w:type="dxa"/>
            <w:vAlign w:val="center"/>
          </w:tcPr>
          <w:p>
            <w:pPr>
              <w:pStyle w:val="12"/>
            </w:pPr>
            <w:r>
              <w:t>14.47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31.13</w:t>
            </w:r>
          </w:p>
        </w:tc>
        <w:tc>
          <w:tcPr>
            <w:tcW w:w="1361" w:type="dxa"/>
            <w:vAlign w:val="center"/>
          </w:tcPr>
          <w:p>
            <w:pPr>
              <w:pStyle w:val="12"/>
            </w:pPr>
            <w:r>
              <w:t>16.66</w:t>
            </w:r>
          </w:p>
        </w:tc>
        <w:tc>
          <w:tcPr>
            <w:tcW w:w="1361" w:type="dxa"/>
            <w:vAlign w:val="center"/>
          </w:tcPr>
          <w:p>
            <w:pPr>
              <w:pStyle w:val="12"/>
            </w:pPr>
            <w:r>
              <w:t>14.47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4.00</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12.45</w:t>
            </w:r>
          </w:p>
        </w:tc>
        <w:tc>
          <w:tcPr>
            <w:tcW w:w="1361" w:type="dxa"/>
            <w:vAlign w:val="center"/>
          </w:tcPr>
          <w:p>
            <w:pPr>
              <w:pStyle w:val="12"/>
            </w:pPr>
            <w:r>
              <w:t>12.45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957.44</w:t>
            </w:r>
          </w:p>
        </w:tc>
        <w:tc>
          <w:tcPr>
            <w:tcW w:w="1361" w:type="dxa"/>
            <w:vAlign w:val="center"/>
          </w:tcPr>
          <w:p>
            <w:pPr>
              <w:pStyle w:val="12"/>
            </w:pPr>
            <w:r>
              <w:t>377.74</w:t>
            </w:r>
          </w:p>
        </w:tc>
        <w:tc>
          <w:tcPr>
            <w:tcW w:w="1361" w:type="dxa"/>
            <w:vAlign w:val="center"/>
          </w:tcPr>
          <w:p>
            <w:pPr>
              <w:pStyle w:val="12"/>
            </w:pPr>
            <w:r>
              <w:t>579.70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21201</w:t>
            </w:r>
          </w:p>
        </w:tc>
        <w:tc>
          <w:tcPr>
            <w:tcW w:w="4535" w:type="dxa"/>
            <w:vAlign w:val="center"/>
          </w:tcPr>
          <w:p>
            <w:pPr>
              <w:pStyle w:val="13"/>
            </w:pPr>
            <w:r>
              <w:t>城乡社区管理事务</w:t>
            </w:r>
          </w:p>
        </w:tc>
        <w:tc>
          <w:tcPr>
            <w:tcW w:w="1361" w:type="dxa"/>
            <w:vAlign w:val="center"/>
          </w:tcPr>
          <w:p>
            <w:pPr>
              <w:pStyle w:val="12"/>
            </w:pPr>
            <w:r>
              <w:t>494.33</w:t>
            </w:r>
          </w:p>
        </w:tc>
        <w:tc>
          <w:tcPr>
            <w:tcW w:w="1361" w:type="dxa"/>
            <w:vAlign w:val="center"/>
          </w:tcPr>
          <w:p>
            <w:pPr>
              <w:pStyle w:val="12"/>
            </w:pPr>
            <w:r>
              <w:t>377.74</w:t>
            </w:r>
          </w:p>
        </w:tc>
        <w:tc>
          <w:tcPr>
            <w:tcW w:w="1361" w:type="dxa"/>
            <w:vAlign w:val="center"/>
          </w:tcPr>
          <w:p>
            <w:pPr>
              <w:pStyle w:val="12"/>
            </w:pPr>
            <w:r>
              <w:t>116.59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2120101</w:t>
            </w:r>
          </w:p>
        </w:tc>
        <w:tc>
          <w:tcPr>
            <w:tcW w:w="4535" w:type="dxa"/>
            <w:vAlign w:val="center"/>
          </w:tcPr>
          <w:p>
            <w:pPr>
              <w:pStyle w:val="13"/>
            </w:pPr>
            <w:r>
              <w:t>行政运行</w:t>
            </w:r>
          </w:p>
        </w:tc>
        <w:tc>
          <w:tcPr>
            <w:tcW w:w="1361" w:type="dxa"/>
            <w:vAlign w:val="center"/>
          </w:tcPr>
          <w:p>
            <w:pPr>
              <w:pStyle w:val="12"/>
            </w:pPr>
            <w:r>
              <w:t>410.69</w:t>
            </w:r>
          </w:p>
        </w:tc>
        <w:tc>
          <w:tcPr>
            <w:tcW w:w="1361" w:type="dxa"/>
            <w:vAlign w:val="center"/>
          </w:tcPr>
          <w:p>
            <w:pPr>
              <w:pStyle w:val="12"/>
            </w:pPr>
            <w:r>
              <w:t>307.66</w:t>
            </w:r>
          </w:p>
        </w:tc>
        <w:tc>
          <w:tcPr>
            <w:tcW w:w="1361" w:type="dxa"/>
            <w:vAlign w:val="center"/>
          </w:tcPr>
          <w:p>
            <w:pPr>
              <w:pStyle w:val="12"/>
            </w:pPr>
            <w:r>
              <w:t>103.03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2120102</w:t>
            </w:r>
          </w:p>
        </w:tc>
        <w:tc>
          <w:tcPr>
            <w:tcW w:w="4535" w:type="dxa"/>
            <w:vAlign w:val="center"/>
          </w:tcPr>
          <w:p>
            <w:pPr>
              <w:pStyle w:val="13"/>
            </w:pPr>
            <w:r>
              <w:t>一般行政管理事务</w:t>
            </w:r>
          </w:p>
        </w:tc>
        <w:tc>
          <w:tcPr>
            <w:tcW w:w="1361" w:type="dxa"/>
            <w:vAlign w:val="center"/>
          </w:tcPr>
          <w:p>
            <w:pPr>
              <w:pStyle w:val="12"/>
            </w:pPr>
            <w:r>
              <w:t>8.56</w:t>
            </w:r>
          </w:p>
        </w:tc>
        <w:tc>
          <w:tcPr>
            <w:tcW w:w="1361" w:type="dxa"/>
            <w:vAlign w:val="center"/>
          </w:tcPr>
          <w:p>
            <w:pPr>
              <w:pStyle w:val="12"/>
            </w:pPr>
          </w:p>
        </w:tc>
        <w:tc>
          <w:tcPr>
            <w:tcW w:w="1361" w:type="dxa"/>
            <w:vAlign w:val="center"/>
          </w:tcPr>
          <w:p>
            <w:pPr>
              <w:pStyle w:val="12"/>
            </w:pPr>
            <w:r>
              <w:t>8.56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2120109</w:t>
            </w:r>
          </w:p>
        </w:tc>
        <w:tc>
          <w:tcPr>
            <w:tcW w:w="4535" w:type="dxa"/>
            <w:vAlign w:val="center"/>
          </w:tcPr>
          <w:p>
            <w:pPr>
              <w:pStyle w:val="13"/>
            </w:pPr>
            <w:r>
              <w:t>住宅建设与房地产市场监管</w:t>
            </w:r>
          </w:p>
        </w:tc>
        <w:tc>
          <w:tcPr>
            <w:tcW w:w="1361" w:type="dxa"/>
            <w:vAlign w:val="center"/>
          </w:tcPr>
          <w:p>
            <w:pPr>
              <w:pStyle w:val="12"/>
            </w:pPr>
            <w:r>
              <w:t>75.08</w:t>
            </w:r>
          </w:p>
        </w:tc>
        <w:tc>
          <w:tcPr>
            <w:tcW w:w="1361" w:type="dxa"/>
            <w:vAlign w:val="center"/>
          </w:tcPr>
          <w:p>
            <w:pPr>
              <w:pStyle w:val="12"/>
            </w:pPr>
            <w:r>
              <w:t>70.08</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21203</w:t>
            </w:r>
          </w:p>
        </w:tc>
        <w:tc>
          <w:tcPr>
            <w:tcW w:w="4535" w:type="dxa"/>
            <w:vAlign w:val="center"/>
          </w:tcPr>
          <w:p>
            <w:pPr>
              <w:pStyle w:val="13"/>
            </w:pPr>
            <w:r>
              <w:t>城乡社区公共设施</w:t>
            </w:r>
          </w:p>
        </w:tc>
        <w:tc>
          <w:tcPr>
            <w:tcW w:w="1361" w:type="dxa"/>
            <w:vAlign w:val="center"/>
          </w:tcPr>
          <w:p>
            <w:pPr>
              <w:pStyle w:val="12"/>
            </w:pPr>
            <w:r>
              <w:t>33.39</w:t>
            </w:r>
          </w:p>
        </w:tc>
        <w:tc>
          <w:tcPr>
            <w:tcW w:w="1361" w:type="dxa"/>
            <w:vAlign w:val="center"/>
          </w:tcPr>
          <w:p>
            <w:pPr>
              <w:pStyle w:val="12"/>
            </w:pPr>
          </w:p>
        </w:tc>
        <w:tc>
          <w:tcPr>
            <w:tcW w:w="1361" w:type="dxa"/>
            <w:vAlign w:val="center"/>
          </w:tcPr>
          <w:p>
            <w:pPr>
              <w:pStyle w:val="12"/>
            </w:pPr>
            <w:r>
              <w:t>33.39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2120303</w:t>
            </w:r>
          </w:p>
        </w:tc>
        <w:tc>
          <w:tcPr>
            <w:tcW w:w="4535" w:type="dxa"/>
            <w:vAlign w:val="center"/>
          </w:tcPr>
          <w:p>
            <w:pPr>
              <w:pStyle w:val="13"/>
            </w:pPr>
            <w:r>
              <w:t>小城镇基础设施建设</w:t>
            </w:r>
          </w:p>
        </w:tc>
        <w:tc>
          <w:tcPr>
            <w:tcW w:w="1361" w:type="dxa"/>
            <w:vAlign w:val="center"/>
          </w:tcPr>
          <w:p>
            <w:pPr>
              <w:pStyle w:val="12"/>
            </w:pPr>
            <w:r>
              <w:t>33.39</w:t>
            </w:r>
          </w:p>
        </w:tc>
        <w:tc>
          <w:tcPr>
            <w:tcW w:w="1361" w:type="dxa"/>
            <w:vAlign w:val="center"/>
          </w:tcPr>
          <w:p>
            <w:pPr>
              <w:pStyle w:val="12"/>
            </w:pPr>
          </w:p>
        </w:tc>
        <w:tc>
          <w:tcPr>
            <w:tcW w:w="1361" w:type="dxa"/>
            <w:vAlign w:val="center"/>
          </w:tcPr>
          <w:p>
            <w:pPr>
              <w:pStyle w:val="12"/>
            </w:pPr>
            <w:r>
              <w:t>33.39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189.72</w:t>
            </w:r>
          </w:p>
        </w:tc>
        <w:tc>
          <w:tcPr>
            <w:tcW w:w="1361" w:type="dxa"/>
            <w:vAlign w:val="center"/>
          </w:tcPr>
          <w:p>
            <w:pPr>
              <w:pStyle w:val="12"/>
            </w:pPr>
          </w:p>
        </w:tc>
        <w:tc>
          <w:tcPr>
            <w:tcW w:w="1361" w:type="dxa"/>
            <w:vAlign w:val="center"/>
          </w:tcPr>
          <w:p>
            <w:pPr>
              <w:pStyle w:val="12"/>
            </w:pPr>
            <w:r>
              <w:t>189.72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2120810</w:t>
            </w:r>
          </w:p>
        </w:tc>
        <w:tc>
          <w:tcPr>
            <w:tcW w:w="4535" w:type="dxa"/>
            <w:vAlign w:val="center"/>
          </w:tcPr>
          <w:p>
            <w:pPr>
              <w:pStyle w:val="13"/>
            </w:pPr>
            <w:r>
              <w:t>棚户区改造支出</w:t>
            </w:r>
          </w:p>
        </w:tc>
        <w:tc>
          <w:tcPr>
            <w:tcW w:w="1361" w:type="dxa"/>
            <w:vAlign w:val="center"/>
          </w:tcPr>
          <w:p>
            <w:pPr>
              <w:pStyle w:val="12"/>
            </w:pPr>
            <w:r>
              <w:t>189.72</w:t>
            </w:r>
          </w:p>
        </w:tc>
        <w:tc>
          <w:tcPr>
            <w:tcW w:w="1361" w:type="dxa"/>
            <w:vAlign w:val="center"/>
          </w:tcPr>
          <w:p>
            <w:pPr>
              <w:pStyle w:val="12"/>
            </w:pPr>
          </w:p>
        </w:tc>
        <w:tc>
          <w:tcPr>
            <w:tcW w:w="1361" w:type="dxa"/>
            <w:vAlign w:val="center"/>
          </w:tcPr>
          <w:p>
            <w:pPr>
              <w:pStyle w:val="12"/>
            </w:pPr>
            <w:r>
              <w:t>189.72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21213</w:t>
            </w:r>
          </w:p>
        </w:tc>
        <w:tc>
          <w:tcPr>
            <w:tcW w:w="4535" w:type="dxa"/>
            <w:vAlign w:val="center"/>
          </w:tcPr>
          <w:p>
            <w:pPr>
              <w:pStyle w:val="13"/>
            </w:pPr>
            <w:r>
              <w:t>城市基础设施配套费安排的支出</w:t>
            </w:r>
          </w:p>
        </w:tc>
        <w:tc>
          <w:tcPr>
            <w:tcW w:w="1361" w:type="dxa"/>
            <w:vAlign w:val="center"/>
          </w:tcPr>
          <w:p>
            <w:pPr>
              <w:pStyle w:val="12"/>
            </w:pPr>
            <w:r>
              <w:t>240.00</w:t>
            </w:r>
          </w:p>
        </w:tc>
        <w:tc>
          <w:tcPr>
            <w:tcW w:w="1361" w:type="dxa"/>
            <w:vAlign w:val="center"/>
          </w:tcPr>
          <w:p>
            <w:pPr>
              <w:pStyle w:val="12"/>
            </w:pPr>
          </w:p>
        </w:tc>
        <w:tc>
          <w:tcPr>
            <w:tcW w:w="1361" w:type="dxa"/>
            <w:vAlign w:val="center"/>
          </w:tcPr>
          <w:p>
            <w:pPr>
              <w:pStyle w:val="12"/>
            </w:pPr>
            <w:r>
              <w:t>240.00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2121301</w:t>
            </w:r>
          </w:p>
        </w:tc>
        <w:tc>
          <w:tcPr>
            <w:tcW w:w="4535" w:type="dxa"/>
            <w:vAlign w:val="center"/>
          </w:tcPr>
          <w:p>
            <w:pPr>
              <w:pStyle w:val="13"/>
            </w:pPr>
            <w:r>
              <w:t>城市公共设施</w:t>
            </w:r>
          </w:p>
        </w:tc>
        <w:tc>
          <w:tcPr>
            <w:tcW w:w="1361" w:type="dxa"/>
            <w:vAlign w:val="center"/>
          </w:tcPr>
          <w:p>
            <w:pPr>
              <w:pStyle w:val="12"/>
            </w:pPr>
            <w:r>
              <w:t>240.00</w:t>
            </w:r>
          </w:p>
        </w:tc>
        <w:tc>
          <w:tcPr>
            <w:tcW w:w="1361" w:type="dxa"/>
            <w:vAlign w:val="center"/>
          </w:tcPr>
          <w:p>
            <w:pPr>
              <w:pStyle w:val="12"/>
            </w:pPr>
          </w:p>
        </w:tc>
        <w:tc>
          <w:tcPr>
            <w:tcW w:w="1361" w:type="dxa"/>
            <w:vAlign w:val="center"/>
          </w:tcPr>
          <w:p>
            <w:pPr>
              <w:pStyle w:val="12"/>
            </w:pPr>
            <w:r>
              <w:t>240.00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2130126</w:t>
            </w:r>
          </w:p>
        </w:tc>
        <w:tc>
          <w:tcPr>
            <w:tcW w:w="4535" w:type="dxa"/>
            <w:vAlign w:val="center"/>
          </w:tcPr>
          <w:p>
            <w:pPr>
              <w:pStyle w:val="13"/>
            </w:pPr>
            <w:r>
              <w:t>农村社会事业</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2269.52</w:t>
            </w:r>
          </w:p>
        </w:tc>
        <w:tc>
          <w:tcPr>
            <w:tcW w:w="1361" w:type="dxa"/>
            <w:vAlign w:val="center"/>
          </w:tcPr>
          <w:p>
            <w:pPr>
              <w:pStyle w:val="12"/>
            </w:pPr>
            <w:r>
              <w:t>39.72</w:t>
            </w:r>
          </w:p>
        </w:tc>
        <w:tc>
          <w:tcPr>
            <w:tcW w:w="1361" w:type="dxa"/>
            <w:vAlign w:val="center"/>
          </w:tcPr>
          <w:p>
            <w:pPr>
              <w:pStyle w:val="12"/>
            </w:pPr>
            <w:r>
              <w:t>2229.80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22101</w:t>
            </w:r>
          </w:p>
        </w:tc>
        <w:tc>
          <w:tcPr>
            <w:tcW w:w="4535" w:type="dxa"/>
            <w:vAlign w:val="center"/>
          </w:tcPr>
          <w:p>
            <w:pPr>
              <w:pStyle w:val="13"/>
            </w:pPr>
            <w:r>
              <w:t>保障性安居工程支出</w:t>
            </w:r>
          </w:p>
        </w:tc>
        <w:tc>
          <w:tcPr>
            <w:tcW w:w="1361" w:type="dxa"/>
            <w:vAlign w:val="center"/>
          </w:tcPr>
          <w:p>
            <w:pPr>
              <w:pStyle w:val="12"/>
            </w:pPr>
            <w:r>
              <w:t>2229.80</w:t>
            </w:r>
          </w:p>
        </w:tc>
        <w:tc>
          <w:tcPr>
            <w:tcW w:w="1361" w:type="dxa"/>
            <w:vAlign w:val="center"/>
          </w:tcPr>
          <w:p>
            <w:pPr>
              <w:pStyle w:val="12"/>
            </w:pPr>
          </w:p>
        </w:tc>
        <w:tc>
          <w:tcPr>
            <w:tcW w:w="1361" w:type="dxa"/>
            <w:vAlign w:val="center"/>
          </w:tcPr>
          <w:p>
            <w:pPr>
              <w:pStyle w:val="12"/>
            </w:pPr>
            <w:r>
              <w:t>2229.80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2210103</w:t>
            </w:r>
          </w:p>
        </w:tc>
        <w:tc>
          <w:tcPr>
            <w:tcW w:w="4535" w:type="dxa"/>
            <w:vAlign w:val="center"/>
          </w:tcPr>
          <w:p>
            <w:pPr>
              <w:pStyle w:val="13"/>
            </w:pPr>
            <w:r>
              <w:t>棚户区改造</w:t>
            </w:r>
          </w:p>
        </w:tc>
        <w:tc>
          <w:tcPr>
            <w:tcW w:w="1361" w:type="dxa"/>
            <w:vAlign w:val="center"/>
          </w:tcPr>
          <w:p>
            <w:pPr>
              <w:pStyle w:val="12"/>
            </w:pPr>
            <w:r>
              <w:t>2226.80</w:t>
            </w:r>
          </w:p>
        </w:tc>
        <w:tc>
          <w:tcPr>
            <w:tcW w:w="1361" w:type="dxa"/>
            <w:vAlign w:val="center"/>
          </w:tcPr>
          <w:p>
            <w:pPr>
              <w:pStyle w:val="12"/>
            </w:pPr>
          </w:p>
        </w:tc>
        <w:tc>
          <w:tcPr>
            <w:tcW w:w="1361" w:type="dxa"/>
            <w:vAlign w:val="center"/>
          </w:tcPr>
          <w:p>
            <w:pPr>
              <w:pStyle w:val="12"/>
            </w:pPr>
            <w:r>
              <w:t>2226.80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2210199</w:t>
            </w:r>
          </w:p>
        </w:tc>
        <w:tc>
          <w:tcPr>
            <w:tcW w:w="4535" w:type="dxa"/>
            <w:vAlign w:val="center"/>
          </w:tcPr>
          <w:p>
            <w:pPr>
              <w:pStyle w:val="13"/>
            </w:pPr>
            <w:r>
              <w:t>其他保障性安居工程支出</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39.72</w:t>
            </w:r>
          </w:p>
        </w:tc>
        <w:tc>
          <w:tcPr>
            <w:tcW w:w="1361" w:type="dxa"/>
            <w:vAlign w:val="center"/>
          </w:tcPr>
          <w:p>
            <w:pPr>
              <w:pStyle w:val="12"/>
            </w:pPr>
            <w:r>
              <w:t>39.72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39.72</w:t>
            </w:r>
          </w:p>
        </w:tc>
        <w:tc>
          <w:tcPr>
            <w:tcW w:w="1361" w:type="dxa"/>
            <w:vAlign w:val="center"/>
          </w:tcPr>
          <w:p>
            <w:pPr>
              <w:pStyle w:val="12"/>
            </w:pPr>
            <w:r>
              <w:t>39.72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8070.14</w:t>
            </w:r>
          </w:p>
        </w:tc>
        <w:tc>
          <w:tcPr>
            <w:tcW w:w="1361" w:type="dxa"/>
            <w:vAlign w:val="center"/>
          </w:tcPr>
          <w:p>
            <w:pPr>
              <w:pStyle w:val="12"/>
            </w:pPr>
          </w:p>
        </w:tc>
        <w:tc>
          <w:tcPr>
            <w:tcW w:w="1361" w:type="dxa"/>
            <w:vAlign w:val="center"/>
          </w:tcPr>
          <w:p>
            <w:pPr>
              <w:pStyle w:val="12"/>
            </w:pPr>
            <w:r>
              <w:t>8070.14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77.14</w:t>
            </w:r>
          </w:p>
        </w:tc>
        <w:tc>
          <w:tcPr>
            <w:tcW w:w="1361" w:type="dxa"/>
            <w:vAlign w:val="center"/>
          </w:tcPr>
          <w:p>
            <w:pPr>
              <w:pStyle w:val="12"/>
            </w:pPr>
          </w:p>
        </w:tc>
        <w:tc>
          <w:tcPr>
            <w:tcW w:w="1361" w:type="dxa"/>
            <w:vAlign w:val="center"/>
          </w:tcPr>
          <w:p>
            <w:pPr>
              <w:pStyle w:val="12"/>
            </w:pPr>
            <w:r>
              <w:t>77.14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77.14</w:t>
            </w:r>
          </w:p>
        </w:tc>
        <w:tc>
          <w:tcPr>
            <w:tcW w:w="1361" w:type="dxa"/>
            <w:vAlign w:val="center"/>
          </w:tcPr>
          <w:p>
            <w:pPr>
              <w:pStyle w:val="12"/>
            </w:pPr>
          </w:p>
        </w:tc>
        <w:tc>
          <w:tcPr>
            <w:tcW w:w="1361" w:type="dxa"/>
            <w:vAlign w:val="center"/>
          </w:tcPr>
          <w:p>
            <w:pPr>
              <w:pStyle w:val="12"/>
            </w:pPr>
            <w:r>
              <w:t>77.14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22999</w:t>
            </w:r>
          </w:p>
        </w:tc>
        <w:tc>
          <w:tcPr>
            <w:tcW w:w="4535" w:type="dxa"/>
            <w:vAlign w:val="center"/>
          </w:tcPr>
          <w:p>
            <w:pPr>
              <w:pStyle w:val="13"/>
            </w:pPr>
            <w:r>
              <w:t>其他支出</w:t>
            </w:r>
          </w:p>
        </w:tc>
        <w:tc>
          <w:tcPr>
            <w:tcW w:w="1361" w:type="dxa"/>
            <w:vAlign w:val="center"/>
          </w:tcPr>
          <w:p>
            <w:pPr>
              <w:pStyle w:val="12"/>
            </w:pPr>
            <w:r>
              <w:t>7993.00</w:t>
            </w:r>
          </w:p>
        </w:tc>
        <w:tc>
          <w:tcPr>
            <w:tcW w:w="1361" w:type="dxa"/>
            <w:vAlign w:val="center"/>
          </w:tcPr>
          <w:p>
            <w:pPr>
              <w:pStyle w:val="12"/>
            </w:pPr>
          </w:p>
        </w:tc>
        <w:tc>
          <w:tcPr>
            <w:tcW w:w="1361" w:type="dxa"/>
            <w:vAlign w:val="center"/>
          </w:tcPr>
          <w:p>
            <w:pPr>
              <w:pStyle w:val="12"/>
            </w:pPr>
            <w:r>
              <w:t>7993.00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2299999</w:t>
            </w:r>
          </w:p>
        </w:tc>
        <w:tc>
          <w:tcPr>
            <w:tcW w:w="4535" w:type="dxa"/>
            <w:vAlign w:val="center"/>
          </w:tcPr>
          <w:p>
            <w:pPr>
              <w:pStyle w:val="13"/>
            </w:pPr>
            <w:r>
              <w:t>其他支出</w:t>
            </w:r>
          </w:p>
        </w:tc>
        <w:tc>
          <w:tcPr>
            <w:tcW w:w="1361" w:type="dxa"/>
            <w:vAlign w:val="center"/>
          </w:tcPr>
          <w:p>
            <w:pPr>
              <w:pStyle w:val="12"/>
            </w:pPr>
            <w:r>
              <w:t>7993.00</w:t>
            </w:r>
          </w:p>
        </w:tc>
        <w:tc>
          <w:tcPr>
            <w:tcW w:w="1361" w:type="dxa"/>
            <w:vAlign w:val="center"/>
          </w:tcPr>
          <w:p>
            <w:pPr>
              <w:pStyle w:val="12"/>
            </w:pPr>
          </w:p>
        </w:tc>
        <w:tc>
          <w:tcPr>
            <w:tcW w:w="1361" w:type="dxa"/>
            <w:vAlign w:val="center"/>
          </w:tcPr>
          <w:p>
            <w:pPr>
              <w:pStyle w:val="12"/>
            </w:pPr>
            <w:r>
              <w:t>7993.00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333石家庄市井陉矿区住房和城乡建设局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11127.88</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240.00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288.06</w:t>
            </w:r>
          </w:p>
        </w:tc>
        <w:tc>
          <w:tcPr>
            <w:tcW w:w="1474" w:type="dxa"/>
            <w:vAlign w:val="center"/>
          </w:tcPr>
          <w:p>
            <w:pPr>
              <w:pStyle w:val="12"/>
            </w:pPr>
            <w:r>
              <w:t>288.06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47.58</w:t>
            </w:r>
          </w:p>
        </w:tc>
        <w:tc>
          <w:tcPr>
            <w:tcW w:w="1474" w:type="dxa"/>
            <w:vAlign w:val="center"/>
          </w:tcPr>
          <w:p>
            <w:pPr>
              <w:pStyle w:val="12"/>
            </w:pPr>
            <w:r>
              <w:t>47.58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957.44</w:t>
            </w:r>
          </w:p>
        </w:tc>
        <w:tc>
          <w:tcPr>
            <w:tcW w:w="1474" w:type="dxa"/>
            <w:vAlign w:val="center"/>
          </w:tcPr>
          <w:p>
            <w:pPr>
              <w:pStyle w:val="12"/>
            </w:pPr>
            <w:r>
              <w:t>527.72</w:t>
            </w:r>
          </w:p>
        </w:tc>
        <w:tc>
          <w:tcPr>
            <w:tcW w:w="1474" w:type="dxa"/>
            <w:vAlign w:val="center"/>
          </w:tcPr>
          <w:p>
            <w:pPr>
              <w:pStyle w:val="12"/>
            </w:pPr>
            <w:r>
              <w:t>429.72</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2.00</w:t>
            </w:r>
          </w:p>
        </w:tc>
        <w:tc>
          <w:tcPr>
            <w:tcW w:w="1474" w:type="dxa"/>
            <w:vAlign w:val="center"/>
          </w:tcPr>
          <w:p>
            <w:pPr>
              <w:pStyle w:val="12"/>
            </w:pPr>
            <w:r>
              <w:t>2.00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2269.52</w:t>
            </w:r>
          </w:p>
        </w:tc>
        <w:tc>
          <w:tcPr>
            <w:tcW w:w="1474" w:type="dxa"/>
            <w:vAlign w:val="center"/>
          </w:tcPr>
          <w:p>
            <w:pPr>
              <w:pStyle w:val="12"/>
            </w:pPr>
            <w:r>
              <w:t>2269.52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8070.14</w:t>
            </w:r>
          </w:p>
        </w:tc>
        <w:tc>
          <w:tcPr>
            <w:tcW w:w="1474" w:type="dxa"/>
            <w:vAlign w:val="center"/>
          </w:tcPr>
          <w:p>
            <w:pPr>
              <w:pStyle w:val="12"/>
            </w:pPr>
            <w:r>
              <w:t>7993.00</w:t>
            </w:r>
          </w:p>
        </w:tc>
        <w:tc>
          <w:tcPr>
            <w:tcW w:w="1474" w:type="dxa"/>
            <w:vAlign w:val="center"/>
          </w:tcPr>
          <w:p>
            <w:pPr>
              <w:pStyle w:val="12"/>
            </w:pPr>
            <w:r>
              <w:t>77.14</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11367.88</w:t>
            </w:r>
          </w:p>
        </w:tc>
        <w:tc>
          <w:tcPr>
            <w:tcW w:w="3402" w:type="dxa"/>
            <w:vAlign w:val="center"/>
          </w:tcPr>
          <w:p>
            <w:pPr>
              <w:pStyle w:val="15"/>
            </w:pPr>
            <w:r>
              <w:t>本年支出合计</w:t>
            </w:r>
          </w:p>
        </w:tc>
        <w:tc>
          <w:tcPr>
            <w:tcW w:w="1474" w:type="dxa"/>
            <w:vAlign w:val="center"/>
          </w:tcPr>
          <w:p>
            <w:pPr>
              <w:pStyle w:val="16"/>
            </w:pPr>
            <w:r>
              <w:t>11634.74</w:t>
            </w:r>
          </w:p>
        </w:tc>
        <w:tc>
          <w:tcPr>
            <w:tcW w:w="1474" w:type="dxa"/>
            <w:vAlign w:val="center"/>
          </w:tcPr>
          <w:p>
            <w:pPr>
              <w:pStyle w:val="16"/>
            </w:pPr>
            <w:r>
              <w:t>11127.88</w:t>
            </w:r>
          </w:p>
        </w:tc>
        <w:tc>
          <w:tcPr>
            <w:tcW w:w="1474" w:type="dxa"/>
            <w:vAlign w:val="center"/>
          </w:tcPr>
          <w:p>
            <w:pPr>
              <w:pStyle w:val="16"/>
            </w:pPr>
            <w:r>
              <w:t>506.86</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266.86</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266.86</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11634.74</w:t>
            </w:r>
          </w:p>
        </w:tc>
        <w:tc>
          <w:tcPr>
            <w:tcW w:w="3402" w:type="dxa"/>
            <w:vAlign w:val="center"/>
          </w:tcPr>
          <w:p>
            <w:pPr>
              <w:pStyle w:val="15"/>
            </w:pPr>
            <w:r>
              <w:t>支出总计</w:t>
            </w:r>
          </w:p>
        </w:tc>
        <w:tc>
          <w:tcPr>
            <w:tcW w:w="1474" w:type="dxa"/>
            <w:vAlign w:val="center"/>
          </w:tcPr>
          <w:p>
            <w:pPr>
              <w:pStyle w:val="16"/>
            </w:pPr>
            <w:r>
              <w:t>11634.74</w:t>
            </w:r>
          </w:p>
        </w:tc>
        <w:tc>
          <w:tcPr>
            <w:tcW w:w="1474" w:type="dxa"/>
            <w:vAlign w:val="center"/>
          </w:tcPr>
          <w:p>
            <w:pPr>
              <w:pStyle w:val="16"/>
            </w:pPr>
            <w:r>
              <w:t>11127.88</w:t>
            </w:r>
          </w:p>
        </w:tc>
        <w:tc>
          <w:tcPr>
            <w:tcW w:w="1474" w:type="dxa"/>
            <w:vAlign w:val="center"/>
          </w:tcPr>
          <w:p>
            <w:pPr>
              <w:pStyle w:val="16"/>
            </w:pPr>
            <w:r>
              <w:t>506.86</w:t>
            </w: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333石家庄市井陉矿区住房和城乡建设局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11127.88</w:t>
            </w:r>
          </w:p>
        </w:tc>
        <w:tc>
          <w:tcPr>
            <w:tcW w:w="2551" w:type="dxa"/>
            <w:vAlign w:val="center"/>
          </w:tcPr>
          <w:p>
            <w:pPr>
              <w:pStyle w:val="16"/>
            </w:pPr>
            <w:r>
              <w:t>738.63</w:t>
            </w:r>
          </w:p>
        </w:tc>
        <w:tc>
          <w:tcPr>
            <w:tcW w:w="2551" w:type="dxa"/>
            <w:vAlign w:val="center"/>
          </w:tcPr>
          <w:p>
            <w:pPr>
              <w:pStyle w:val="16"/>
            </w:pPr>
            <w:r>
              <w:t>10389.25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288.06</w:t>
            </w:r>
          </w:p>
        </w:tc>
        <w:tc>
          <w:tcPr>
            <w:tcW w:w="2551" w:type="dxa"/>
            <w:vAlign w:val="center"/>
          </w:tcPr>
          <w:p>
            <w:pPr>
              <w:pStyle w:val="12"/>
            </w:pPr>
            <w:r>
              <w:t>288.06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285.22</w:t>
            </w:r>
          </w:p>
        </w:tc>
        <w:tc>
          <w:tcPr>
            <w:tcW w:w="2551" w:type="dxa"/>
            <w:vAlign w:val="center"/>
          </w:tcPr>
          <w:p>
            <w:pPr>
              <w:pStyle w:val="12"/>
            </w:pPr>
            <w:r>
              <w:t>285.22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218.37</w:t>
            </w:r>
          </w:p>
        </w:tc>
        <w:tc>
          <w:tcPr>
            <w:tcW w:w="2551" w:type="dxa"/>
            <w:vAlign w:val="center"/>
          </w:tcPr>
          <w:p>
            <w:pPr>
              <w:pStyle w:val="12"/>
            </w:pPr>
            <w:r>
              <w:t>218.37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13.76</w:t>
            </w:r>
          </w:p>
        </w:tc>
        <w:tc>
          <w:tcPr>
            <w:tcW w:w="2551" w:type="dxa"/>
            <w:vAlign w:val="center"/>
          </w:tcPr>
          <w:p>
            <w:pPr>
              <w:pStyle w:val="12"/>
            </w:pPr>
            <w:r>
              <w:t>13.76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48.41</w:t>
            </w:r>
          </w:p>
        </w:tc>
        <w:tc>
          <w:tcPr>
            <w:tcW w:w="2551" w:type="dxa"/>
            <w:vAlign w:val="center"/>
          </w:tcPr>
          <w:p>
            <w:pPr>
              <w:pStyle w:val="12"/>
            </w:pPr>
            <w:r>
              <w:t>48.41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4.68</w:t>
            </w:r>
          </w:p>
        </w:tc>
        <w:tc>
          <w:tcPr>
            <w:tcW w:w="2551" w:type="dxa"/>
            <w:vAlign w:val="center"/>
          </w:tcPr>
          <w:p>
            <w:pPr>
              <w:pStyle w:val="12"/>
            </w:pPr>
            <w:r>
              <w:t>4.68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2.84</w:t>
            </w:r>
          </w:p>
        </w:tc>
        <w:tc>
          <w:tcPr>
            <w:tcW w:w="2551" w:type="dxa"/>
            <w:vAlign w:val="center"/>
          </w:tcPr>
          <w:p>
            <w:pPr>
              <w:pStyle w:val="12"/>
            </w:pPr>
            <w:r>
              <w:t>2.84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2.84</w:t>
            </w:r>
          </w:p>
        </w:tc>
        <w:tc>
          <w:tcPr>
            <w:tcW w:w="2551" w:type="dxa"/>
            <w:vAlign w:val="center"/>
          </w:tcPr>
          <w:p>
            <w:pPr>
              <w:pStyle w:val="12"/>
            </w:pPr>
            <w:r>
              <w:t>2.84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47.58</w:t>
            </w:r>
          </w:p>
        </w:tc>
        <w:tc>
          <w:tcPr>
            <w:tcW w:w="2551" w:type="dxa"/>
            <w:vAlign w:val="center"/>
          </w:tcPr>
          <w:p>
            <w:pPr>
              <w:pStyle w:val="12"/>
            </w:pPr>
            <w:r>
              <w:t>33.11</w:t>
            </w:r>
          </w:p>
        </w:tc>
        <w:tc>
          <w:tcPr>
            <w:tcW w:w="2551" w:type="dxa"/>
            <w:vAlign w:val="center"/>
          </w:tcPr>
          <w:p>
            <w:pPr>
              <w:pStyle w:val="12"/>
            </w:pPr>
            <w:r>
              <w:t>14.47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47.58</w:t>
            </w:r>
          </w:p>
        </w:tc>
        <w:tc>
          <w:tcPr>
            <w:tcW w:w="2551" w:type="dxa"/>
            <w:vAlign w:val="center"/>
          </w:tcPr>
          <w:p>
            <w:pPr>
              <w:pStyle w:val="12"/>
            </w:pPr>
            <w:r>
              <w:t>33.11</w:t>
            </w:r>
          </w:p>
        </w:tc>
        <w:tc>
          <w:tcPr>
            <w:tcW w:w="2551" w:type="dxa"/>
            <w:vAlign w:val="center"/>
          </w:tcPr>
          <w:p>
            <w:pPr>
              <w:pStyle w:val="12"/>
            </w:pPr>
            <w:r>
              <w:t>14.47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31.13</w:t>
            </w:r>
          </w:p>
        </w:tc>
        <w:tc>
          <w:tcPr>
            <w:tcW w:w="2551" w:type="dxa"/>
            <w:vAlign w:val="center"/>
          </w:tcPr>
          <w:p>
            <w:pPr>
              <w:pStyle w:val="12"/>
            </w:pPr>
            <w:r>
              <w:t>16.66</w:t>
            </w:r>
          </w:p>
        </w:tc>
        <w:tc>
          <w:tcPr>
            <w:tcW w:w="2551" w:type="dxa"/>
            <w:vAlign w:val="center"/>
          </w:tcPr>
          <w:p>
            <w:pPr>
              <w:pStyle w:val="12"/>
            </w:pPr>
            <w:r>
              <w:t>14.47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4.00</w:t>
            </w:r>
          </w:p>
        </w:tc>
        <w:tc>
          <w:tcPr>
            <w:tcW w:w="2551" w:type="dxa"/>
            <w:vAlign w:val="center"/>
          </w:tcPr>
          <w:p>
            <w:pPr>
              <w:pStyle w:val="12"/>
            </w:pPr>
            <w:r>
              <w:t>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12.45</w:t>
            </w:r>
          </w:p>
        </w:tc>
        <w:tc>
          <w:tcPr>
            <w:tcW w:w="2551" w:type="dxa"/>
            <w:vAlign w:val="center"/>
          </w:tcPr>
          <w:p>
            <w:pPr>
              <w:pStyle w:val="12"/>
            </w:pPr>
            <w:r>
              <w:t>12.45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527.72</w:t>
            </w:r>
          </w:p>
        </w:tc>
        <w:tc>
          <w:tcPr>
            <w:tcW w:w="2551" w:type="dxa"/>
            <w:vAlign w:val="center"/>
          </w:tcPr>
          <w:p>
            <w:pPr>
              <w:pStyle w:val="12"/>
            </w:pPr>
            <w:r>
              <w:t>377.74</w:t>
            </w:r>
          </w:p>
        </w:tc>
        <w:tc>
          <w:tcPr>
            <w:tcW w:w="2551" w:type="dxa"/>
            <w:vAlign w:val="center"/>
          </w:tcPr>
          <w:p>
            <w:pPr>
              <w:pStyle w:val="12"/>
            </w:pPr>
            <w:r>
              <w:t>149.98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21201</w:t>
            </w:r>
          </w:p>
        </w:tc>
        <w:tc>
          <w:tcPr>
            <w:tcW w:w="4535" w:type="dxa"/>
            <w:vAlign w:val="center"/>
          </w:tcPr>
          <w:p>
            <w:pPr>
              <w:pStyle w:val="13"/>
            </w:pPr>
            <w:r>
              <w:t>城乡社区管理事务</w:t>
            </w:r>
          </w:p>
        </w:tc>
        <w:tc>
          <w:tcPr>
            <w:tcW w:w="2551" w:type="dxa"/>
            <w:vAlign w:val="center"/>
          </w:tcPr>
          <w:p>
            <w:pPr>
              <w:pStyle w:val="12"/>
            </w:pPr>
            <w:r>
              <w:t>494.33</w:t>
            </w:r>
          </w:p>
        </w:tc>
        <w:tc>
          <w:tcPr>
            <w:tcW w:w="2551" w:type="dxa"/>
            <w:vAlign w:val="center"/>
          </w:tcPr>
          <w:p>
            <w:pPr>
              <w:pStyle w:val="12"/>
            </w:pPr>
            <w:r>
              <w:t>377.74</w:t>
            </w:r>
          </w:p>
        </w:tc>
        <w:tc>
          <w:tcPr>
            <w:tcW w:w="2551" w:type="dxa"/>
            <w:vAlign w:val="center"/>
          </w:tcPr>
          <w:p>
            <w:pPr>
              <w:pStyle w:val="12"/>
            </w:pPr>
            <w:r>
              <w:t>116.59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2120101</w:t>
            </w:r>
          </w:p>
        </w:tc>
        <w:tc>
          <w:tcPr>
            <w:tcW w:w="4535" w:type="dxa"/>
            <w:vAlign w:val="center"/>
          </w:tcPr>
          <w:p>
            <w:pPr>
              <w:pStyle w:val="13"/>
            </w:pPr>
            <w:r>
              <w:t>行政运行</w:t>
            </w:r>
          </w:p>
        </w:tc>
        <w:tc>
          <w:tcPr>
            <w:tcW w:w="2551" w:type="dxa"/>
            <w:vAlign w:val="center"/>
          </w:tcPr>
          <w:p>
            <w:pPr>
              <w:pStyle w:val="12"/>
            </w:pPr>
            <w:r>
              <w:t>410.69</w:t>
            </w:r>
          </w:p>
        </w:tc>
        <w:tc>
          <w:tcPr>
            <w:tcW w:w="2551" w:type="dxa"/>
            <w:vAlign w:val="center"/>
          </w:tcPr>
          <w:p>
            <w:pPr>
              <w:pStyle w:val="12"/>
            </w:pPr>
            <w:r>
              <w:t>307.66</w:t>
            </w:r>
          </w:p>
        </w:tc>
        <w:tc>
          <w:tcPr>
            <w:tcW w:w="2551" w:type="dxa"/>
            <w:vAlign w:val="center"/>
          </w:tcPr>
          <w:p>
            <w:pPr>
              <w:pStyle w:val="12"/>
            </w:pPr>
            <w:r>
              <w:t>103.03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2120102</w:t>
            </w:r>
          </w:p>
        </w:tc>
        <w:tc>
          <w:tcPr>
            <w:tcW w:w="4535" w:type="dxa"/>
            <w:vAlign w:val="center"/>
          </w:tcPr>
          <w:p>
            <w:pPr>
              <w:pStyle w:val="13"/>
            </w:pPr>
            <w:r>
              <w:t>一般行政管理事务</w:t>
            </w:r>
          </w:p>
        </w:tc>
        <w:tc>
          <w:tcPr>
            <w:tcW w:w="2551" w:type="dxa"/>
            <w:vAlign w:val="center"/>
          </w:tcPr>
          <w:p>
            <w:pPr>
              <w:pStyle w:val="12"/>
            </w:pPr>
            <w:r>
              <w:t>8.56</w:t>
            </w:r>
          </w:p>
        </w:tc>
        <w:tc>
          <w:tcPr>
            <w:tcW w:w="2551" w:type="dxa"/>
            <w:vAlign w:val="center"/>
          </w:tcPr>
          <w:p>
            <w:pPr>
              <w:pStyle w:val="12"/>
            </w:pPr>
          </w:p>
        </w:tc>
        <w:tc>
          <w:tcPr>
            <w:tcW w:w="2551" w:type="dxa"/>
            <w:vAlign w:val="center"/>
          </w:tcPr>
          <w:p>
            <w:pPr>
              <w:pStyle w:val="12"/>
            </w:pPr>
            <w:r>
              <w:t>8.56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2120109</w:t>
            </w:r>
          </w:p>
        </w:tc>
        <w:tc>
          <w:tcPr>
            <w:tcW w:w="4535" w:type="dxa"/>
            <w:vAlign w:val="center"/>
          </w:tcPr>
          <w:p>
            <w:pPr>
              <w:pStyle w:val="13"/>
            </w:pPr>
            <w:r>
              <w:t>住宅建设与房地产市场监管</w:t>
            </w:r>
          </w:p>
        </w:tc>
        <w:tc>
          <w:tcPr>
            <w:tcW w:w="2551" w:type="dxa"/>
            <w:vAlign w:val="center"/>
          </w:tcPr>
          <w:p>
            <w:pPr>
              <w:pStyle w:val="12"/>
            </w:pPr>
            <w:r>
              <w:t>75.08</w:t>
            </w:r>
          </w:p>
        </w:tc>
        <w:tc>
          <w:tcPr>
            <w:tcW w:w="2551" w:type="dxa"/>
            <w:vAlign w:val="center"/>
          </w:tcPr>
          <w:p>
            <w:pPr>
              <w:pStyle w:val="12"/>
            </w:pPr>
            <w:r>
              <w:t>70.08</w:t>
            </w:r>
          </w:p>
        </w:tc>
        <w:tc>
          <w:tcPr>
            <w:tcW w:w="2551"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21203</w:t>
            </w:r>
          </w:p>
        </w:tc>
        <w:tc>
          <w:tcPr>
            <w:tcW w:w="4535" w:type="dxa"/>
            <w:vAlign w:val="center"/>
          </w:tcPr>
          <w:p>
            <w:pPr>
              <w:pStyle w:val="13"/>
            </w:pPr>
            <w:r>
              <w:t>城乡社区公共设施</w:t>
            </w:r>
          </w:p>
        </w:tc>
        <w:tc>
          <w:tcPr>
            <w:tcW w:w="2551" w:type="dxa"/>
            <w:vAlign w:val="center"/>
          </w:tcPr>
          <w:p>
            <w:pPr>
              <w:pStyle w:val="12"/>
            </w:pPr>
            <w:r>
              <w:t>33.39</w:t>
            </w:r>
          </w:p>
        </w:tc>
        <w:tc>
          <w:tcPr>
            <w:tcW w:w="2551" w:type="dxa"/>
            <w:vAlign w:val="center"/>
          </w:tcPr>
          <w:p>
            <w:pPr>
              <w:pStyle w:val="12"/>
            </w:pPr>
          </w:p>
        </w:tc>
        <w:tc>
          <w:tcPr>
            <w:tcW w:w="2551" w:type="dxa"/>
            <w:vAlign w:val="center"/>
          </w:tcPr>
          <w:p>
            <w:pPr>
              <w:pStyle w:val="12"/>
            </w:pPr>
            <w:r>
              <w:t>33.39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2120303</w:t>
            </w:r>
          </w:p>
        </w:tc>
        <w:tc>
          <w:tcPr>
            <w:tcW w:w="4535" w:type="dxa"/>
            <w:vAlign w:val="center"/>
          </w:tcPr>
          <w:p>
            <w:pPr>
              <w:pStyle w:val="13"/>
            </w:pPr>
            <w:r>
              <w:t>小城镇基础设施建设</w:t>
            </w:r>
          </w:p>
        </w:tc>
        <w:tc>
          <w:tcPr>
            <w:tcW w:w="2551" w:type="dxa"/>
            <w:vAlign w:val="center"/>
          </w:tcPr>
          <w:p>
            <w:pPr>
              <w:pStyle w:val="12"/>
            </w:pPr>
            <w:r>
              <w:t>33.39</w:t>
            </w:r>
          </w:p>
        </w:tc>
        <w:tc>
          <w:tcPr>
            <w:tcW w:w="2551" w:type="dxa"/>
            <w:vAlign w:val="center"/>
          </w:tcPr>
          <w:p>
            <w:pPr>
              <w:pStyle w:val="12"/>
            </w:pPr>
          </w:p>
        </w:tc>
        <w:tc>
          <w:tcPr>
            <w:tcW w:w="2551" w:type="dxa"/>
            <w:vAlign w:val="center"/>
          </w:tcPr>
          <w:p>
            <w:pPr>
              <w:pStyle w:val="12"/>
            </w:pPr>
            <w:r>
              <w:t>33.39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2130126</w:t>
            </w:r>
          </w:p>
        </w:tc>
        <w:tc>
          <w:tcPr>
            <w:tcW w:w="4535" w:type="dxa"/>
            <w:vAlign w:val="center"/>
          </w:tcPr>
          <w:p>
            <w:pPr>
              <w:pStyle w:val="13"/>
            </w:pPr>
            <w:r>
              <w:t>农村社会事业</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2269.52</w:t>
            </w:r>
          </w:p>
        </w:tc>
        <w:tc>
          <w:tcPr>
            <w:tcW w:w="2551" w:type="dxa"/>
            <w:vAlign w:val="center"/>
          </w:tcPr>
          <w:p>
            <w:pPr>
              <w:pStyle w:val="12"/>
            </w:pPr>
            <w:r>
              <w:t>39.72</w:t>
            </w:r>
          </w:p>
        </w:tc>
        <w:tc>
          <w:tcPr>
            <w:tcW w:w="2551" w:type="dxa"/>
            <w:vAlign w:val="center"/>
          </w:tcPr>
          <w:p>
            <w:pPr>
              <w:pStyle w:val="12"/>
            </w:pPr>
            <w:r>
              <w:t>2229.80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22101</w:t>
            </w:r>
          </w:p>
        </w:tc>
        <w:tc>
          <w:tcPr>
            <w:tcW w:w="4535" w:type="dxa"/>
            <w:vAlign w:val="center"/>
          </w:tcPr>
          <w:p>
            <w:pPr>
              <w:pStyle w:val="13"/>
            </w:pPr>
            <w:r>
              <w:t>保障性安居工程支出</w:t>
            </w:r>
          </w:p>
        </w:tc>
        <w:tc>
          <w:tcPr>
            <w:tcW w:w="2551" w:type="dxa"/>
            <w:vAlign w:val="center"/>
          </w:tcPr>
          <w:p>
            <w:pPr>
              <w:pStyle w:val="12"/>
            </w:pPr>
            <w:r>
              <w:t>2229.80</w:t>
            </w:r>
          </w:p>
        </w:tc>
        <w:tc>
          <w:tcPr>
            <w:tcW w:w="2551" w:type="dxa"/>
            <w:vAlign w:val="center"/>
          </w:tcPr>
          <w:p>
            <w:pPr>
              <w:pStyle w:val="12"/>
            </w:pPr>
          </w:p>
        </w:tc>
        <w:tc>
          <w:tcPr>
            <w:tcW w:w="2551" w:type="dxa"/>
            <w:vAlign w:val="center"/>
          </w:tcPr>
          <w:p>
            <w:pPr>
              <w:pStyle w:val="12"/>
            </w:pPr>
            <w:r>
              <w:t>2229.80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2210103</w:t>
            </w:r>
          </w:p>
        </w:tc>
        <w:tc>
          <w:tcPr>
            <w:tcW w:w="4535" w:type="dxa"/>
            <w:vAlign w:val="center"/>
          </w:tcPr>
          <w:p>
            <w:pPr>
              <w:pStyle w:val="13"/>
            </w:pPr>
            <w:r>
              <w:t>棚户区改造</w:t>
            </w:r>
          </w:p>
        </w:tc>
        <w:tc>
          <w:tcPr>
            <w:tcW w:w="2551" w:type="dxa"/>
            <w:vAlign w:val="center"/>
          </w:tcPr>
          <w:p>
            <w:pPr>
              <w:pStyle w:val="12"/>
            </w:pPr>
            <w:r>
              <w:t>2226.80</w:t>
            </w:r>
          </w:p>
        </w:tc>
        <w:tc>
          <w:tcPr>
            <w:tcW w:w="2551" w:type="dxa"/>
            <w:vAlign w:val="center"/>
          </w:tcPr>
          <w:p>
            <w:pPr>
              <w:pStyle w:val="12"/>
            </w:pPr>
          </w:p>
        </w:tc>
        <w:tc>
          <w:tcPr>
            <w:tcW w:w="2551" w:type="dxa"/>
            <w:vAlign w:val="center"/>
          </w:tcPr>
          <w:p>
            <w:pPr>
              <w:pStyle w:val="12"/>
            </w:pPr>
            <w:r>
              <w:t>2226.80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2210199</w:t>
            </w:r>
          </w:p>
        </w:tc>
        <w:tc>
          <w:tcPr>
            <w:tcW w:w="4535" w:type="dxa"/>
            <w:vAlign w:val="center"/>
          </w:tcPr>
          <w:p>
            <w:pPr>
              <w:pStyle w:val="13"/>
            </w:pPr>
            <w:r>
              <w:t>其他保障性安居工程支出</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39.72</w:t>
            </w:r>
          </w:p>
        </w:tc>
        <w:tc>
          <w:tcPr>
            <w:tcW w:w="2551" w:type="dxa"/>
            <w:vAlign w:val="center"/>
          </w:tcPr>
          <w:p>
            <w:pPr>
              <w:pStyle w:val="12"/>
            </w:pPr>
            <w:r>
              <w:t>39.72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39.72</w:t>
            </w:r>
          </w:p>
        </w:tc>
        <w:tc>
          <w:tcPr>
            <w:tcW w:w="2551" w:type="dxa"/>
            <w:vAlign w:val="center"/>
          </w:tcPr>
          <w:p>
            <w:pPr>
              <w:pStyle w:val="12"/>
            </w:pPr>
            <w:r>
              <w:t>39.72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7993.00</w:t>
            </w:r>
          </w:p>
        </w:tc>
        <w:tc>
          <w:tcPr>
            <w:tcW w:w="2551" w:type="dxa"/>
            <w:vAlign w:val="center"/>
          </w:tcPr>
          <w:p>
            <w:pPr>
              <w:pStyle w:val="12"/>
            </w:pPr>
          </w:p>
        </w:tc>
        <w:tc>
          <w:tcPr>
            <w:tcW w:w="2551" w:type="dxa"/>
            <w:vAlign w:val="center"/>
          </w:tcPr>
          <w:p>
            <w:pPr>
              <w:pStyle w:val="12"/>
            </w:pPr>
            <w:r>
              <w:t>7993.00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22999</w:t>
            </w:r>
          </w:p>
        </w:tc>
        <w:tc>
          <w:tcPr>
            <w:tcW w:w="4535" w:type="dxa"/>
            <w:vAlign w:val="center"/>
          </w:tcPr>
          <w:p>
            <w:pPr>
              <w:pStyle w:val="13"/>
            </w:pPr>
            <w:r>
              <w:t>其他支出</w:t>
            </w:r>
          </w:p>
        </w:tc>
        <w:tc>
          <w:tcPr>
            <w:tcW w:w="2551" w:type="dxa"/>
            <w:vAlign w:val="center"/>
          </w:tcPr>
          <w:p>
            <w:pPr>
              <w:pStyle w:val="12"/>
            </w:pPr>
            <w:r>
              <w:t>7993.00</w:t>
            </w:r>
          </w:p>
        </w:tc>
        <w:tc>
          <w:tcPr>
            <w:tcW w:w="2551" w:type="dxa"/>
            <w:vAlign w:val="center"/>
          </w:tcPr>
          <w:p>
            <w:pPr>
              <w:pStyle w:val="12"/>
            </w:pPr>
          </w:p>
        </w:tc>
        <w:tc>
          <w:tcPr>
            <w:tcW w:w="2551" w:type="dxa"/>
            <w:vAlign w:val="center"/>
          </w:tcPr>
          <w:p>
            <w:pPr>
              <w:pStyle w:val="12"/>
            </w:pPr>
            <w:r>
              <w:t>7993.00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2299999</w:t>
            </w:r>
          </w:p>
        </w:tc>
        <w:tc>
          <w:tcPr>
            <w:tcW w:w="4535" w:type="dxa"/>
            <w:vAlign w:val="center"/>
          </w:tcPr>
          <w:p>
            <w:pPr>
              <w:pStyle w:val="13"/>
            </w:pPr>
            <w:r>
              <w:t>其他支出</w:t>
            </w:r>
          </w:p>
        </w:tc>
        <w:tc>
          <w:tcPr>
            <w:tcW w:w="2551" w:type="dxa"/>
            <w:vAlign w:val="center"/>
          </w:tcPr>
          <w:p>
            <w:pPr>
              <w:pStyle w:val="12"/>
            </w:pPr>
            <w:r>
              <w:t>7993.00</w:t>
            </w:r>
          </w:p>
        </w:tc>
        <w:tc>
          <w:tcPr>
            <w:tcW w:w="2551" w:type="dxa"/>
            <w:vAlign w:val="center"/>
          </w:tcPr>
          <w:p>
            <w:pPr>
              <w:pStyle w:val="12"/>
            </w:pPr>
          </w:p>
        </w:tc>
        <w:tc>
          <w:tcPr>
            <w:tcW w:w="2551" w:type="dxa"/>
            <w:vAlign w:val="center"/>
          </w:tcPr>
          <w:p>
            <w:pPr>
              <w:pStyle w:val="12"/>
            </w:pPr>
            <w:r>
              <w:t>7993.00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333石家庄市井陉矿区住房和城乡建设局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738.63</w:t>
            </w:r>
          </w:p>
        </w:tc>
        <w:tc>
          <w:tcPr>
            <w:tcW w:w="2551" w:type="dxa"/>
            <w:vAlign w:val="center"/>
          </w:tcPr>
          <w:p>
            <w:pPr>
              <w:pStyle w:val="16"/>
            </w:pPr>
            <w:r>
              <w:t>714.27</w:t>
            </w:r>
          </w:p>
        </w:tc>
        <w:tc>
          <w:tcPr>
            <w:tcW w:w="2551" w:type="dxa"/>
            <w:vAlign w:val="center"/>
          </w:tcPr>
          <w:p>
            <w:pPr>
              <w:pStyle w:val="16"/>
            </w:pPr>
            <w:r>
              <w:t>24.36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482.14</w:t>
            </w:r>
          </w:p>
        </w:tc>
        <w:tc>
          <w:tcPr>
            <w:tcW w:w="2551" w:type="dxa"/>
            <w:vAlign w:val="center"/>
          </w:tcPr>
          <w:p>
            <w:pPr>
              <w:pStyle w:val="12"/>
            </w:pPr>
            <w:r>
              <w:t>482.14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139.94</w:t>
            </w:r>
          </w:p>
        </w:tc>
        <w:tc>
          <w:tcPr>
            <w:tcW w:w="2551" w:type="dxa"/>
            <w:vAlign w:val="center"/>
          </w:tcPr>
          <w:p>
            <w:pPr>
              <w:pStyle w:val="12"/>
            </w:pPr>
            <w:r>
              <w:t>139.94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33.97</w:t>
            </w:r>
          </w:p>
        </w:tc>
        <w:tc>
          <w:tcPr>
            <w:tcW w:w="2551" w:type="dxa"/>
            <w:vAlign w:val="center"/>
          </w:tcPr>
          <w:p>
            <w:pPr>
              <w:pStyle w:val="12"/>
            </w:pPr>
            <w:r>
              <w:t>33.97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14.09</w:t>
            </w:r>
          </w:p>
        </w:tc>
        <w:tc>
          <w:tcPr>
            <w:tcW w:w="2551" w:type="dxa"/>
            <w:vAlign w:val="center"/>
          </w:tcPr>
          <w:p>
            <w:pPr>
              <w:pStyle w:val="12"/>
            </w:pPr>
            <w:r>
              <w:t>14.09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165.38</w:t>
            </w:r>
          </w:p>
        </w:tc>
        <w:tc>
          <w:tcPr>
            <w:tcW w:w="2551" w:type="dxa"/>
            <w:vAlign w:val="center"/>
          </w:tcPr>
          <w:p>
            <w:pPr>
              <w:pStyle w:val="12"/>
            </w:pPr>
            <w:r>
              <w:t>165.38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48.41</w:t>
            </w:r>
          </w:p>
        </w:tc>
        <w:tc>
          <w:tcPr>
            <w:tcW w:w="2551" w:type="dxa"/>
            <w:vAlign w:val="center"/>
          </w:tcPr>
          <w:p>
            <w:pPr>
              <w:pStyle w:val="12"/>
            </w:pPr>
            <w:r>
              <w:t>48.41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4.68</w:t>
            </w:r>
          </w:p>
        </w:tc>
        <w:tc>
          <w:tcPr>
            <w:tcW w:w="2551" w:type="dxa"/>
            <w:vAlign w:val="center"/>
          </w:tcPr>
          <w:p>
            <w:pPr>
              <w:pStyle w:val="12"/>
            </w:pPr>
            <w:r>
              <w:t>4.68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20.66</w:t>
            </w:r>
          </w:p>
        </w:tc>
        <w:tc>
          <w:tcPr>
            <w:tcW w:w="2551" w:type="dxa"/>
            <w:vAlign w:val="center"/>
          </w:tcPr>
          <w:p>
            <w:pPr>
              <w:pStyle w:val="12"/>
            </w:pPr>
            <w:r>
              <w:t>20.66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12.45</w:t>
            </w:r>
          </w:p>
        </w:tc>
        <w:tc>
          <w:tcPr>
            <w:tcW w:w="2551" w:type="dxa"/>
            <w:vAlign w:val="center"/>
          </w:tcPr>
          <w:p>
            <w:pPr>
              <w:pStyle w:val="12"/>
            </w:pPr>
            <w:r>
              <w:t>12.45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2.84</w:t>
            </w:r>
          </w:p>
        </w:tc>
        <w:tc>
          <w:tcPr>
            <w:tcW w:w="2551" w:type="dxa"/>
            <w:vAlign w:val="center"/>
          </w:tcPr>
          <w:p>
            <w:pPr>
              <w:pStyle w:val="12"/>
            </w:pPr>
            <w:r>
              <w:t>2.84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39.72</w:t>
            </w:r>
          </w:p>
        </w:tc>
        <w:tc>
          <w:tcPr>
            <w:tcW w:w="2551" w:type="dxa"/>
            <w:vAlign w:val="center"/>
          </w:tcPr>
          <w:p>
            <w:pPr>
              <w:pStyle w:val="12"/>
            </w:pPr>
            <w:r>
              <w:t>39.72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24.36</w:t>
            </w:r>
          </w:p>
        </w:tc>
        <w:tc>
          <w:tcPr>
            <w:tcW w:w="2551" w:type="dxa"/>
            <w:vAlign w:val="center"/>
          </w:tcPr>
          <w:p>
            <w:pPr>
              <w:pStyle w:val="12"/>
            </w:pPr>
          </w:p>
        </w:tc>
        <w:tc>
          <w:tcPr>
            <w:tcW w:w="2551" w:type="dxa"/>
            <w:vAlign w:val="center"/>
          </w:tcPr>
          <w:p>
            <w:pPr>
              <w:pStyle w:val="12"/>
            </w:pPr>
            <w:r>
              <w:t>24.36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1.10</w:t>
            </w:r>
          </w:p>
        </w:tc>
        <w:tc>
          <w:tcPr>
            <w:tcW w:w="2551" w:type="dxa"/>
            <w:vAlign w:val="center"/>
          </w:tcPr>
          <w:p>
            <w:pPr>
              <w:pStyle w:val="12"/>
            </w:pPr>
          </w:p>
        </w:tc>
        <w:tc>
          <w:tcPr>
            <w:tcW w:w="2551" w:type="dxa"/>
            <w:vAlign w:val="center"/>
          </w:tcPr>
          <w:p>
            <w:pPr>
              <w:pStyle w:val="12"/>
            </w:pPr>
            <w:r>
              <w:t>1.10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0.10</w:t>
            </w:r>
          </w:p>
        </w:tc>
        <w:tc>
          <w:tcPr>
            <w:tcW w:w="2551" w:type="dxa"/>
            <w:vAlign w:val="center"/>
          </w:tcPr>
          <w:p>
            <w:pPr>
              <w:pStyle w:val="12"/>
            </w:pPr>
          </w:p>
        </w:tc>
        <w:tc>
          <w:tcPr>
            <w:tcW w:w="2551" w:type="dxa"/>
            <w:vAlign w:val="center"/>
          </w:tcPr>
          <w:p>
            <w:pPr>
              <w:pStyle w:val="12"/>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3.12</w:t>
            </w:r>
          </w:p>
        </w:tc>
        <w:tc>
          <w:tcPr>
            <w:tcW w:w="2551" w:type="dxa"/>
            <w:vAlign w:val="center"/>
          </w:tcPr>
          <w:p>
            <w:pPr>
              <w:pStyle w:val="12"/>
            </w:pPr>
          </w:p>
        </w:tc>
        <w:tc>
          <w:tcPr>
            <w:tcW w:w="2551" w:type="dxa"/>
            <w:vAlign w:val="center"/>
          </w:tcPr>
          <w:p>
            <w:pPr>
              <w:pStyle w:val="12"/>
            </w:pPr>
            <w:r>
              <w:t>3.12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7.26</w:t>
            </w:r>
          </w:p>
        </w:tc>
        <w:tc>
          <w:tcPr>
            <w:tcW w:w="2551" w:type="dxa"/>
            <w:vAlign w:val="center"/>
          </w:tcPr>
          <w:p>
            <w:pPr>
              <w:pStyle w:val="12"/>
            </w:pPr>
          </w:p>
        </w:tc>
        <w:tc>
          <w:tcPr>
            <w:tcW w:w="2551" w:type="dxa"/>
            <w:vAlign w:val="center"/>
          </w:tcPr>
          <w:p>
            <w:pPr>
              <w:pStyle w:val="12"/>
            </w:pPr>
            <w:r>
              <w:t>7.26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1.40</w:t>
            </w:r>
          </w:p>
        </w:tc>
        <w:tc>
          <w:tcPr>
            <w:tcW w:w="2551" w:type="dxa"/>
            <w:vAlign w:val="center"/>
          </w:tcPr>
          <w:p>
            <w:pPr>
              <w:pStyle w:val="12"/>
            </w:pPr>
          </w:p>
        </w:tc>
        <w:tc>
          <w:tcPr>
            <w:tcW w:w="2551" w:type="dxa"/>
            <w:vAlign w:val="center"/>
          </w:tcPr>
          <w:p>
            <w:pPr>
              <w:pStyle w:val="12"/>
            </w:pPr>
            <w:r>
              <w:t>1.40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2.76</w:t>
            </w:r>
          </w:p>
        </w:tc>
        <w:tc>
          <w:tcPr>
            <w:tcW w:w="2551" w:type="dxa"/>
            <w:vAlign w:val="center"/>
          </w:tcPr>
          <w:p>
            <w:pPr>
              <w:pStyle w:val="12"/>
            </w:pPr>
          </w:p>
        </w:tc>
        <w:tc>
          <w:tcPr>
            <w:tcW w:w="2551" w:type="dxa"/>
            <w:vAlign w:val="center"/>
          </w:tcPr>
          <w:p>
            <w:pPr>
              <w:pStyle w:val="12"/>
            </w:pPr>
            <w:r>
              <w:t>2.76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5.62</w:t>
            </w:r>
          </w:p>
        </w:tc>
        <w:tc>
          <w:tcPr>
            <w:tcW w:w="2551" w:type="dxa"/>
            <w:vAlign w:val="center"/>
          </w:tcPr>
          <w:p>
            <w:pPr>
              <w:pStyle w:val="12"/>
            </w:pPr>
          </w:p>
        </w:tc>
        <w:tc>
          <w:tcPr>
            <w:tcW w:w="2551" w:type="dxa"/>
            <w:vAlign w:val="center"/>
          </w:tcPr>
          <w:p>
            <w:pPr>
              <w:pStyle w:val="12"/>
            </w:pPr>
            <w:r>
              <w:t>5.62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232.13</w:t>
            </w:r>
          </w:p>
        </w:tc>
        <w:tc>
          <w:tcPr>
            <w:tcW w:w="2551" w:type="dxa"/>
            <w:vAlign w:val="center"/>
          </w:tcPr>
          <w:p>
            <w:pPr>
              <w:pStyle w:val="12"/>
            </w:pPr>
            <w:r>
              <w:t>232.13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225.51</w:t>
            </w:r>
          </w:p>
        </w:tc>
        <w:tc>
          <w:tcPr>
            <w:tcW w:w="2551" w:type="dxa"/>
            <w:vAlign w:val="center"/>
          </w:tcPr>
          <w:p>
            <w:pPr>
              <w:pStyle w:val="12"/>
            </w:pPr>
            <w:r>
              <w:t>225.51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5.72</w:t>
            </w:r>
          </w:p>
        </w:tc>
        <w:tc>
          <w:tcPr>
            <w:tcW w:w="2551" w:type="dxa"/>
            <w:vAlign w:val="center"/>
          </w:tcPr>
          <w:p>
            <w:pPr>
              <w:pStyle w:val="12"/>
            </w:pPr>
            <w:r>
              <w:t>5.72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0.90</w:t>
            </w:r>
          </w:p>
        </w:tc>
        <w:tc>
          <w:tcPr>
            <w:tcW w:w="2551" w:type="dxa"/>
            <w:vAlign w:val="center"/>
          </w:tcPr>
          <w:p>
            <w:pPr>
              <w:pStyle w:val="12"/>
            </w:pPr>
            <w:r>
              <w:t>0.90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333石家庄市井陉矿区住房和城乡建设局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506.86</w:t>
            </w:r>
          </w:p>
        </w:tc>
        <w:tc>
          <w:tcPr>
            <w:tcW w:w="2551" w:type="dxa"/>
            <w:vAlign w:val="center"/>
          </w:tcPr>
          <w:p>
            <w:pPr>
              <w:pStyle w:val="16"/>
            </w:pPr>
          </w:p>
        </w:tc>
        <w:tc>
          <w:tcPr>
            <w:tcW w:w="2551" w:type="dxa"/>
            <w:vAlign w:val="center"/>
          </w:tcPr>
          <w:p>
            <w:pPr>
              <w:pStyle w:val="16"/>
            </w:pPr>
            <w:r>
              <w:t>506.86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429.72</w:t>
            </w:r>
          </w:p>
        </w:tc>
        <w:tc>
          <w:tcPr>
            <w:tcW w:w="2551" w:type="dxa"/>
            <w:vAlign w:val="center"/>
          </w:tcPr>
          <w:p>
            <w:pPr>
              <w:pStyle w:val="12"/>
            </w:pPr>
          </w:p>
        </w:tc>
        <w:tc>
          <w:tcPr>
            <w:tcW w:w="2551" w:type="dxa"/>
            <w:vAlign w:val="center"/>
          </w:tcPr>
          <w:p>
            <w:pPr>
              <w:pStyle w:val="12"/>
            </w:pPr>
            <w:r>
              <w:t>429.72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189.72</w:t>
            </w:r>
          </w:p>
        </w:tc>
        <w:tc>
          <w:tcPr>
            <w:tcW w:w="2551" w:type="dxa"/>
            <w:vAlign w:val="center"/>
          </w:tcPr>
          <w:p>
            <w:pPr>
              <w:pStyle w:val="12"/>
            </w:pPr>
          </w:p>
        </w:tc>
        <w:tc>
          <w:tcPr>
            <w:tcW w:w="2551" w:type="dxa"/>
            <w:vAlign w:val="center"/>
          </w:tcPr>
          <w:p>
            <w:pPr>
              <w:pStyle w:val="12"/>
            </w:pPr>
            <w:r>
              <w:t>189.72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2120810</w:t>
            </w:r>
          </w:p>
        </w:tc>
        <w:tc>
          <w:tcPr>
            <w:tcW w:w="4535" w:type="dxa"/>
            <w:vAlign w:val="center"/>
          </w:tcPr>
          <w:p>
            <w:pPr>
              <w:pStyle w:val="13"/>
            </w:pPr>
            <w:r>
              <w:t>棚户区改造支出</w:t>
            </w:r>
          </w:p>
        </w:tc>
        <w:tc>
          <w:tcPr>
            <w:tcW w:w="2551" w:type="dxa"/>
            <w:vAlign w:val="center"/>
          </w:tcPr>
          <w:p>
            <w:pPr>
              <w:pStyle w:val="12"/>
            </w:pPr>
            <w:r>
              <w:t>189.72</w:t>
            </w:r>
          </w:p>
        </w:tc>
        <w:tc>
          <w:tcPr>
            <w:tcW w:w="2551" w:type="dxa"/>
            <w:vAlign w:val="center"/>
          </w:tcPr>
          <w:p>
            <w:pPr>
              <w:pStyle w:val="12"/>
            </w:pPr>
          </w:p>
        </w:tc>
        <w:tc>
          <w:tcPr>
            <w:tcW w:w="2551" w:type="dxa"/>
            <w:vAlign w:val="center"/>
          </w:tcPr>
          <w:p>
            <w:pPr>
              <w:pStyle w:val="12"/>
            </w:pPr>
            <w:r>
              <w:t>189.72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21213</w:t>
            </w:r>
          </w:p>
        </w:tc>
        <w:tc>
          <w:tcPr>
            <w:tcW w:w="4535" w:type="dxa"/>
            <w:vAlign w:val="center"/>
          </w:tcPr>
          <w:p>
            <w:pPr>
              <w:pStyle w:val="13"/>
            </w:pPr>
            <w:r>
              <w:t>城市基础设施配套费安排的支出</w:t>
            </w:r>
          </w:p>
        </w:tc>
        <w:tc>
          <w:tcPr>
            <w:tcW w:w="2551" w:type="dxa"/>
            <w:vAlign w:val="center"/>
          </w:tcPr>
          <w:p>
            <w:pPr>
              <w:pStyle w:val="12"/>
            </w:pPr>
            <w:r>
              <w:t>240.00</w:t>
            </w:r>
          </w:p>
        </w:tc>
        <w:tc>
          <w:tcPr>
            <w:tcW w:w="2551" w:type="dxa"/>
            <w:vAlign w:val="center"/>
          </w:tcPr>
          <w:p>
            <w:pPr>
              <w:pStyle w:val="12"/>
            </w:pPr>
          </w:p>
        </w:tc>
        <w:tc>
          <w:tcPr>
            <w:tcW w:w="2551" w:type="dxa"/>
            <w:vAlign w:val="center"/>
          </w:tcPr>
          <w:p>
            <w:pPr>
              <w:pStyle w:val="12"/>
            </w:pPr>
            <w:r>
              <w:t>240.00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2121301</w:t>
            </w:r>
          </w:p>
        </w:tc>
        <w:tc>
          <w:tcPr>
            <w:tcW w:w="4535" w:type="dxa"/>
            <w:vAlign w:val="center"/>
          </w:tcPr>
          <w:p>
            <w:pPr>
              <w:pStyle w:val="13"/>
            </w:pPr>
            <w:r>
              <w:t>城市公共设施</w:t>
            </w:r>
          </w:p>
        </w:tc>
        <w:tc>
          <w:tcPr>
            <w:tcW w:w="2551" w:type="dxa"/>
            <w:vAlign w:val="center"/>
          </w:tcPr>
          <w:p>
            <w:pPr>
              <w:pStyle w:val="12"/>
            </w:pPr>
            <w:r>
              <w:t>240.00</w:t>
            </w:r>
          </w:p>
        </w:tc>
        <w:tc>
          <w:tcPr>
            <w:tcW w:w="2551" w:type="dxa"/>
            <w:vAlign w:val="center"/>
          </w:tcPr>
          <w:p>
            <w:pPr>
              <w:pStyle w:val="12"/>
            </w:pPr>
          </w:p>
        </w:tc>
        <w:tc>
          <w:tcPr>
            <w:tcW w:w="2551" w:type="dxa"/>
            <w:vAlign w:val="center"/>
          </w:tcPr>
          <w:p>
            <w:pPr>
              <w:pStyle w:val="12"/>
            </w:pPr>
            <w:r>
              <w:t>240.00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77.14</w:t>
            </w:r>
          </w:p>
        </w:tc>
        <w:tc>
          <w:tcPr>
            <w:tcW w:w="2551" w:type="dxa"/>
            <w:vAlign w:val="center"/>
          </w:tcPr>
          <w:p>
            <w:pPr>
              <w:pStyle w:val="12"/>
            </w:pPr>
          </w:p>
        </w:tc>
        <w:tc>
          <w:tcPr>
            <w:tcW w:w="2551" w:type="dxa"/>
            <w:vAlign w:val="center"/>
          </w:tcPr>
          <w:p>
            <w:pPr>
              <w:pStyle w:val="12"/>
            </w:pPr>
            <w:r>
              <w:t>77.14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77.14</w:t>
            </w:r>
          </w:p>
        </w:tc>
        <w:tc>
          <w:tcPr>
            <w:tcW w:w="2551" w:type="dxa"/>
            <w:vAlign w:val="center"/>
          </w:tcPr>
          <w:p>
            <w:pPr>
              <w:pStyle w:val="12"/>
            </w:pPr>
          </w:p>
        </w:tc>
        <w:tc>
          <w:tcPr>
            <w:tcW w:w="2551" w:type="dxa"/>
            <w:vAlign w:val="center"/>
          </w:tcPr>
          <w:p>
            <w:pPr>
              <w:pStyle w:val="12"/>
            </w:pPr>
            <w:r>
              <w:t>77.14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77.14</w:t>
            </w:r>
          </w:p>
        </w:tc>
        <w:tc>
          <w:tcPr>
            <w:tcW w:w="2551" w:type="dxa"/>
            <w:vAlign w:val="center"/>
          </w:tcPr>
          <w:p>
            <w:pPr>
              <w:pStyle w:val="12"/>
            </w:pPr>
          </w:p>
        </w:tc>
        <w:tc>
          <w:tcPr>
            <w:tcW w:w="2551" w:type="dxa"/>
            <w:vAlign w:val="center"/>
          </w:tcPr>
          <w:p>
            <w:pPr>
              <w:pStyle w:val="12"/>
            </w:pPr>
            <w:r>
              <w:t>77.14</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333石家庄市井陉矿区住房和城乡建设局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333石家庄市井陉矿区住房和城乡建设局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2.00</w:t>
            </w:r>
          </w:p>
        </w:tc>
        <w:tc>
          <w:tcPr>
            <w:tcW w:w="2381" w:type="dxa"/>
            <w:vAlign w:val="center"/>
          </w:tcPr>
          <w:p>
            <w:pPr>
              <w:pStyle w:val="16"/>
            </w:pPr>
            <w:r>
              <w:t>2.00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石家庄市井陉矿区住房和城乡建设局2025年部门预算信息公开情况说明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石家庄市井陉矿区住房和城乡建设局2025年部门预算信息公开情况说明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按照《中华人民共和国预算法》、《地方预决算公开操作规程》和《关于进一步推进预算公开工作的实施意见》规定，现将石家庄市井陉矿区住房和城乡建设局2025年部门预算公开如下：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贯彻执行国家和省、市住房城乡建设工作的方针、政策和法律、法规,起草住房城乡建设方面规范性文件；拟订全区城乡和建设发展规划并组织实施；研究提出住房和城乡建设领域重大问题的政策建议；负责住房和城乡建设行业安全生产监管。</w:t>
      </w:r>
    </w:p>
    <w:p>
      <w:pPr>
        <w:pStyle w:val="18"/>
      </w:pPr>
      <w:r>
        <w:t>(2)拟订城镇住房保障相关规范性文件并组织实施；组织编制、实施城镇住房保障发展规划和年度计划；负责房改房、经济适用住房出售工作；会同有关部门做好中央和省、市、区保障性安居工程资金安排并监督实施。</w:t>
      </w:r>
    </w:p>
    <w:p>
      <w:pPr>
        <w:pStyle w:val="18"/>
      </w:pPr>
      <w:r>
        <w:t>(3)负责推进住房制度改革。结合市住房政策拟订符合区情的住房政策，指导住房建设，推动住房制度改革；拟订住房建设发展规划并组织实施。</w:t>
      </w:r>
    </w:p>
    <w:p>
      <w:pPr>
        <w:pStyle w:val="18"/>
      </w:pPr>
      <w:r>
        <w:t>(4)负责全区房地产市场的监督管理。会同有关部门拟订房地产市场调控规范性文件并监督执行；拟订房地产业行业发展规划、产业规范性文件，制定房地产开发、房屋交易、房屋租赁、房地产估价与经纪管理的规章制度并监督实施。</w:t>
      </w:r>
    </w:p>
    <w:p>
      <w:pPr>
        <w:pStyle w:val="18"/>
      </w:pPr>
      <w:r>
        <w:t>(5)负责建筑市场的监督管理。拟订建筑市场发展规划和管理制度并监督实施；负责建筑劳务市场管理；负责建筑业企业、勘察设计企业、造价咨询企业、施工图设计文件审查机构、监理机构、检测机构和招投标代理机构的监督指导；负责施工图审查机构的监督管理；负责建设工程消防、人防设计相关工作的监督管理；参与编制地方建设工程量计量规范，收集发布工程材料、人工、机械设备使用等市场价格信息。</w:t>
      </w:r>
    </w:p>
    <w:p>
      <w:pPr>
        <w:pStyle w:val="18"/>
      </w:pPr>
      <w:r>
        <w:t>(6)统筹编制城区市政基础设施建设中长期发展规划，会同有关部门拟订本级城建计划并组织实施；负责组织实施区政府安排的市政基础设施建设工作（包括城市路网的新建、改建、扩建工程）。</w:t>
      </w:r>
    </w:p>
    <w:p>
      <w:pPr>
        <w:pStyle w:val="18"/>
      </w:pPr>
      <w:r>
        <w:t>(7)指导推进新型城镇化（国家新型城镇化综合试点）和县城建设工作。</w:t>
      </w:r>
    </w:p>
    <w:p>
      <w:pPr>
        <w:pStyle w:val="18"/>
      </w:pPr>
      <w:r>
        <w:t>(8)指导村镇建设工作。指导各乡镇和村庄建设，指导乡村建筑风貌管控；指导农村住房建设、住房安全及危房改造；指导重点镇和特色小城镇建设工作；指导历史文化名城（镇、村）保护工作。</w:t>
      </w:r>
    </w:p>
    <w:p>
      <w:pPr>
        <w:pStyle w:val="18"/>
      </w:pPr>
      <w:r>
        <w:t>(9)负责建筑工程质量安全监督。监督实施建筑工程质量、施工安全、竣工验收政策和规章制度；组织实施工程建设实施阶段的国家标准及国家统一的行业标准；组织或参与工程质量、安全事故的调查处理。</w:t>
      </w:r>
    </w:p>
    <w:p>
      <w:pPr>
        <w:pStyle w:val="18"/>
      </w:pPr>
      <w:r>
        <w:t>(10)负责推进建筑节能工作。贯彻落实建设行业科技、装配式建筑、绿色建筑发展规划和建筑节能管理制度；负责全区建筑节能减排、绿色建筑发展、墙体材料革新、既有居住建筑节能改造、可再生能源利用等工作。</w:t>
      </w:r>
    </w:p>
    <w:p>
      <w:pPr>
        <w:pStyle w:val="18"/>
      </w:pPr>
      <w:r>
        <w:t>(11)拟订物业行业发展规划并组织实施;拟订物业行业管理办法，负责监督管理住宅专项维修资金的归集、使用工作；负责前期物业管理招投标备案及过程监管工作；负责全区老旧住宅小区整治工作和住宅室内装饰装修工作。</w:t>
      </w:r>
    </w:p>
    <w:p>
      <w:pPr>
        <w:pStyle w:val="18"/>
      </w:pPr>
      <w:r>
        <w:t>(12)负责贯彻落实国有土地上房屋征收、城市危房管理政策并组织实施；拟订区国有土地上房屋征收计划，负责区级房屋征收工作；负责城市危房管理和城市危房鉴定工作；负责拟订区棚户区改造规划、年度计划，制定区棚户区改造方案并贯彻实施；完成区政府交办的“城中村”改造相关工作。</w:t>
      </w:r>
    </w:p>
    <w:p>
      <w:pPr>
        <w:pStyle w:val="18"/>
      </w:pPr>
      <w:r>
        <w:t>(13)拟订地下综合管廊中长期建设计划，制定地下综合管廊运营、维护管理办法和配套政策；监督综合管廊运营和维护管理工作。</w:t>
      </w:r>
    </w:p>
    <w:p>
      <w:pPr>
        <w:pStyle w:val="18"/>
      </w:pPr>
      <w:r>
        <w:t>(14)负责住房城乡建设行业的对外经济技术合作和引进、利用外资工作，指导建筑施工、房地产开发、勘察设计和物业管理等相关企业开拓国内外市场，负责协调建设企业参与对外工程承包、建筑劳务合作，指导全区建筑劳务输出工作。</w:t>
      </w:r>
    </w:p>
    <w:p>
      <w:pPr>
        <w:pStyle w:val="18"/>
      </w:pPr>
      <w:r>
        <w:t>(15)负责住房和城乡建设行业人才队伍建设。</w:t>
      </w:r>
    </w:p>
    <w:p>
      <w:pPr>
        <w:pStyle w:val="18"/>
      </w:pPr>
      <w:r>
        <w:t>(16)负责各类房屋建筑及其附属设施和城市市政设施建设工程的抗震设防监督管理。</w:t>
      </w:r>
    </w:p>
    <w:p>
      <w:pPr>
        <w:pStyle w:val="18"/>
      </w:pPr>
      <w:r>
        <w:t>(17)负责城市建设档案监督管理工作。</w:t>
      </w:r>
    </w:p>
    <w:p>
      <w:pPr>
        <w:pStyle w:val="18"/>
      </w:pPr>
      <w:r>
        <w:t>(18)会同有关部门做好支油、支铁建设协调工作。</w:t>
      </w:r>
    </w:p>
    <w:p>
      <w:pPr>
        <w:pStyle w:val="18"/>
      </w:pPr>
      <w:r>
        <w:t>(19)负责直管公有住房的资产、售房款和售后维修资金的管理工作。</w:t>
      </w:r>
    </w:p>
    <w:p>
      <w:pPr>
        <w:pStyle w:val="18"/>
      </w:pPr>
      <w:r>
        <w:t>(20)会同有关部门，做好城市建设行业涉及本部门的相关专业规划的编制和实施工作。</w:t>
      </w:r>
    </w:p>
    <w:p>
      <w:pPr>
        <w:pStyle w:val="18"/>
      </w:pPr>
      <w:r>
        <w:t>(21)负责住房城乡建设行业信息采集、整理、统计、分析、发布等工作。</w:t>
      </w:r>
    </w:p>
    <w:p>
      <w:pPr>
        <w:pStyle w:val="18"/>
      </w:pPr>
      <w:r>
        <w:t>(22)完成区委、区政府交办的其他任务。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石家庄市井陉矿区住房和城乡建设局</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矿区房管所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石家庄市井陉矿区建筑工程质量监督站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按照预算管理有关规定，目前部门预算的编制实行综合预算管理，即全部收入和支出都反映在预算中。石家庄市井陉矿区住房和城乡建设局机关及所属事业单位的收支包含在部门预算中。</w:t>
      </w:r>
    </w:p>
    <w:p>
      <w:pPr>
        <w:pStyle w:val="19"/>
      </w:pPr>
      <w:r>
        <w:t>1、收入说明</w:t>
      </w:r>
    </w:p>
    <w:p>
      <w:pPr>
        <w:pStyle w:val="19"/>
      </w:pPr>
      <w:r>
        <w:t>反映本部门当年全部收入。2025年预算收入11634.74万元，其中：一般公共预算收入11127.88万元，基金预算收入240.00万元，国有资本经营预算收入0.00万元，财政专户核拨收入0.00万元，单位资金收入0.00万元，上年结转结余266.86万元。</w:t>
      </w:r>
    </w:p>
    <w:p>
      <w:pPr>
        <w:pStyle w:val="19"/>
      </w:pPr>
      <w:r>
        <w:t>2、支出说明</w:t>
      </w:r>
    </w:p>
    <w:p>
      <w:pPr>
        <w:pStyle w:val="19"/>
      </w:pPr>
      <w:r>
        <w:t>收支预算总表支出栏、基本支出表、项目支出表按经济分类和支出功能分类科目编制，反映石家庄市井陉矿区住房和城乡建设局年度部门预算中支出预算的总体情况。2025年支出预算11634.74万元，其中基本支出738.63万元，包括人员经费714.27万元和日常公用经费24.36万元；项目支出10896.11万元，主要为天护新城、横南棚户区改造项目贷款本息；关于下达重点地区转型发展专项[资源型地区发展方向]—石家庄市井陉矿区采煤沉陷区横涧乡片区一期避险搬迁安置项目；廉租房租金补贴及保障房维修；康盛二街拆迁安置费；星河湾保障房物业服务；住建局劳务派遣工资等项目。</w:t>
      </w:r>
    </w:p>
    <w:p>
      <w:pPr>
        <w:pStyle w:val="19"/>
      </w:pPr>
      <w:r>
        <w:t>3、比上年增减情况</w:t>
      </w:r>
    </w:p>
    <w:p>
      <w:pPr>
        <w:pStyle w:val="19"/>
      </w:pPr>
      <w:r>
        <w:t>2025年预算收支安排11634.74万元，较2024年预算增加5943.19万元，其中：基本支出减少82.38万元，主要为2024年退休6人，人员经费减少，公用经费减少。项目支出增加6025.57万元，主要为增加了关于下达重点地区转型发展专项[资源型地区发展方向]—石家庄市井陉矿区采煤沉陷区横涧乡片区一期避险搬迁安置项目。</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w:t>
      </w:r>
      <w:r>
        <w:rPr>
          <w:rFonts w:hint="eastAsia"/>
          <w:lang w:val="en-US" w:eastAsia="zh-CN"/>
        </w:rPr>
        <w:t>22.29</w:t>
      </w:r>
      <w:r>
        <w:t>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2.00万元，其中因公出国（境）费0.00万元；公务用车购置及运维费2.00万元（其中：公务用车购置费为0.00万元，公务用车运维费2.00万元)；公务接待费0.00万元。与2024年相比</w:t>
      </w:r>
      <w:r>
        <w:rPr>
          <w:rFonts w:hint="eastAsia"/>
          <w:lang w:eastAsia="zh-CN"/>
        </w:rPr>
        <w:t>持平</w:t>
      </w:r>
      <w:r>
        <w:t>，增减变化的主要原因是2025年“三公”经费预算安排2万元，与2024年预算安排数持平。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坚持以习近平新时代中国特色社会主义思想为指导，全面贯彻党的二十大和中央经济工作会议精神，认真落实省委、市委全会、经济工作会议部署要求，坚持稳中求进工作总基调，全面贯彻新发展理念。提高政治站位，提升能力素质，强化责任担当，以高质量建设提升城市品质为引领，紧紧抓住棚户区改造和城市道路市政基础设施重点建设项目，强力推进各项重点工作的开展，解决好工作中遇到的困难和问题，持续深入推进建筑市场和房地产市场清理规范工作，提升住房和城乡建设水平，着力推动城市建设上台阶、提品质，加快打造精致精美新矿区。</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全力加快在建项目建设进度。积极对接省、市，盯紧房地产融资协调机制“白名单”政策变化，重点在融资担保、主办银行等方面取得突破，帮扶在建的万基天锦、未来中心、铂宫一品、奥林华府4个高端住宅项目全力进驻“白名单”，最大限度帮扶企业进驻白名单，全力加快项目建设进度。同时，全力加快在建的驰阳租赁住房项目。</w:t>
      </w:r>
    </w:p>
    <w:p>
      <w:pPr>
        <w:pStyle w:val="23"/>
      </w:pPr>
      <w:r>
        <w:t>2.专项债收购存量房用作保障房。针对房地产市场低迷、商品房库存较大的现状，大力发挥专项债收购存量房用作保障房政策支持作用，将现有的551套存量房作为破局重点，最大限度提振消费、化解存量房，激活房地产市场活力。</w:t>
      </w:r>
    </w:p>
    <w:p>
      <w:pPr>
        <w:pStyle w:val="23"/>
      </w:pPr>
      <w:r>
        <w:t>3.解决棚户区改造遗留难题。捋顺3个棚户区改造项目工作机制，成立遗留问题解决专班，尽快形成工作联动机制，彻底解决横南、横北、天护3个棚户区在电力、物业、手续上的历史遗留问题，确保人民群众回迁安置有速度、有温度。</w:t>
      </w:r>
    </w:p>
    <w:p>
      <w:pPr>
        <w:pStyle w:val="23"/>
      </w:pPr>
      <w:r>
        <w:t>4.全力盘活城区闲置地块。坚持市场化运营思路，重点聚焦康盛二街沿街及横涧乡旧政府和万基天锦南侧2个地块，进行招商开发利用，大力度盘活闲置优质城区土地资源，力争打造地标性建筑物，不断完善城市配套功能。</w:t>
      </w:r>
    </w:p>
    <w:p>
      <w:pPr>
        <w:pStyle w:val="23"/>
      </w:pPr>
      <w:r>
        <w:t>5.全力推进房地产工作。一是建设上发力，服务全区在建的所有房建类项目尽快建成交付。二是销售上发力，组织大型团购活动，最大限度消化存量房库存。三是积极配合自然资源分局，大力化解办证难项目落地。</w:t>
      </w:r>
    </w:p>
    <w:p>
      <w:pPr>
        <w:pStyle w:val="23"/>
      </w:pPr>
      <w:r>
        <w:t>6.历史文化名城和街区保护提升。持续对接省市，谋划包装将正丰左岸艺术村列入历史文化街区，申请省级名村贾庄村毕家台抢救性资金，提前完善相关材料，确保赢得上级政策支持。</w:t>
      </w:r>
    </w:p>
    <w:p>
      <w:pPr>
        <w:pStyle w:val="23"/>
      </w:pPr>
      <w:r>
        <w:t>7.井陉矿区防洪排涝、防涝项目。重点实施滨河路、平涉路2个路段雨水排涝工程，尽快完成项目建议书、可研等相关手续，全力提升城区整体排涝效果。同时，积极对接审批局，加快滨河水系防涝项目手续跑办。</w:t>
      </w:r>
    </w:p>
    <w:p>
      <w:pPr>
        <w:pStyle w:val="23"/>
      </w:pPr>
      <w:r>
        <w:t>8.避险搬迁项目。充分利用避险搬迁政策，大力推进横西、东岗头拆迁安置户回迁安置，建设5栋回迁安置楼（横西4栋、天护28#楼1栋），并推进建桥街北延项目建设。</w:t>
      </w:r>
    </w:p>
    <w:p>
      <w:pPr>
        <w:pStyle w:val="23"/>
      </w:pPr>
      <w:r>
        <w:t>9.城区道路项目。实施北纬路东延幼儿园门前道路顺接路段提升工程，推进西岗街绿化、亮化道路提档升级项目，有效提升城区道路环境。</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蓝图绘就，重在落实。各部门要认真贯彻落实部署要求，聚焦聚力各项任务目标，全面营造比学赶超、奋勇争先、接续奋斗、再创佳绩的浓厚氛围，奋力推进城市建设工作再上新台阶。</w:t>
      </w:r>
    </w:p>
    <w:p>
      <w:pPr>
        <w:pStyle w:val="24"/>
      </w:pPr>
      <w:r>
        <w:t>1.成立组织机构。成立由局长任组长，各副局长任副组长，各股室负责人为成员的2025年度住建工作要点领导小组，全面负责全局各项重点工作的统筹协调和规定，研究解决各项工作中遇到的问题，保障各项工作顺利推进。</w:t>
      </w:r>
    </w:p>
    <w:p>
      <w:pPr>
        <w:pStyle w:val="24"/>
      </w:pPr>
      <w:r>
        <w:t>2.细化目标责任。各科室要对照各自的工作任务逐项、逐条进行细化量化，明确承办人员、工作标准和完成时限，确保任务到人、责任到人、奖惩到人，真正形成抢先干、动真干、加压干的良好局面。</w:t>
      </w:r>
    </w:p>
    <w:p>
      <w:pPr>
        <w:pStyle w:val="24"/>
      </w:pPr>
      <w:r>
        <w:t>3.加强协调调度。实行周调度、月通报制度，定期对工作进展情况进行调度和通报，不定期召开督导协调会，及时协调解决工作中出现的问题。实行全程督查，追踪问效，切实提速落实过程，提高工作质量，各股室每周四下午4点前将承担重点工作的进展情况报局办公室汇总。</w:t>
      </w:r>
    </w:p>
    <w:p>
      <w:pPr>
        <w:pStyle w:val="24"/>
        <w:sectPr>
          <w:pgSz w:w="16840" w:h="11900" w:orient="landscape"/>
          <w:pgMar w:top="1361" w:right="1020" w:bottom="1361" w:left="1020" w:header="720" w:footer="720" w:gutter="0"/>
        </w:sectPr>
      </w:pPr>
      <w:r>
        <w:t xml:space="preserve">4.严格考核奖惩。将该项工作列入我局年终目标考核，年终根据各项工作任务完成情况，对各科室工作进行考核、排队，对先进的科室进行表彰奖励，对不能按时完成任务的予以严肃处理，营造奖优罚劣的浓厚氛围。         </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280" w:firstLineChars="4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sectPr>
      </w:pP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1、关于提前下达2025年省级乡村振兴专项资金（政府债券）的通知绩效目标表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13010725P00019810014T</w:t>
            </w:r>
          </w:p>
        </w:tc>
        <w:tc>
          <w:tcPr>
            <w:tcW w:w="2835" w:type="dxa"/>
            <w:vAlign w:val="center"/>
          </w:tcPr>
          <w:p>
            <w:pPr>
              <w:pStyle w:val="11"/>
            </w:pPr>
            <w:r>
              <w:t>项目名称</w:t>
            </w:r>
          </w:p>
        </w:tc>
        <w:tc>
          <w:tcPr>
            <w:tcW w:w="6095" w:type="dxa"/>
            <w:gridSpan w:val="3"/>
            <w:vAlign w:val="center"/>
          </w:tcPr>
          <w:p>
            <w:pPr>
              <w:pStyle w:val="13"/>
            </w:pPr>
            <w:r>
              <w:t>关于提前下达2025年省级乡村振兴专项资金（政府债券）的通知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rPr>
                <w:rFonts w:hint="eastAsia" w:eastAsia="方正书宋_GBK"/>
                <w:lang w:eastAsia="zh-CN"/>
              </w:rPr>
            </w:pPr>
            <w:r>
              <w:rPr>
                <w:rFonts w:hint="eastAsia"/>
                <w:lang w:eastAsia="zh-CN"/>
              </w:rPr>
              <w:t>用于</w:t>
            </w:r>
            <w:r>
              <w:t>装配式农房建设</w:t>
            </w:r>
            <w:r>
              <w:rPr>
                <w:rFonts w:hint="eastAsia"/>
                <w:lang w:eastAsia="zh-CN"/>
              </w:rPr>
              <w:t>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rPr>
                <w:rFonts w:hint="default" w:eastAsia="方正书宋_GBK"/>
                <w:lang w:val="en-US" w:eastAsia="zh-CN"/>
              </w:rPr>
            </w:pPr>
            <w:r>
              <w:rPr>
                <w:rFonts w:hint="eastAsia"/>
                <w:lang w:val="en-US" w:eastAsia="zh-CN"/>
              </w:rPr>
              <w:t>50</w:t>
            </w:r>
          </w:p>
        </w:tc>
        <w:tc>
          <w:tcPr>
            <w:tcW w:w="2551" w:type="dxa"/>
            <w:vAlign w:val="center"/>
          </w:tcPr>
          <w:p>
            <w:pPr>
              <w:pStyle w:val="14"/>
            </w:pPr>
            <w:r>
              <w:t xml:space="preserve"> </w:t>
            </w:r>
          </w:p>
        </w:tc>
        <w:tc>
          <w:tcPr>
            <w:tcW w:w="3544" w:type="dxa"/>
            <w:gridSpan w:val="2"/>
            <w:vAlign w:val="center"/>
          </w:tcPr>
          <w:p>
            <w:pPr>
              <w:pStyle w:val="14"/>
            </w:pPr>
            <w:r>
              <w:rPr>
                <w:rFonts w:hint="eastAsia"/>
                <w:lang w:val="en-US" w:eastAsia="zh-CN"/>
              </w:rPr>
              <w:t>100</w:t>
            </w: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1.通过下达装配式农房建设资金，完成2户农房建设。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90"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装配式农房建设</w:t>
            </w:r>
          </w:p>
        </w:tc>
        <w:tc>
          <w:tcPr>
            <w:tcW w:w="5386" w:type="dxa"/>
            <w:vAlign w:val="center"/>
          </w:tcPr>
          <w:p>
            <w:pPr>
              <w:pStyle w:val="13"/>
            </w:pPr>
            <w:r>
              <w:t>装配式农房建设户数</w:t>
            </w:r>
          </w:p>
        </w:tc>
        <w:tc>
          <w:tcPr>
            <w:tcW w:w="2268" w:type="dxa"/>
            <w:vAlign w:val="center"/>
          </w:tcPr>
          <w:p>
            <w:pPr>
              <w:pStyle w:val="13"/>
            </w:pPr>
            <w:r>
              <w:t>≤2户</w:t>
            </w:r>
          </w:p>
        </w:tc>
        <w:tc>
          <w:tcPr>
            <w:tcW w:w="1276" w:type="dxa"/>
            <w:vAlign w:val="center"/>
          </w:tcPr>
          <w:p>
            <w:pPr>
              <w:pStyle w:val="13"/>
            </w:pPr>
            <w:r>
              <w:t>石财农{2024}76号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装配式农房建设合格率</w:t>
            </w:r>
          </w:p>
        </w:tc>
        <w:tc>
          <w:tcPr>
            <w:tcW w:w="5386" w:type="dxa"/>
            <w:vAlign w:val="center"/>
          </w:tcPr>
          <w:p>
            <w:pPr>
              <w:pStyle w:val="13"/>
            </w:pPr>
            <w:r>
              <w:t>装配式农房建设合格率</w:t>
            </w:r>
          </w:p>
        </w:tc>
        <w:tc>
          <w:tcPr>
            <w:tcW w:w="2268" w:type="dxa"/>
            <w:vAlign w:val="center"/>
          </w:tcPr>
          <w:p>
            <w:pPr>
              <w:pStyle w:val="13"/>
            </w:pPr>
            <w:r>
              <w:t>≥95%</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完成时间</w:t>
            </w:r>
          </w:p>
        </w:tc>
        <w:tc>
          <w:tcPr>
            <w:tcW w:w="2268" w:type="dxa"/>
            <w:vAlign w:val="center"/>
          </w:tcPr>
          <w:p>
            <w:pPr>
              <w:pStyle w:val="13"/>
            </w:pPr>
            <w:r>
              <w:t>按照工作任务，按要求完成</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下达资金标准</w:t>
            </w:r>
          </w:p>
        </w:tc>
        <w:tc>
          <w:tcPr>
            <w:tcW w:w="5386" w:type="dxa"/>
            <w:vAlign w:val="center"/>
          </w:tcPr>
          <w:p>
            <w:pPr>
              <w:pStyle w:val="13"/>
            </w:pPr>
            <w:r>
              <w:t>下达资金标准</w:t>
            </w:r>
          </w:p>
        </w:tc>
        <w:tc>
          <w:tcPr>
            <w:tcW w:w="2268" w:type="dxa"/>
            <w:vAlign w:val="center"/>
          </w:tcPr>
          <w:p>
            <w:pPr>
              <w:pStyle w:val="13"/>
            </w:pPr>
            <w:r>
              <w:t>平均每户1万元</w:t>
            </w:r>
          </w:p>
        </w:tc>
        <w:tc>
          <w:tcPr>
            <w:tcW w:w="1276" w:type="dxa"/>
            <w:vAlign w:val="center"/>
          </w:tcPr>
          <w:p>
            <w:pPr>
              <w:pStyle w:val="13"/>
            </w:pPr>
            <w:r>
              <w:t>石财农{2024}76号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通过建设装配式农房，提高居民居住舒适度</w:t>
            </w:r>
          </w:p>
        </w:tc>
        <w:tc>
          <w:tcPr>
            <w:tcW w:w="5386" w:type="dxa"/>
            <w:vAlign w:val="center"/>
          </w:tcPr>
          <w:p>
            <w:pPr>
              <w:pStyle w:val="13"/>
            </w:pPr>
            <w:r>
              <w:t>通过建设装配式农房，提高居民居住舒适度</w:t>
            </w:r>
          </w:p>
        </w:tc>
        <w:tc>
          <w:tcPr>
            <w:tcW w:w="2268" w:type="dxa"/>
            <w:vAlign w:val="center"/>
          </w:tcPr>
          <w:p>
            <w:pPr>
              <w:pStyle w:val="13"/>
            </w:pPr>
            <w:r>
              <w:t>通过建设装配式农房，提高居民居住舒适度</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村民满意度（%）</w:t>
            </w:r>
          </w:p>
        </w:tc>
        <w:tc>
          <w:tcPr>
            <w:tcW w:w="2268" w:type="dxa"/>
            <w:vAlign w:val="center"/>
          </w:tcPr>
          <w:p>
            <w:pPr>
              <w:pStyle w:val="13"/>
            </w:pPr>
            <w:r>
              <w:t>≥100%</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2、监控管理平台系统维护服务绩效目标表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13010725P000025100276</w:t>
            </w:r>
          </w:p>
        </w:tc>
        <w:tc>
          <w:tcPr>
            <w:tcW w:w="2835" w:type="dxa"/>
            <w:vAlign w:val="center"/>
          </w:tcPr>
          <w:p>
            <w:pPr>
              <w:pStyle w:val="11"/>
            </w:pPr>
            <w:r>
              <w:t>项目名称</w:t>
            </w:r>
          </w:p>
        </w:tc>
        <w:tc>
          <w:tcPr>
            <w:tcW w:w="6095" w:type="dxa"/>
            <w:gridSpan w:val="3"/>
            <w:vAlign w:val="center"/>
          </w:tcPr>
          <w:p>
            <w:pPr>
              <w:pStyle w:val="13"/>
            </w:pPr>
            <w:r>
              <w:t>监控管理平台系统维护服务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rPr>
                <w:rFonts w:hint="eastAsia" w:eastAsia="方正书宋_GBK"/>
                <w:lang w:eastAsia="zh-CN"/>
              </w:rPr>
            </w:pPr>
            <w:r>
              <w:rPr>
                <w:rFonts w:hint="eastAsia"/>
                <w:lang w:eastAsia="zh-CN"/>
              </w:rPr>
              <w:t>用于</w:t>
            </w:r>
            <w:r>
              <w:t>扬尘监控平台</w:t>
            </w:r>
            <w:r>
              <w:rPr>
                <w:rFonts w:hint="eastAsia"/>
                <w:lang w:eastAsia="zh-CN"/>
              </w:rPr>
              <w:t>系统</w:t>
            </w:r>
            <w:r>
              <w:t>维护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rPr>
                <w:rFonts w:hint="default" w:eastAsia="方正书宋_GBK"/>
                <w:lang w:val="en-US" w:eastAsia="zh-CN"/>
              </w:rPr>
            </w:pPr>
            <w:r>
              <w:rPr>
                <w:rFonts w:hint="eastAsia"/>
                <w:lang w:val="en-US" w:eastAsia="zh-CN"/>
              </w:rP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1.通过扬尘监控平台维护，提高扬尘治理工作的及时性。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平台数量</w:t>
            </w:r>
          </w:p>
        </w:tc>
        <w:tc>
          <w:tcPr>
            <w:tcW w:w="5386" w:type="dxa"/>
            <w:vAlign w:val="center"/>
          </w:tcPr>
          <w:p>
            <w:pPr>
              <w:pStyle w:val="13"/>
            </w:pPr>
            <w:r>
              <w:t>监控管理平台数量</w:t>
            </w:r>
          </w:p>
        </w:tc>
        <w:tc>
          <w:tcPr>
            <w:tcW w:w="2268" w:type="dxa"/>
            <w:vAlign w:val="center"/>
          </w:tcPr>
          <w:p>
            <w:pPr>
              <w:pStyle w:val="13"/>
            </w:pPr>
            <w:r>
              <w:t>≥1项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设备正常运转率</w:t>
            </w:r>
          </w:p>
        </w:tc>
        <w:tc>
          <w:tcPr>
            <w:tcW w:w="5386" w:type="dxa"/>
            <w:vAlign w:val="center"/>
          </w:tcPr>
          <w:p>
            <w:pPr>
              <w:pStyle w:val="13"/>
            </w:pPr>
            <w:r>
              <w:t>设备正常运转率</w:t>
            </w:r>
          </w:p>
        </w:tc>
        <w:tc>
          <w:tcPr>
            <w:tcW w:w="2268" w:type="dxa"/>
            <w:vAlign w:val="center"/>
          </w:tcPr>
          <w:p>
            <w:pPr>
              <w:pStyle w:val="13"/>
            </w:pPr>
            <w:r>
              <w:t>≥98%</w:t>
            </w:r>
          </w:p>
        </w:tc>
        <w:tc>
          <w:tcPr>
            <w:tcW w:w="1276" w:type="dxa"/>
            <w:vAlign w:val="center"/>
          </w:tcPr>
          <w:p>
            <w:pPr>
              <w:pStyle w:val="13"/>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监测工作完成时间</w:t>
            </w:r>
          </w:p>
        </w:tc>
        <w:tc>
          <w:tcPr>
            <w:tcW w:w="5386" w:type="dxa"/>
            <w:vAlign w:val="center"/>
          </w:tcPr>
          <w:p>
            <w:pPr>
              <w:pStyle w:val="13"/>
            </w:pPr>
            <w:r>
              <w:t>监测工作完成时间</w:t>
            </w:r>
          </w:p>
        </w:tc>
        <w:tc>
          <w:tcPr>
            <w:tcW w:w="2268" w:type="dxa"/>
            <w:vAlign w:val="center"/>
          </w:tcPr>
          <w:p>
            <w:pPr>
              <w:pStyle w:val="13"/>
            </w:pPr>
            <w:r>
              <w:t>2025年年底前</w:t>
            </w:r>
          </w:p>
        </w:tc>
        <w:tc>
          <w:tcPr>
            <w:tcW w:w="1276" w:type="dxa"/>
            <w:vAlign w:val="center"/>
          </w:tcPr>
          <w:p>
            <w:pPr>
              <w:pStyle w:val="13"/>
            </w:pPr>
            <w:r>
              <w:t>履行合同约定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维护平台成本</w:t>
            </w:r>
          </w:p>
        </w:tc>
        <w:tc>
          <w:tcPr>
            <w:tcW w:w="5386" w:type="dxa"/>
            <w:vAlign w:val="center"/>
          </w:tcPr>
          <w:p>
            <w:pPr>
              <w:pStyle w:val="13"/>
            </w:pPr>
            <w:r>
              <w:t>维护平台成本</w:t>
            </w:r>
          </w:p>
        </w:tc>
        <w:tc>
          <w:tcPr>
            <w:tcW w:w="2268" w:type="dxa"/>
            <w:vAlign w:val="center"/>
          </w:tcPr>
          <w:p>
            <w:pPr>
              <w:pStyle w:val="13"/>
            </w:pPr>
            <w:r>
              <w:t>≤3万元</w:t>
            </w:r>
          </w:p>
        </w:tc>
        <w:tc>
          <w:tcPr>
            <w:tcW w:w="1276" w:type="dxa"/>
            <w:vAlign w:val="center"/>
          </w:tcPr>
          <w:p>
            <w:pPr>
              <w:pStyle w:val="13"/>
            </w:pPr>
            <w:r>
              <w:t>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改善扬尘现象</w:t>
            </w:r>
          </w:p>
        </w:tc>
        <w:tc>
          <w:tcPr>
            <w:tcW w:w="5386" w:type="dxa"/>
            <w:vAlign w:val="center"/>
          </w:tcPr>
          <w:p>
            <w:pPr>
              <w:pStyle w:val="13"/>
            </w:pPr>
            <w:r>
              <w:t>通过扬尘监控平台维护，提高扬尘治理工作，改善扬尘现象</w:t>
            </w:r>
          </w:p>
        </w:tc>
        <w:tc>
          <w:tcPr>
            <w:tcW w:w="2268" w:type="dxa"/>
            <w:vAlign w:val="center"/>
          </w:tcPr>
          <w:p>
            <w:pPr>
              <w:pStyle w:val="13"/>
            </w:pPr>
            <w:r>
              <w:t>通过扬尘监控平台维护，提高扬尘治理工作，改善扬尘现象</w:t>
            </w:r>
          </w:p>
        </w:tc>
        <w:tc>
          <w:tcPr>
            <w:tcW w:w="1276" w:type="dxa"/>
            <w:vAlign w:val="center"/>
          </w:tcPr>
          <w:p>
            <w:pPr>
              <w:pStyle w:val="13"/>
            </w:pPr>
            <w:r>
              <w:t>近三年工作经验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p>
        </w:tc>
        <w:tc>
          <w:tcPr>
            <w:tcW w:w="5386" w:type="dxa"/>
            <w:vAlign w:val="center"/>
          </w:tcPr>
          <w:p>
            <w:pPr>
              <w:pStyle w:val="13"/>
            </w:pPr>
            <w:r>
              <w:t>单位满意度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3、建筑工地扬尘监控平台宽带网光纤绩效目标表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13010725P00002510026J</w:t>
            </w:r>
          </w:p>
        </w:tc>
        <w:tc>
          <w:tcPr>
            <w:tcW w:w="2835" w:type="dxa"/>
            <w:vAlign w:val="center"/>
          </w:tcPr>
          <w:p>
            <w:pPr>
              <w:pStyle w:val="11"/>
            </w:pPr>
            <w:r>
              <w:t>项目名称</w:t>
            </w:r>
          </w:p>
        </w:tc>
        <w:tc>
          <w:tcPr>
            <w:tcW w:w="6095" w:type="dxa"/>
            <w:gridSpan w:val="3"/>
            <w:vAlign w:val="center"/>
          </w:tcPr>
          <w:p>
            <w:pPr>
              <w:pStyle w:val="13"/>
            </w:pPr>
            <w:r>
              <w:t>建筑工地扬尘监控平台宽带网光纤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0.72</w:t>
            </w:r>
          </w:p>
        </w:tc>
        <w:tc>
          <w:tcPr>
            <w:tcW w:w="2835" w:type="dxa"/>
            <w:vAlign w:val="center"/>
          </w:tcPr>
          <w:p>
            <w:pPr>
              <w:pStyle w:val="11"/>
            </w:pPr>
            <w:r>
              <w:t>其中：财政    资金</w:t>
            </w:r>
          </w:p>
        </w:tc>
        <w:tc>
          <w:tcPr>
            <w:tcW w:w="2551" w:type="dxa"/>
            <w:vAlign w:val="center"/>
          </w:tcPr>
          <w:p>
            <w:pPr>
              <w:pStyle w:val="13"/>
            </w:pPr>
            <w:r>
              <w:t>0.72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rPr>
                <w:rFonts w:hint="eastAsia" w:eastAsia="方正书宋_GBK"/>
                <w:lang w:eastAsia="zh-CN"/>
              </w:rPr>
            </w:pPr>
            <w:r>
              <w:rPr>
                <w:rFonts w:hint="eastAsia"/>
                <w:lang w:eastAsia="zh-CN"/>
              </w:rPr>
              <w:t>用于</w:t>
            </w:r>
            <w:r>
              <w:t>建筑工地扬尘监控平台宽带网光纤</w:t>
            </w:r>
            <w:r>
              <w:rPr>
                <w:rFonts w:hint="eastAsia"/>
                <w:lang w:eastAsia="zh-CN"/>
              </w:rPr>
              <w:t>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rPr>
                <w:rFonts w:hint="default" w:eastAsia="方正书宋_GBK"/>
                <w:lang w:val="en-US" w:eastAsia="zh-CN"/>
              </w:rPr>
            </w:pPr>
            <w:r>
              <w:rPr>
                <w:rFonts w:hint="eastAsia"/>
                <w:lang w:val="en-US" w:eastAsia="zh-CN"/>
              </w:rP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1.通过接入扬尘互联网专线，保障扬尘监控业务顺利有序开展。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扬尘互联网专线</w:t>
            </w:r>
          </w:p>
        </w:tc>
        <w:tc>
          <w:tcPr>
            <w:tcW w:w="5386" w:type="dxa"/>
            <w:vAlign w:val="center"/>
          </w:tcPr>
          <w:p>
            <w:pPr>
              <w:pStyle w:val="13"/>
            </w:pPr>
            <w:r>
              <w:t>扬尘互联网专线</w:t>
            </w:r>
          </w:p>
        </w:tc>
        <w:tc>
          <w:tcPr>
            <w:tcW w:w="2268" w:type="dxa"/>
            <w:vAlign w:val="center"/>
          </w:tcPr>
          <w:p>
            <w:pPr>
              <w:pStyle w:val="13"/>
            </w:pPr>
            <w:r>
              <w:t>1项</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设备正常运转率</w:t>
            </w:r>
          </w:p>
        </w:tc>
        <w:tc>
          <w:tcPr>
            <w:tcW w:w="5386" w:type="dxa"/>
            <w:vAlign w:val="center"/>
          </w:tcPr>
          <w:p>
            <w:pPr>
              <w:pStyle w:val="13"/>
            </w:pPr>
            <w:r>
              <w:t>设备正常运转率</w:t>
            </w:r>
          </w:p>
        </w:tc>
        <w:tc>
          <w:tcPr>
            <w:tcW w:w="2268" w:type="dxa"/>
            <w:vAlign w:val="center"/>
          </w:tcPr>
          <w:p>
            <w:pPr>
              <w:pStyle w:val="13"/>
            </w:pPr>
            <w:r>
              <w:t>≥98%</w:t>
            </w:r>
          </w:p>
        </w:tc>
        <w:tc>
          <w:tcPr>
            <w:tcW w:w="1276" w:type="dxa"/>
            <w:vAlign w:val="center"/>
          </w:tcPr>
          <w:p>
            <w:pPr>
              <w:pStyle w:val="13"/>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扬尘监控工作完成时间</w:t>
            </w:r>
          </w:p>
        </w:tc>
        <w:tc>
          <w:tcPr>
            <w:tcW w:w="5386" w:type="dxa"/>
            <w:vAlign w:val="center"/>
          </w:tcPr>
          <w:p>
            <w:pPr>
              <w:pStyle w:val="13"/>
            </w:pPr>
            <w:r>
              <w:t>扬尘监控工作完成时间</w:t>
            </w:r>
          </w:p>
        </w:tc>
        <w:tc>
          <w:tcPr>
            <w:tcW w:w="2268" w:type="dxa"/>
            <w:vAlign w:val="center"/>
          </w:tcPr>
          <w:p>
            <w:pPr>
              <w:pStyle w:val="13"/>
            </w:pPr>
            <w:r>
              <w:t>202</w:t>
            </w:r>
            <w:r>
              <w:rPr>
                <w:rFonts w:hint="eastAsia"/>
                <w:lang w:val="en-US" w:eastAsia="zh-CN"/>
              </w:rPr>
              <w:t>5</w:t>
            </w:r>
            <w:r>
              <w:t>年年底前</w:t>
            </w:r>
          </w:p>
        </w:tc>
        <w:tc>
          <w:tcPr>
            <w:tcW w:w="1276" w:type="dxa"/>
            <w:vAlign w:val="center"/>
          </w:tcPr>
          <w:p>
            <w:pPr>
              <w:pStyle w:val="13"/>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支付扬尘互联网成本</w:t>
            </w:r>
          </w:p>
        </w:tc>
        <w:tc>
          <w:tcPr>
            <w:tcW w:w="5386" w:type="dxa"/>
            <w:vAlign w:val="center"/>
          </w:tcPr>
          <w:p>
            <w:pPr>
              <w:pStyle w:val="13"/>
            </w:pPr>
            <w:r>
              <w:t>支付扬尘互联网成本</w:t>
            </w:r>
          </w:p>
        </w:tc>
        <w:tc>
          <w:tcPr>
            <w:tcW w:w="2268" w:type="dxa"/>
            <w:vAlign w:val="center"/>
          </w:tcPr>
          <w:p>
            <w:pPr>
              <w:pStyle w:val="13"/>
            </w:pPr>
            <w:r>
              <w:t>≤0.72万元</w:t>
            </w:r>
          </w:p>
        </w:tc>
        <w:tc>
          <w:tcPr>
            <w:tcW w:w="1276" w:type="dxa"/>
            <w:vAlign w:val="center"/>
          </w:tcPr>
          <w:p>
            <w:pPr>
              <w:pStyle w:val="13"/>
            </w:pPr>
            <w:r>
              <w:t>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促进建筑工地管理能力</w:t>
            </w:r>
          </w:p>
        </w:tc>
        <w:tc>
          <w:tcPr>
            <w:tcW w:w="5386" w:type="dxa"/>
            <w:vAlign w:val="center"/>
          </w:tcPr>
          <w:p>
            <w:pPr>
              <w:pStyle w:val="13"/>
            </w:pPr>
            <w:r>
              <w:t>促进建筑工地管理能力</w:t>
            </w:r>
          </w:p>
        </w:tc>
        <w:tc>
          <w:tcPr>
            <w:tcW w:w="2268" w:type="dxa"/>
            <w:vAlign w:val="center"/>
          </w:tcPr>
          <w:p>
            <w:pPr>
              <w:pStyle w:val="13"/>
            </w:pPr>
            <w:r>
              <w:t>有效促进建筑工地管理能力</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p>
        </w:tc>
        <w:tc>
          <w:tcPr>
            <w:tcW w:w="5386" w:type="dxa"/>
            <w:vAlign w:val="center"/>
          </w:tcPr>
          <w:p>
            <w:pPr>
              <w:pStyle w:val="13"/>
            </w:pPr>
            <w:r>
              <w:t>单位满意度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4、康盛二街拆迁安置费绩效目标表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13010725P000194100073</w:t>
            </w:r>
          </w:p>
        </w:tc>
        <w:tc>
          <w:tcPr>
            <w:tcW w:w="2835" w:type="dxa"/>
            <w:vAlign w:val="center"/>
          </w:tcPr>
          <w:p>
            <w:pPr>
              <w:pStyle w:val="11"/>
            </w:pPr>
            <w:r>
              <w:t>项目名称</w:t>
            </w:r>
          </w:p>
        </w:tc>
        <w:tc>
          <w:tcPr>
            <w:tcW w:w="6095" w:type="dxa"/>
            <w:gridSpan w:val="3"/>
            <w:vAlign w:val="center"/>
          </w:tcPr>
          <w:p>
            <w:pPr>
              <w:pStyle w:val="13"/>
            </w:pPr>
            <w:r>
              <w:t>康盛二街拆迁安置费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21.19</w:t>
            </w:r>
          </w:p>
        </w:tc>
        <w:tc>
          <w:tcPr>
            <w:tcW w:w="2835" w:type="dxa"/>
            <w:vAlign w:val="center"/>
          </w:tcPr>
          <w:p>
            <w:pPr>
              <w:pStyle w:val="11"/>
            </w:pPr>
            <w:r>
              <w:t>其中：财政    资金</w:t>
            </w:r>
          </w:p>
        </w:tc>
        <w:tc>
          <w:tcPr>
            <w:tcW w:w="2551" w:type="dxa"/>
            <w:vAlign w:val="center"/>
          </w:tcPr>
          <w:p>
            <w:pPr>
              <w:pStyle w:val="13"/>
            </w:pPr>
            <w:r>
              <w:t>21.19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lang w:eastAsia="zh-CN"/>
              </w:rPr>
              <w:t>用于</w:t>
            </w:r>
            <w:r>
              <w:t>康盛二街拆迁安置</w:t>
            </w:r>
            <w:r>
              <w:rPr>
                <w:rFonts w:hint="eastAsia"/>
                <w:lang w:eastAsia="zh-CN"/>
              </w:rPr>
              <w:t>补偿</w:t>
            </w:r>
            <w:r>
              <w:t>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rPr>
                <w:rFonts w:hint="default" w:eastAsia="方正书宋_GBK"/>
                <w:lang w:val="en-US" w:eastAsia="zh-CN"/>
              </w:rPr>
            </w:pPr>
            <w:r>
              <w:rPr>
                <w:rFonts w:hint="eastAsia"/>
                <w:lang w:val="en-US" w:eastAsia="zh-CN"/>
              </w:rPr>
              <w:t>50</w:t>
            </w:r>
          </w:p>
        </w:tc>
        <w:tc>
          <w:tcPr>
            <w:tcW w:w="2551" w:type="dxa"/>
            <w:vAlign w:val="center"/>
          </w:tcPr>
          <w:p>
            <w:pPr>
              <w:pStyle w:val="14"/>
            </w:pPr>
            <w:r>
              <w:t xml:space="preserve"> </w:t>
            </w:r>
          </w:p>
        </w:tc>
        <w:tc>
          <w:tcPr>
            <w:tcW w:w="3544" w:type="dxa"/>
            <w:gridSpan w:val="2"/>
            <w:vAlign w:val="center"/>
          </w:tcPr>
          <w:p>
            <w:pPr>
              <w:pStyle w:val="14"/>
              <w:tabs>
                <w:tab w:val="left" w:pos="835"/>
                <w:tab w:val="center" w:pos="1753"/>
              </w:tabs>
              <w:jc w:val="left"/>
              <w:rPr>
                <w:rFonts w:hint="default" w:eastAsia="方正书宋_GBK"/>
                <w:lang w:val="en-US" w:eastAsia="zh-CN"/>
              </w:rPr>
            </w:pPr>
            <w:r>
              <w:rPr>
                <w:rFonts w:hint="eastAsia"/>
                <w:lang w:eastAsia="zh-CN"/>
              </w:rPr>
              <w:tab/>
            </w: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1.通过对4户进行搬迁安置，贯通康盛二街，提升城市路网结构，改善城区形象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安置人数</w:t>
            </w:r>
          </w:p>
        </w:tc>
        <w:tc>
          <w:tcPr>
            <w:tcW w:w="5386" w:type="dxa"/>
            <w:vAlign w:val="center"/>
          </w:tcPr>
          <w:p>
            <w:pPr>
              <w:pStyle w:val="13"/>
            </w:pPr>
            <w:r>
              <w:t>拆迁安置人数</w:t>
            </w:r>
          </w:p>
        </w:tc>
        <w:tc>
          <w:tcPr>
            <w:tcW w:w="2268" w:type="dxa"/>
            <w:vAlign w:val="center"/>
          </w:tcPr>
          <w:p>
            <w:pPr>
              <w:pStyle w:val="13"/>
            </w:pPr>
            <w:r>
              <w:t>≤4户</w:t>
            </w:r>
          </w:p>
        </w:tc>
        <w:tc>
          <w:tcPr>
            <w:tcW w:w="1276" w:type="dxa"/>
            <w:vAlign w:val="center"/>
          </w:tcPr>
          <w:p>
            <w:pPr>
              <w:pStyle w:val="13"/>
            </w:pPr>
            <w:r>
              <w:t>协议搬迁补偿安置方案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安置费发放准确率</w:t>
            </w:r>
          </w:p>
        </w:tc>
        <w:tc>
          <w:tcPr>
            <w:tcW w:w="5386" w:type="dxa"/>
            <w:vAlign w:val="center"/>
          </w:tcPr>
          <w:p>
            <w:pPr>
              <w:pStyle w:val="13"/>
            </w:pPr>
            <w:r>
              <w:t>安置费发放准确率</w:t>
            </w:r>
          </w:p>
        </w:tc>
        <w:tc>
          <w:tcPr>
            <w:tcW w:w="2268" w:type="dxa"/>
            <w:vAlign w:val="center"/>
          </w:tcPr>
          <w:p>
            <w:pPr>
              <w:pStyle w:val="13"/>
            </w:pPr>
            <w:r>
              <w:t>100%</w:t>
            </w:r>
          </w:p>
        </w:tc>
        <w:tc>
          <w:tcPr>
            <w:tcW w:w="1276" w:type="dxa"/>
            <w:vAlign w:val="center"/>
          </w:tcPr>
          <w:p>
            <w:pPr>
              <w:pStyle w:val="13"/>
            </w:pPr>
            <w:r>
              <w:t>协议搬迁补偿安置方案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安置费发放完成时间</w:t>
            </w:r>
          </w:p>
        </w:tc>
        <w:tc>
          <w:tcPr>
            <w:tcW w:w="5386" w:type="dxa"/>
            <w:vAlign w:val="center"/>
          </w:tcPr>
          <w:p>
            <w:pPr>
              <w:pStyle w:val="13"/>
            </w:pPr>
            <w:r>
              <w:t>安置费发放完成时间</w:t>
            </w:r>
          </w:p>
        </w:tc>
        <w:tc>
          <w:tcPr>
            <w:tcW w:w="2268" w:type="dxa"/>
            <w:vAlign w:val="center"/>
          </w:tcPr>
          <w:p>
            <w:pPr>
              <w:pStyle w:val="13"/>
            </w:pPr>
            <w:r>
              <w:t>202</w:t>
            </w:r>
            <w:r>
              <w:rPr>
                <w:rFonts w:hint="eastAsia"/>
                <w:lang w:val="en-US" w:eastAsia="zh-CN"/>
              </w:rPr>
              <w:t>5</w:t>
            </w:r>
            <w:r>
              <w:t>年年底前</w:t>
            </w:r>
          </w:p>
        </w:tc>
        <w:tc>
          <w:tcPr>
            <w:tcW w:w="1276" w:type="dxa"/>
            <w:vAlign w:val="center"/>
          </w:tcPr>
          <w:p>
            <w:pPr>
              <w:pStyle w:val="13"/>
            </w:pPr>
            <w:r>
              <w:t>协议搬迁补偿安置方案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临时安置费标准</w:t>
            </w:r>
          </w:p>
        </w:tc>
        <w:tc>
          <w:tcPr>
            <w:tcW w:w="5386" w:type="dxa"/>
            <w:vAlign w:val="center"/>
          </w:tcPr>
          <w:p>
            <w:pPr>
              <w:pStyle w:val="13"/>
            </w:pPr>
            <w:r>
              <w:t>临时安置费标准</w:t>
            </w:r>
          </w:p>
        </w:tc>
        <w:tc>
          <w:tcPr>
            <w:tcW w:w="2268" w:type="dxa"/>
            <w:vAlign w:val="center"/>
          </w:tcPr>
          <w:p>
            <w:pPr>
              <w:pStyle w:val="13"/>
            </w:pPr>
            <w:r>
              <w:t>500元·年/平方米</w:t>
            </w:r>
          </w:p>
        </w:tc>
        <w:tc>
          <w:tcPr>
            <w:tcW w:w="1276" w:type="dxa"/>
            <w:vAlign w:val="center"/>
          </w:tcPr>
          <w:p>
            <w:pPr>
              <w:pStyle w:val="13"/>
            </w:pPr>
            <w:r>
              <w:t>协议搬迁补偿安置方案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保障搬迁户权益</w:t>
            </w:r>
          </w:p>
        </w:tc>
        <w:tc>
          <w:tcPr>
            <w:tcW w:w="5386" w:type="dxa"/>
            <w:vAlign w:val="center"/>
          </w:tcPr>
          <w:p>
            <w:pPr>
              <w:pStyle w:val="13"/>
            </w:pPr>
            <w:r>
              <w:t>通过发放安置费，保障搬迁户权益</w:t>
            </w:r>
          </w:p>
        </w:tc>
        <w:tc>
          <w:tcPr>
            <w:tcW w:w="2268" w:type="dxa"/>
            <w:vAlign w:val="center"/>
          </w:tcPr>
          <w:p>
            <w:pPr>
              <w:pStyle w:val="13"/>
            </w:pPr>
            <w:r>
              <w:t>有效保障搬迁户权益</w:t>
            </w:r>
          </w:p>
        </w:tc>
        <w:tc>
          <w:tcPr>
            <w:tcW w:w="1276" w:type="dxa"/>
            <w:vAlign w:val="center"/>
          </w:tcPr>
          <w:p>
            <w:pPr>
              <w:pStyle w:val="13"/>
            </w:pPr>
            <w:r>
              <w:t>协议搬迁补偿安置方案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征迁安置户满意度</w:t>
            </w:r>
          </w:p>
        </w:tc>
        <w:tc>
          <w:tcPr>
            <w:tcW w:w="5386" w:type="dxa"/>
            <w:vAlign w:val="center"/>
          </w:tcPr>
          <w:p>
            <w:pPr>
              <w:pStyle w:val="13"/>
            </w:pPr>
            <w:r>
              <w:t>征迁安置户满意度</w:t>
            </w:r>
          </w:p>
        </w:tc>
        <w:tc>
          <w:tcPr>
            <w:tcW w:w="2268" w:type="dxa"/>
            <w:vAlign w:val="center"/>
          </w:tcPr>
          <w:p>
            <w:pPr>
              <w:pStyle w:val="13"/>
            </w:pPr>
            <w:r>
              <w:t>≥99%</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5、廉租房租金补贴及保障房维修绩效目标表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13010725P000215100011</w:t>
            </w:r>
          </w:p>
        </w:tc>
        <w:tc>
          <w:tcPr>
            <w:tcW w:w="2835" w:type="dxa"/>
            <w:vAlign w:val="center"/>
          </w:tcPr>
          <w:p>
            <w:pPr>
              <w:pStyle w:val="11"/>
            </w:pPr>
            <w:r>
              <w:t>项目名称</w:t>
            </w:r>
          </w:p>
        </w:tc>
        <w:tc>
          <w:tcPr>
            <w:tcW w:w="6095" w:type="dxa"/>
            <w:gridSpan w:val="3"/>
            <w:vAlign w:val="center"/>
          </w:tcPr>
          <w:p>
            <w:pPr>
              <w:pStyle w:val="13"/>
            </w:pPr>
            <w:r>
              <w:t>廉租房租金补贴及保障房维修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按照工作要求核定保障对象，对符合要求的发放廉租补贴。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rPr>
                <w:rFonts w:hint="eastAsia"/>
                <w:lang w:val="en-US" w:eastAsia="zh-CN"/>
              </w:rPr>
              <w:t>25</w:t>
            </w:r>
            <w:r>
              <w:t xml:space="preserve"> </w:t>
            </w:r>
          </w:p>
        </w:tc>
        <w:tc>
          <w:tcPr>
            <w:tcW w:w="2835" w:type="dxa"/>
            <w:vAlign w:val="center"/>
          </w:tcPr>
          <w:p>
            <w:pPr>
              <w:pStyle w:val="14"/>
              <w:rPr>
                <w:rFonts w:hint="default" w:eastAsia="方正书宋_GBK"/>
                <w:lang w:val="en-US" w:eastAsia="zh-CN"/>
              </w:rPr>
            </w:pPr>
            <w:r>
              <w:rPr>
                <w:rFonts w:hint="eastAsia"/>
                <w:lang w:val="en-US" w:eastAsia="zh-CN"/>
              </w:rPr>
              <w:t>50</w:t>
            </w:r>
          </w:p>
        </w:tc>
        <w:tc>
          <w:tcPr>
            <w:tcW w:w="2551" w:type="dxa"/>
            <w:vAlign w:val="center"/>
          </w:tcPr>
          <w:p>
            <w:pPr>
              <w:pStyle w:val="14"/>
              <w:rPr>
                <w:rFonts w:hint="default" w:eastAsia="方正书宋_GBK"/>
                <w:lang w:val="en-US" w:eastAsia="zh-CN"/>
              </w:rPr>
            </w:pPr>
            <w:r>
              <w:t xml:space="preserve"> </w:t>
            </w:r>
            <w:r>
              <w:rPr>
                <w:rFonts w:hint="eastAsia"/>
                <w:lang w:val="en-US" w:eastAsia="zh-CN"/>
              </w:rPr>
              <w:t>75</w:t>
            </w:r>
          </w:p>
        </w:tc>
        <w:tc>
          <w:tcPr>
            <w:tcW w:w="3544" w:type="dxa"/>
            <w:gridSpan w:val="2"/>
            <w:vAlign w:val="center"/>
          </w:tcPr>
          <w:p>
            <w:pPr>
              <w:pStyle w:val="14"/>
            </w:pPr>
            <w:r>
              <w:rPr>
                <w:rFonts w:hint="eastAsia"/>
                <w:lang w:val="en-US" w:eastAsia="zh-CN"/>
              </w:rPr>
              <w:t>100</w:t>
            </w: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1.按照工作要求核定保障对象，对符合要求的发放廉租补贴。对保障房进行维修维护，加强保障房的管理，提升居民生活质量。</w:t>
            </w:r>
            <w:r>
              <w:tab/>
            </w: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廉租补贴户数</w:t>
            </w:r>
          </w:p>
        </w:tc>
        <w:tc>
          <w:tcPr>
            <w:tcW w:w="5386" w:type="dxa"/>
            <w:vAlign w:val="center"/>
          </w:tcPr>
          <w:p>
            <w:pPr>
              <w:pStyle w:val="13"/>
            </w:pPr>
            <w:r>
              <w:t>最低收入家庭8户，补贴户数随核定申请人数变动</w:t>
            </w:r>
          </w:p>
        </w:tc>
        <w:tc>
          <w:tcPr>
            <w:tcW w:w="2268" w:type="dxa"/>
            <w:vAlign w:val="center"/>
          </w:tcPr>
          <w:p>
            <w:pPr>
              <w:pStyle w:val="13"/>
            </w:pPr>
            <w:r>
              <w:t>≥8户</w:t>
            </w:r>
          </w:p>
        </w:tc>
        <w:tc>
          <w:tcPr>
            <w:tcW w:w="1276" w:type="dxa"/>
            <w:vAlign w:val="center"/>
          </w:tcPr>
          <w:p>
            <w:pPr>
              <w:pStyle w:val="13"/>
            </w:pPr>
            <w:r>
              <w:t>实际户数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廉租补贴户数</w:t>
            </w:r>
          </w:p>
        </w:tc>
        <w:tc>
          <w:tcPr>
            <w:tcW w:w="5386" w:type="dxa"/>
            <w:vAlign w:val="center"/>
          </w:tcPr>
          <w:p>
            <w:pPr>
              <w:pStyle w:val="13"/>
            </w:pPr>
            <w:r>
              <w:t>低收入家庭户数8户，补贴户数随核定申请人数变动</w:t>
            </w:r>
          </w:p>
        </w:tc>
        <w:tc>
          <w:tcPr>
            <w:tcW w:w="2268" w:type="dxa"/>
            <w:vAlign w:val="center"/>
          </w:tcPr>
          <w:p>
            <w:pPr>
              <w:pStyle w:val="13"/>
            </w:pPr>
            <w:r>
              <w:t>≥8户</w:t>
            </w:r>
          </w:p>
        </w:tc>
        <w:tc>
          <w:tcPr>
            <w:tcW w:w="1276" w:type="dxa"/>
            <w:vAlign w:val="center"/>
          </w:tcPr>
          <w:p>
            <w:pPr>
              <w:pStyle w:val="13"/>
            </w:pPr>
            <w:r>
              <w:t>实际户数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调查数据审核准确率</w:t>
            </w:r>
          </w:p>
        </w:tc>
        <w:tc>
          <w:tcPr>
            <w:tcW w:w="5386" w:type="dxa"/>
            <w:vAlign w:val="center"/>
          </w:tcPr>
          <w:p>
            <w:pPr>
              <w:pStyle w:val="13"/>
            </w:pPr>
            <w:r>
              <w:t>调查数据审核准确率</w:t>
            </w:r>
          </w:p>
        </w:tc>
        <w:tc>
          <w:tcPr>
            <w:tcW w:w="2268" w:type="dxa"/>
            <w:vAlign w:val="center"/>
          </w:tcPr>
          <w:p>
            <w:pPr>
              <w:pStyle w:val="13"/>
            </w:pPr>
            <w:r>
              <w:t>≥95%</w:t>
            </w:r>
          </w:p>
        </w:tc>
        <w:tc>
          <w:tcPr>
            <w:tcW w:w="1276" w:type="dxa"/>
            <w:vAlign w:val="center"/>
          </w:tcPr>
          <w:p>
            <w:pPr>
              <w:pStyle w:val="13"/>
            </w:pPr>
            <w:r>
              <w:t xml:space="preserve"> 相关文件依据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各项任务完成时间</w:t>
            </w:r>
          </w:p>
        </w:tc>
        <w:tc>
          <w:tcPr>
            <w:tcW w:w="5386" w:type="dxa"/>
            <w:vAlign w:val="center"/>
          </w:tcPr>
          <w:p>
            <w:pPr>
              <w:pStyle w:val="13"/>
            </w:pPr>
            <w:r>
              <w:t>各项任务完成时间</w:t>
            </w:r>
          </w:p>
        </w:tc>
        <w:tc>
          <w:tcPr>
            <w:tcW w:w="2268" w:type="dxa"/>
            <w:vAlign w:val="center"/>
          </w:tcPr>
          <w:p>
            <w:pPr>
              <w:pStyle w:val="13"/>
              <w:rPr>
                <w:rFonts w:hint="default" w:eastAsia="方正书宋_GBK"/>
                <w:lang w:val="en-US" w:eastAsia="zh-CN"/>
              </w:rPr>
            </w:pPr>
            <w:r>
              <w:t>202</w:t>
            </w:r>
            <w:r>
              <w:rPr>
                <w:rFonts w:hint="eastAsia"/>
                <w:lang w:val="en-US" w:eastAsia="zh-CN"/>
              </w:rPr>
              <w:t>5</w:t>
            </w:r>
            <w:r>
              <w:t>年</w:t>
            </w:r>
            <w:r>
              <w:rPr>
                <w:rFonts w:hint="eastAsia"/>
                <w:lang w:val="en-US" w:eastAsia="zh-CN"/>
              </w:rPr>
              <w:t>12月前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补贴标准：最低收入家庭5元/㎡·月</w:t>
            </w:r>
          </w:p>
        </w:tc>
        <w:tc>
          <w:tcPr>
            <w:tcW w:w="2268" w:type="dxa"/>
            <w:vAlign w:val="center"/>
          </w:tcPr>
          <w:p>
            <w:pPr>
              <w:pStyle w:val="13"/>
            </w:pPr>
            <w:r>
              <w:t>≤5㎡·月</w:t>
            </w:r>
          </w:p>
        </w:tc>
        <w:tc>
          <w:tcPr>
            <w:tcW w:w="1276" w:type="dxa"/>
            <w:vAlign w:val="center"/>
          </w:tcPr>
          <w:p>
            <w:pPr>
              <w:pStyle w:val="13"/>
            </w:pPr>
            <w:r>
              <w:t>矿政办函【2018】51号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补贴标准：低收入家庭4元/㎡·月</w:t>
            </w:r>
          </w:p>
        </w:tc>
        <w:tc>
          <w:tcPr>
            <w:tcW w:w="2268" w:type="dxa"/>
            <w:vAlign w:val="center"/>
          </w:tcPr>
          <w:p>
            <w:pPr>
              <w:pStyle w:val="13"/>
            </w:pPr>
            <w:r>
              <w:t>≤4㎡·月</w:t>
            </w:r>
          </w:p>
        </w:tc>
        <w:tc>
          <w:tcPr>
            <w:tcW w:w="1276" w:type="dxa"/>
            <w:vAlign w:val="center"/>
          </w:tcPr>
          <w:p>
            <w:pPr>
              <w:pStyle w:val="13"/>
            </w:pPr>
            <w:r>
              <w:t>矿政办函【2018】51号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解决低收入家庭住房问题</w:t>
            </w:r>
          </w:p>
        </w:tc>
        <w:tc>
          <w:tcPr>
            <w:tcW w:w="5386" w:type="dxa"/>
            <w:vAlign w:val="center"/>
          </w:tcPr>
          <w:p>
            <w:pPr>
              <w:pStyle w:val="13"/>
            </w:pPr>
            <w:r>
              <w:t>解决低收入家庭住房问题，提升困难家庭对政府住房政策的认可度</w:t>
            </w:r>
          </w:p>
        </w:tc>
        <w:tc>
          <w:tcPr>
            <w:tcW w:w="2268" w:type="dxa"/>
            <w:vAlign w:val="center"/>
          </w:tcPr>
          <w:p>
            <w:pPr>
              <w:pStyle w:val="13"/>
            </w:pPr>
            <w:r>
              <w:t>较上一年提升</w:t>
            </w:r>
          </w:p>
        </w:tc>
        <w:tc>
          <w:tcPr>
            <w:tcW w:w="1276" w:type="dxa"/>
            <w:vAlign w:val="center"/>
          </w:tcPr>
          <w:p>
            <w:pPr>
              <w:pStyle w:val="13"/>
            </w:pPr>
            <w:r>
              <w:t xml:space="preserve"> 相关依据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提升居民的生活质量</w:t>
            </w:r>
          </w:p>
        </w:tc>
        <w:tc>
          <w:tcPr>
            <w:tcW w:w="5386" w:type="dxa"/>
            <w:vAlign w:val="center"/>
          </w:tcPr>
          <w:p>
            <w:pPr>
              <w:pStyle w:val="13"/>
            </w:pPr>
            <w:r>
              <w:t>解决住房困难居民住房压力，提升居民的生活质量</w:t>
            </w:r>
          </w:p>
        </w:tc>
        <w:tc>
          <w:tcPr>
            <w:tcW w:w="2268" w:type="dxa"/>
            <w:vAlign w:val="center"/>
          </w:tcPr>
          <w:p>
            <w:pPr>
              <w:pStyle w:val="13"/>
            </w:pPr>
            <w:r>
              <w:t>较上一年提升</w:t>
            </w:r>
          </w:p>
        </w:tc>
        <w:tc>
          <w:tcPr>
            <w:tcW w:w="1276" w:type="dxa"/>
            <w:vAlign w:val="center"/>
          </w:tcPr>
          <w:p>
            <w:pPr>
              <w:pStyle w:val="13"/>
            </w:pPr>
            <w:r>
              <w:t xml:space="preserve"> 相关依据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补贴发放人员满意度</w:t>
            </w:r>
          </w:p>
        </w:tc>
        <w:tc>
          <w:tcPr>
            <w:tcW w:w="5386" w:type="dxa"/>
            <w:vAlign w:val="center"/>
          </w:tcPr>
          <w:p>
            <w:pPr>
              <w:pStyle w:val="13"/>
            </w:pPr>
            <w:r>
              <w:t>补贴发放人员满意度</w:t>
            </w:r>
          </w:p>
        </w:tc>
        <w:tc>
          <w:tcPr>
            <w:tcW w:w="2268" w:type="dxa"/>
            <w:vAlign w:val="center"/>
          </w:tcPr>
          <w:p>
            <w:pPr>
              <w:pStyle w:val="13"/>
            </w:pPr>
            <w:r>
              <w:t>≥98%</w:t>
            </w:r>
          </w:p>
        </w:tc>
        <w:tc>
          <w:tcPr>
            <w:tcW w:w="1276" w:type="dxa"/>
            <w:vAlign w:val="center"/>
          </w:tcPr>
          <w:p>
            <w:pPr>
              <w:pStyle w:val="13"/>
            </w:pPr>
            <w:r>
              <w:t>工作记录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6、天护新城、横南棚户区改造项目贷款本息绩效目标表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13010725P00021110001A</w:t>
            </w:r>
          </w:p>
        </w:tc>
        <w:tc>
          <w:tcPr>
            <w:tcW w:w="2835" w:type="dxa"/>
            <w:vAlign w:val="center"/>
          </w:tcPr>
          <w:p>
            <w:pPr>
              <w:pStyle w:val="11"/>
            </w:pPr>
            <w:r>
              <w:t>项目名称</w:t>
            </w:r>
          </w:p>
        </w:tc>
        <w:tc>
          <w:tcPr>
            <w:tcW w:w="6095" w:type="dxa"/>
            <w:gridSpan w:val="3"/>
            <w:vAlign w:val="center"/>
          </w:tcPr>
          <w:p>
            <w:pPr>
              <w:pStyle w:val="13"/>
            </w:pPr>
            <w:r>
              <w:t>天护新城、横南棚户区改造项目贷款本息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2226.80</w:t>
            </w:r>
          </w:p>
        </w:tc>
        <w:tc>
          <w:tcPr>
            <w:tcW w:w="2835" w:type="dxa"/>
            <w:vAlign w:val="center"/>
          </w:tcPr>
          <w:p>
            <w:pPr>
              <w:pStyle w:val="11"/>
            </w:pPr>
            <w:r>
              <w:t>其中：财政    资金</w:t>
            </w:r>
          </w:p>
        </w:tc>
        <w:tc>
          <w:tcPr>
            <w:tcW w:w="2551" w:type="dxa"/>
            <w:vAlign w:val="center"/>
          </w:tcPr>
          <w:p>
            <w:pPr>
              <w:pStyle w:val="13"/>
            </w:pPr>
            <w:r>
              <w:t>2226.80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rPr>
                <w:rFonts w:hint="eastAsia" w:eastAsia="方正书宋_GBK"/>
                <w:lang w:eastAsia="zh-CN"/>
              </w:rPr>
            </w:pPr>
            <w:r>
              <w:rPr>
                <w:rFonts w:hint="eastAsia"/>
                <w:lang w:eastAsia="zh-CN"/>
              </w:rPr>
              <w:t>用于归还</w:t>
            </w:r>
            <w:r>
              <w:t>天护新城、横南棚户区改造项目贷款本</w:t>
            </w:r>
            <w:r>
              <w:rPr>
                <w:rFonts w:hint="eastAsia"/>
                <w:lang w:eastAsia="zh-CN"/>
              </w:rPr>
              <w:t>金及利</w:t>
            </w:r>
            <w:r>
              <w:t>息</w:t>
            </w:r>
            <w:r>
              <w:rPr>
                <w:rFonts w:hint="eastAsia"/>
                <w:lang w:eastAsia="zh-CN"/>
              </w:rP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rPr>
                <w:rFonts w:hint="default" w:eastAsia="方正书宋_GBK"/>
                <w:lang w:val="en-US" w:eastAsia="zh-CN"/>
              </w:rPr>
            </w:pPr>
            <w:r>
              <w:t xml:space="preserve"> </w:t>
            </w:r>
            <w:r>
              <w:rPr>
                <w:rFonts w:hint="eastAsia"/>
                <w:lang w:val="en-US" w:eastAsia="zh-CN"/>
              </w:rPr>
              <w:t>25</w:t>
            </w:r>
          </w:p>
        </w:tc>
        <w:tc>
          <w:tcPr>
            <w:tcW w:w="2835" w:type="dxa"/>
            <w:vAlign w:val="center"/>
          </w:tcPr>
          <w:p>
            <w:pPr>
              <w:pStyle w:val="14"/>
              <w:rPr>
                <w:rFonts w:hint="default" w:eastAsia="方正书宋_GBK"/>
                <w:lang w:val="en-US" w:eastAsia="zh-CN"/>
              </w:rPr>
            </w:pPr>
            <w:r>
              <w:rPr>
                <w:rFonts w:hint="eastAsia"/>
                <w:lang w:val="en-US" w:eastAsia="zh-CN"/>
              </w:rPr>
              <w:t>50</w:t>
            </w:r>
          </w:p>
        </w:tc>
        <w:tc>
          <w:tcPr>
            <w:tcW w:w="2551" w:type="dxa"/>
            <w:vAlign w:val="center"/>
          </w:tcPr>
          <w:p>
            <w:pPr>
              <w:pStyle w:val="14"/>
            </w:pPr>
            <w:r>
              <w:rPr>
                <w:rFonts w:hint="eastAsia"/>
                <w:lang w:val="en-US" w:eastAsia="zh-CN"/>
              </w:rPr>
              <w:t>75</w:t>
            </w:r>
            <w:r>
              <w:t xml:space="preserve"> </w:t>
            </w:r>
          </w:p>
        </w:tc>
        <w:tc>
          <w:tcPr>
            <w:tcW w:w="3544" w:type="dxa"/>
            <w:gridSpan w:val="2"/>
            <w:vAlign w:val="center"/>
          </w:tcPr>
          <w:p>
            <w:pPr>
              <w:pStyle w:val="14"/>
              <w:rPr>
                <w:rFonts w:hint="default" w:eastAsia="方正书宋_GBK"/>
                <w:lang w:val="en-US" w:eastAsia="zh-CN"/>
              </w:rPr>
            </w:pPr>
            <w:r>
              <w:t xml:space="preserve"> </w:t>
            </w: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1.根据投融资协议按季度归还天护新城、横南棚户区改造项目本金及利息，保障棚户区改造工作正常开展。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天护新城、横南棚户区改造</w:t>
            </w:r>
          </w:p>
        </w:tc>
        <w:tc>
          <w:tcPr>
            <w:tcW w:w="5386" w:type="dxa"/>
            <w:vAlign w:val="center"/>
          </w:tcPr>
          <w:p>
            <w:pPr>
              <w:pStyle w:val="13"/>
            </w:pPr>
            <w:r>
              <w:t>天护新城、横南棚户区改造项目</w:t>
            </w:r>
          </w:p>
        </w:tc>
        <w:tc>
          <w:tcPr>
            <w:tcW w:w="2268" w:type="dxa"/>
            <w:vAlign w:val="center"/>
          </w:tcPr>
          <w:p>
            <w:pPr>
              <w:pStyle w:val="13"/>
            </w:pPr>
            <w:r>
              <w:t>≤2项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支付准确率</w:t>
            </w:r>
          </w:p>
        </w:tc>
        <w:tc>
          <w:tcPr>
            <w:tcW w:w="5386" w:type="dxa"/>
            <w:vAlign w:val="center"/>
          </w:tcPr>
          <w:p>
            <w:pPr>
              <w:pStyle w:val="13"/>
            </w:pPr>
            <w:r>
              <w:t>支付准确率</w:t>
            </w:r>
          </w:p>
        </w:tc>
        <w:tc>
          <w:tcPr>
            <w:tcW w:w="2268" w:type="dxa"/>
            <w:vAlign w:val="center"/>
          </w:tcPr>
          <w:p>
            <w:pPr>
              <w:pStyle w:val="13"/>
            </w:pPr>
            <w:r>
              <w:t>≥100%</w:t>
            </w:r>
          </w:p>
        </w:tc>
        <w:tc>
          <w:tcPr>
            <w:tcW w:w="1276" w:type="dxa"/>
            <w:vAlign w:val="center"/>
          </w:tcPr>
          <w:p>
            <w:pPr>
              <w:pStyle w:val="13"/>
            </w:pPr>
            <w:r>
              <w:t>协议约定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约定时限内归还本金、利息及管理费</w:t>
            </w:r>
          </w:p>
        </w:tc>
        <w:tc>
          <w:tcPr>
            <w:tcW w:w="5386" w:type="dxa"/>
            <w:vAlign w:val="center"/>
          </w:tcPr>
          <w:p>
            <w:pPr>
              <w:pStyle w:val="13"/>
            </w:pPr>
            <w:r>
              <w:t>约定时限内归还本金、利息及管理费</w:t>
            </w:r>
          </w:p>
        </w:tc>
        <w:tc>
          <w:tcPr>
            <w:tcW w:w="2268" w:type="dxa"/>
            <w:vAlign w:val="center"/>
          </w:tcPr>
          <w:p>
            <w:pPr>
              <w:pStyle w:val="13"/>
            </w:pPr>
            <w:r>
              <w:t>每季度归还本息</w:t>
            </w:r>
          </w:p>
        </w:tc>
        <w:tc>
          <w:tcPr>
            <w:tcW w:w="1276" w:type="dxa"/>
            <w:vAlign w:val="center"/>
          </w:tcPr>
          <w:p>
            <w:pPr>
              <w:pStyle w:val="13"/>
            </w:pPr>
            <w:r>
              <w:t>协议约定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平均每季度归还本息</w:t>
            </w:r>
          </w:p>
        </w:tc>
        <w:tc>
          <w:tcPr>
            <w:tcW w:w="5386" w:type="dxa"/>
            <w:vAlign w:val="center"/>
          </w:tcPr>
          <w:p>
            <w:pPr>
              <w:pStyle w:val="13"/>
            </w:pPr>
            <w:r>
              <w:t>平均每季度归还本息</w:t>
            </w:r>
          </w:p>
        </w:tc>
        <w:tc>
          <w:tcPr>
            <w:tcW w:w="2268" w:type="dxa"/>
            <w:vAlign w:val="center"/>
          </w:tcPr>
          <w:p>
            <w:pPr>
              <w:pStyle w:val="13"/>
            </w:pPr>
            <w:r>
              <w:t>≤556.7万元</w:t>
            </w:r>
          </w:p>
        </w:tc>
        <w:tc>
          <w:tcPr>
            <w:tcW w:w="1276" w:type="dxa"/>
            <w:vAlign w:val="center"/>
          </w:tcPr>
          <w:p>
            <w:pPr>
              <w:pStyle w:val="13"/>
            </w:pPr>
            <w:r>
              <w:t>协议约定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改善居住环境，提升居民生活品质</w:t>
            </w:r>
          </w:p>
        </w:tc>
        <w:tc>
          <w:tcPr>
            <w:tcW w:w="5386" w:type="dxa"/>
            <w:vAlign w:val="center"/>
          </w:tcPr>
          <w:p>
            <w:pPr>
              <w:pStyle w:val="13"/>
            </w:pPr>
            <w:r>
              <w:t>通过棚户区改造工作改善居住环境，提升居民生活品质</w:t>
            </w:r>
          </w:p>
        </w:tc>
        <w:tc>
          <w:tcPr>
            <w:tcW w:w="2268" w:type="dxa"/>
            <w:vAlign w:val="center"/>
          </w:tcPr>
          <w:p>
            <w:pPr>
              <w:pStyle w:val="13"/>
            </w:pPr>
            <w:r>
              <w:t>有效改善居住环境，提升居民生活品质</w:t>
            </w:r>
          </w:p>
        </w:tc>
        <w:tc>
          <w:tcPr>
            <w:tcW w:w="1276" w:type="dxa"/>
            <w:vAlign w:val="center"/>
          </w:tcPr>
          <w:p>
            <w:pPr>
              <w:pStyle w:val="13"/>
            </w:pPr>
            <w:r>
              <w:t>近三年工作经验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7、网络运行经费绩效目标表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13010725P00002510024B</w:t>
            </w:r>
          </w:p>
        </w:tc>
        <w:tc>
          <w:tcPr>
            <w:tcW w:w="2835" w:type="dxa"/>
            <w:vAlign w:val="center"/>
          </w:tcPr>
          <w:p>
            <w:pPr>
              <w:pStyle w:val="11"/>
            </w:pPr>
            <w:r>
              <w:t>项目名称</w:t>
            </w:r>
          </w:p>
        </w:tc>
        <w:tc>
          <w:tcPr>
            <w:tcW w:w="6095" w:type="dxa"/>
            <w:gridSpan w:val="3"/>
            <w:vAlign w:val="center"/>
          </w:tcPr>
          <w:p>
            <w:pPr>
              <w:pStyle w:val="13"/>
            </w:pPr>
            <w:r>
              <w:t>网络运行经费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rPr>
                <w:rFonts w:hint="eastAsia" w:eastAsia="方正书宋_GBK"/>
                <w:lang w:eastAsia="zh-CN"/>
              </w:rPr>
            </w:pPr>
            <w:r>
              <w:rPr>
                <w:rFonts w:hint="eastAsia"/>
                <w:lang w:eastAsia="zh-CN"/>
              </w:rPr>
              <w:t>用于机关单位网络运行经费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rPr>
                <w:rFonts w:hint="default" w:eastAsia="方正书宋_GBK"/>
                <w:lang w:val="en-US" w:eastAsia="zh-CN"/>
              </w:rPr>
            </w:pPr>
            <w:r>
              <w:rPr>
                <w:rFonts w:hint="eastAsia"/>
                <w:lang w:val="en-US" w:eastAsia="zh-CN"/>
              </w:rP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1.通过拨付单位网络运行经费，提高日常工作联网效率及办公质量。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平台数量</w:t>
            </w:r>
          </w:p>
        </w:tc>
        <w:tc>
          <w:tcPr>
            <w:tcW w:w="5386" w:type="dxa"/>
            <w:vAlign w:val="center"/>
          </w:tcPr>
          <w:p>
            <w:pPr>
              <w:pStyle w:val="13"/>
            </w:pPr>
            <w:r>
              <w:t>单位网络运行</w:t>
            </w:r>
          </w:p>
        </w:tc>
        <w:tc>
          <w:tcPr>
            <w:tcW w:w="2268" w:type="dxa"/>
            <w:vAlign w:val="center"/>
          </w:tcPr>
          <w:p>
            <w:pPr>
              <w:pStyle w:val="13"/>
            </w:pPr>
            <w:r>
              <w:t>≤1项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设备正常运转率</w:t>
            </w:r>
          </w:p>
        </w:tc>
        <w:tc>
          <w:tcPr>
            <w:tcW w:w="5386" w:type="dxa"/>
            <w:vAlign w:val="center"/>
          </w:tcPr>
          <w:p>
            <w:pPr>
              <w:pStyle w:val="13"/>
            </w:pPr>
            <w:r>
              <w:t>设备正常运转率</w:t>
            </w:r>
          </w:p>
        </w:tc>
        <w:tc>
          <w:tcPr>
            <w:tcW w:w="2268" w:type="dxa"/>
            <w:vAlign w:val="center"/>
          </w:tcPr>
          <w:p>
            <w:pPr>
              <w:pStyle w:val="13"/>
            </w:pPr>
            <w:r>
              <w:t>≥98%</w:t>
            </w:r>
          </w:p>
        </w:tc>
        <w:tc>
          <w:tcPr>
            <w:tcW w:w="1276" w:type="dxa"/>
            <w:vAlign w:val="center"/>
          </w:tcPr>
          <w:p>
            <w:pPr>
              <w:pStyle w:val="13"/>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联网工作完成时间</w:t>
            </w:r>
          </w:p>
        </w:tc>
        <w:tc>
          <w:tcPr>
            <w:tcW w:w="5386" w:type="dxa"/>
            <w:vAlign w:val="center"/>
          </w:tcPr>
          <w:p>
            <w:pPr>
              <w:pStyle w:val="13"/>
            </w:pPr>
            <w:r>
              <w:t>联网工作完成时间</w:t>
            </w:r>
          </w:p>
        </w:tc>
        <w:tc>
          <w:tcPr>
            <w:tcW w:w="2268" w:type="dxa"/>
            <w:vAlign w:val="center"/>
          </w:tcPr>
          <w:p>
            <w:pPr>
              <w:pStyle w:val="13"/>
            </w:pPr>
            <w:r>
              <w:t>2025年年底前</w:t>
            </w:r>
          </w:p>
        </w:tc>
        <w:tc>
          <w:tcPr>
            <w:tcW w:w="1276" w:type="dxa"/>
            <w:vAlign w:val="center"/>
          </w:tcPr>
          <w:p>
            <w:pPr>
              <w:pStyle w:val="13"/>
            </w:pPr>
            <w:r>
              <w:t>履行合同约定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维护平台成本</w:t>
            </w:r>
          </w:p>
        </w:tc>
        <w:tc>
          <w:tcPr>
            <w:tcW w:w="5386" w:type="dxa"/>
            <w:vAlign w:val="center"/>
          </w:tcPr>
          <w:p>
            <w:pPr>
              <w:pStyle w:val="13"/>
            </w:pPr>
            <w:r>
              <w:t>维护平台成本</w:t>
            </w:r>
          </w:p>
        </w:tc>
        <w:tc>
          <w:tcPr>
            <w:tcW w:w="2268" w:type="dxa"/>
            <w:vAlign w:val="center"/>
          </w:tcPr>
          <w:p>
            <w:pPr>
              <w:pStyle w:val="13"/>
            </w:pPr>
            <w:r>
              <w:t>≤1万元</w:t>
            </w:r>
          </w:p>
        </w:tc>
        <w:tc>
          <w:tcPr>
            <w:tcW w:w="1276" w:type="dxa"/>
            <w:vAlign w:val="center"/>
          </w:tcPr>
          <w:p>
            <w:pPr>
              <w:pStyle w:val="13"/>
            </w:pPr>
            <w:r>
              <w:t>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通过单位联通网络，提高办事效率</w:t>
            </w:r>
          </w:p>
        </w:tc>
        <w:tc>
          <w:tcPr>
            <w:tcW w:w="5386" w:type="dxa"/>
            <w:vAlign w:val="center"/>
          </w:tcPr>
          <w:p>
            <w:pPr>
              <w:pStyle w:val="13"/>
            </w:pPr>
            <w:r>
              <w:t>通过单位联通网络，提高办事效率</w:t>
            </w:r>
          </w:p>
        </w:tc>
        <w:tc>
          <w:tcPr>
            <w:tcW w:w="2268" w:type="dxa"/>
            <w:vAlign w:val="center"/>
          </w:tcPr>
          <w:p>
            <w:pPr>
              <w:pStyle w:val="13"/>
            </w:pPr>
            <w:r>
              <w:t>通过单位联通网络，提高办事效率</w:t>
            </w:r>
          </w:p>
        </w:tc>
        <w:tc>
          <w:tcPr>
            <w:tcW w:w="1276" w:type="dxa"/>
            <w:vAlign w:val="center"/>
          </w:tcPr>
          <w:p>
            <w:pPr>
              <w:pStyle w:val="13"/>
            </w:pPr>
            <w:r>
              <w:t>近三年工作经验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p>
        </w:tc>
        <w:tc>
          <w:tcPr>
            <w:tcW w:w="5386" w:type="dxa"/>
            <w:vAlign w:val="center"/>
          </w:tcPr>
          <w:p>
            <w:pPr>
              <w:pStyle w:val="13"/>
            </w:pPr>
            <w:r>
              <w:t>单位满意度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8、新西村中路地下管网及配套设施提升工程EPC总承包费用绩效目标表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13010723P000012100079</w:t>
            </w:r>
          </w:p>
        </w:tc>
        <w:tc>
          <w:tcPr>
            <w:tcW w:w="2835" w:type="dxa"/>
            <w:vAlign w:val="center"/>
          </w:tcPr>
          <w:p>
            <w:pPr>
              <w:pStyle w:val="11"/>
            </w:pPr>
            <w:r>
              <w:t>项目名称</w:t>
            </w:r>
          </w:p>
        </w:tc>
        <w:tc>
          <w:tcPr>
            <w:tcW w:w="6095" w:type="dxa"/>
            <w:gridSpan w:val="3"/>
            <w:vAlign w:val="center"/>
          </w:tcPr>
          <w:p>
            <w:pPr>
              <w:pStyle w:val="13"/>
            </w:pPr>
            <w:r>
              <w:t>新西村中路地下管网及配套设施提升工程EPC总承包费用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77.14</w:t>
            </w:r>
          </w:p>
        </w:tc>
        <w:tc>
          <w:tcPr>
            <w:tcW w:w="2835" w:type="dxa"/>
            <w:vAlign w:val="center"/>
          </w:tcPr>
          <w:p>
            <w:pPr>
              <w:pStyle w:val="11"/>
            </w:pPr>
            <w:r>
              <w:t>其中：财政    资金</w:t>
            </w:r>
          </w:p>
        </w:tc>
        <w:tc>
          <w:tcPr>
            <w:tcW w:w="2551" w:type="dxa"/>
            <w:vAlign w:val="center"/>
          </w:tcPr>
          <w:p>
            <w:pPr>
              <w:pStyle w:val="13"/>
            </w:pPr>
            <w:r>
              <w:t>77.14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lang w:eastAsia="zh-CN"/>
              </w:rPr>
              <w:t>用于</w:t>
            </w:r>
            <w:r>
              <w:t>新西村中路地下管网及配套设施提升工程EPC总承包费用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1.通过对新西村中路地下管网及配套设施工程</w:t>
            </w:r>
            <w:r>
              <w:rPr>
                <w:rFonts w:hint="eastAsia"/>
                <w:lang w:eastAsia="zh-CN"/>
              </w:rPr>
              <w:t>进行</w:t>
            </w:r>
            <w:r>
              <w:t>提升，提升居民生活品质，提高居民的幸福感和获得感。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rFonts w:hint="eastAsia" w:eastAsia="方正书宋_GBK"/>
                <w:lang w:eastAsia="zh-CN"/>
              </w:rPr>
            </w:pPr>
            <w:r>
              <w:t>地下管网及配套设施提升</w:t>
            </w:r>
            <w:r>
              <w:rPr>
                <w:rFonts w:hint="eastAsia"/>
                <w:lang w:eastAsia="zh-CN"/>
              </w:rPr>
              <w:t>工程</w:t>
            </w:r>
          </w:p>
        </w:tc>
        <w:tc>
          <w:tcPr>
            <w:tcW w:w="5386" w:type="dxa"/>
            <w:vAlign w:val="center"/>
          </w:tcPr>
          <w:p>
            <w:pPr>
              <w:pStyle w:val="13"/>
            </w:pPr>
            <w:r>
              <w:t>地下管网及配套设施提升</w:t>
            </w:r>
            <w:r>
              <w:rPr>
                <w:rFonts w:hint="eastAsia"/>
                <w:lang w:eastAsia="zh-CN"/>
              </w:rPr>
              <w:t>工程数量</w:t>
            </w:r>
            <w:r>
              <w:t>（</w:t>
            </w:r>
            <w:r>
              <w:rPr>
                <w:rFonts w:hint="eastAsia"/>
                <w:lang w:eastAsia="zh-CN"/>
              </w:rPr>
              <w:t>项</w:t>
            </w:r>
            <w:r>
              <w:t>）</w:t>
            </w:r>
          </w:p>
        </w:tc>
        <w:tc>
          <w:tcPr>
            <w:tcW w:w="2268" w:type="dxa"/>
            <w:vAlign w:val="center"/>
          </w:tcPr>
          <w:p>
            <w:pPr>
              <w:pStyle w:val="13"/>
              <w:rPr>
                <w:rFonts w:hint="eastAsia" w:eastAsia="方正书宋_GBK"/>
                <w:lang w:eastAsia="zh-CN"/>
              </w:rPr>
            </w:pPr>
            <w:r>
              <w:rPr>
                <w:rFonts w:hint="eastAsia"/>
                <w:lang w:val="en-US" w:eastAsia="zh-CN"/>
              </w:rPr>
              <w:t>1</w:t>
            </w:r>
            <w:r>
              <w:rPr>
                <w:rFonts w:hint="eastAsia"/>
                <w:lang w:eastAsia="zh-CN"/>
              </w:rPr>
              <w:t>项</w:t>
            </w:r>
          </w:p>
        </w:tc>
        <w:tc>
          <w:tcPr>
            <w:tcW w:w="1276" w:type="dxa"/>
            <w:vAlign w:val="center"/>
          </w:tcPr>
          <w:p>
            <w:pPr>
              <w:pStyle w:val="13"/>
            </w:pPr>
            <w:r>
              <w:t>合同数量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地下管网及配套设施提升</w:t>
            </w:r>
            <w:r>
              <w:rPr>
                <w:rFonts w:hint="eastAsia"/>
                <w:lang w:eastAsia="zh-CN"/>
              </w:rPr>
              <w:t>工程</w:t>
            </w:r>
            <w:r>
              <w:t>验收合格率</w:t>
            </w:r>
          </w:p>
        </w:tc>
        <w:tc>
          <w:tcPr>
            <w:tcW w:w="5386" w:type="dxa"/>
            <w:vAlign w:val="center"/>
          </w:tcPr>
          <w:p>
            <w:pPr>
              <w:pStyle w:val="13"/>
            </w:pPr>
            <w:r>
              <w:t>地下管网及配套设施提升</w:t>
            </w:r>
            <w:r>
              <w:rPr>
                <w:rFonts w:hint="eastAsia"/>
                <w:lang w:eastAsia="zh-CN"/>
              </w:rPr>
              <w:t>工程</w:t>
            </w:r>
            <w:r>
              <w:t>验收合格率</w:t>
            </w:r>
          </w:p>
        </w:tc>
        <w:tc>
          <w:tcPr>
            <w:tcW w:w="2268" w:type="dxa"/>
            <w:vAlign w:val="center"/>
          </w:tcPr>
          <w:p>
            <w:pPr>
              <w:pStyle w:val="13"/>
            </w:pPr>
            <w:r>
              <w:t>≥95%</w:t>
            </w:r>
          </w:p>
        </w:tc>
        <w:tc>
          <w:tcPr>
            <w:tcW w:w="1276" w:type="dxa"/>
            <w:vAlign w:val="center"/>
          </w:tcPr>
          <w:p>
            <w:pPr>
              <w:pStyle w:val="13"/>
            </w:pPr>
            <w:r>
              <w:t>竣工验收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地下管网及配套设施提升</w:t>
            </w:r>
            <w:r>
              <w:rPr>
                <w:rFonts w:hint="eastAsia"/>
                <w:lang w:eastAsia="zh-CN"/>
              </w:rPr>
              <w:t>工程</w:t>
            </w:r>
            <w:r>
              <w:t>资金完成支付时间</w:t>
            </w:r>
          </w:p>
        </w:tc>
        <w:tc>
          <w:tcPr>
            <w:tcW w:w="5386" w:type="dxa"/>
            <w:vAlign w:val="center"/>
          </w:tcPr>
          <w:p>
            <w:pPr>
              <w:pStyle w:val="13"/>
            </w:pPr>
            <w:r>
              <w:t>地下管网及配套设施提升</w:t>
            </w:r>
            <w:r>
              <w:rPr>
                <w:rFonts w:hint="eastAsia"/>
                <w:lang w:eastAsia="zh-CN"/>
              </w:rPr>
              <w:t>工程</w:t>
            </w:r>
            <w:r>
              <w:t>资金完成支付时间</w:t>
            </w:r>
          </w:p>
        </w:tc>
        <w:tc>
          <w:tcPr>
            <w:tcW w:w="2268" w:type="dxa"/>
            <w:vAlign w:val="center"/>
          </w:tcPr>
          <w:p>
            <w:pPr>
              <w:pStyle w:val="13"/>
            </w:pPr>
            <w:r>
              <w:t>202</w:t>
            </w:r>
            <w:r>
              <w:rPr>
                <w:rFonts w:hint="eastAsia"/>
                <w:lang w:val="en-US" w:eastAsia="zh-CN"/>
              </w:rPr>
              <w:t>5</w:t>
            </w:r>
            <w:r>
              <w:t>年年底前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rPr>
                <w:rFonts w:hint="eastAsia" w:eastAsia="方正书宋_GBK"/>
                <w:lang w:val="en-US" w:eastAsia="zh-CN"/>
              </w:rPr>
            </w:pPr>
            <w:r>
              <w:t>地下管网及配套设施提升</w:t>
            </w:r>
            <w:r>
              <w:rPr>
                <w:rFonts w:hint="eastAsia"/>
                <w:lang w:eastAsia="zh-CN"/>
              </w:rPr>
              <w:t>工程</w:t>
            </w:r>
            <w:r>
              <w:t>资金</w:t>
            </w:r>
            <w:r>
              <w:rPr>
                <w:rFonts w:hint="eastAsia"/>
                <w:lang w:eastAsia="zh-CN"/>
              </w:rPr>
              <w:t>预算成本</w:t>
            </w:r>
          </w:p>
        </w:tc>
        <w:tc>
          <w:tcPr>
            <w:tcW w:w="5386" w:type="dxa"/>
            <w:vAlign w:val="center"/>
          </w:tcPr>
          <w:p>
            <w:pPr>
              <w:pStyle w:val="13"/>
            </w:pPr>
            <w:r>
              <w:t>地下管网及配套设施提升</w:t>
            </w:r>
            <w:r>
              <w:rPr>
                <w:rFonts w:hint="eastAsia"/>
                <w:lang w:eastAsia="zh-CN"/>
              </w:rPr>
              <w:t>工程</w:t>
            </w:r>
            <w:r>
              <w:t>资金</w:t>
            </w:r>
            <w:r>
              <w:rPr>
                <w:rFonts w:hint="eastAsia"/>
                <w:lang w:eastAsia="zh-CN"/>
              </w:rPr>
              <w:t>预算成本</w:t>
            </w:r>
          </w:p>
        </w:tc>
        <w:tc>
          <w:tcPr>
            <w:tcW w:w="2268" w:type="dxa"/>
            <w:vAlign w:val="center"/>
          </w:tcPr>
          <w:p>
            <w:pPr>
              <w:pStyle w:val="13"/>
            </w:pPr>
            <w:r>
              <w:t>≤</w:t>
            </w:r>
            <w:r>
              <w:rPr>
                <w:rFonts w:hint="eastAsia"/>
                <w:lang w:val="en-US" w:eastAsia="zh-CN"/>
              </w:rPr>
              <w:t>77.14</w:t>
            </w:r>
            <w:r>
              <w:t>万元</w:t>
            </w:r>
          </w:p>
        </w:tc>
        <w:tc>
          <w:tcPr>
            <w:tcW w:w="1276" w:type="dxa"/>
            <w:vAlign w:val="center"/>
          </w:tcPr>
          <w:p>
            <w:pPr>
              <w:pStyle w:val="13"/>
            </w:pPr>
            <w:r>
              <w:t>结算定案表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提升居民生活品质</w:t>
            </w:r>
          </w:p>
        </w:tc>
        <w:tc>
          <w:tcPr>
            <w:tcW w:w="5386" w:type="dxa"/>
            <w:vAlign w:val="center"/>
          </w:tcPr>
          <w:p>
            <w:pPr>
              <w:pStyle w:val="13"/>
            </w:pPr>
            <w:r>
              <w:t>提升</w:t>
            </w:r>
            <w:r>
              <w:rPr>
                <w:rFonts w:hint="eastAsia"/>
                <w:lang w:eastAsia="zh-CN"/>
              </w:rPr>
              <w:t>城区</w:t>
            </w:r>
            <w:r>
              <w:t>基础设施及环境面貌，有效提升居民的生活品质</w:t>
            </w:r>
          </w:p>
        </w:tc>
        <w:tc>
          <w:tcPr>
            <w:tcW w:w="2268" w:type="dxa"/>
            <w:vAlign w:val="center"/>
          </w:tcPr>
          <w:p>
            <w:pPr>
              <w:pStyle w:val="13"/>
            </w:pPr>
            <w:r>
              <w:t>有效提升</w:t>
            </w:r>
          </w:p>
        </w:tc>
        <w:tc>
          <w:tcPr>
            <w:tcW w:w="1276" w:type="dxa"/>
            <w:vAlign w:val="center"/>
          </w:tcPr>
          <w:p>
            <w:pPr>
              <w:pStyle w:val="13"/>
            </w:pPr>
            <w:r>
              <w:t>近三年工作经验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提高居民的幸福感</w:t>
            </w:r>
          </w:p>
        </w:tc>
        <w:tc>
          <w:tcPr>
            <w:tcW w:w="5386" w:type="dxa"/>
            <w:vAlign w:val="center"/>
          </w:tcPr>
          <w:p>
            <w:pPr>
              <w:pStyle w:val="13"/>
            </w:pPr>
            <w:r>
              <w:t>提高居民的幸福感和获得感，为居民提供一个安全舒适，优美的生活环境</w:t>
            </w:r>
          </w:p>
        </w:tc>
        <w:tc>
          <w:tcPr>
            <w:tcW w:w="2268" w:type="dxa"/>
            <w:vAlign w:val="center"/>
          </w:tcPr>
          <w:p>
            <w:pPr>
              <w:pStyle w:val="13"/>
            </w:pPr>
            <w:r>
              <w:t>有效提升</w:t>
            </w:r>
          </w:p>
        </w:tc>
        <w:tc>
          <w:tcPr>
            <w:tcW w:w="1276" w:type="dxa"/>
            <w:vAlign w:val="center"/>
          </w:tcPr>
          <w:p>
            <w:pPr>
              <w:pStyle w:val="13"/>
            </w:pPr>
            <w:r>
              <w:t>近三年工作经验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居民对</w:t>
            </w:r>
            <w:r>
              <w:rPr>
                <w:rFonts w:hint="eastAsia"/>
                <w:lang w:eastAsia="zh-CN"/>
              </w:rPr>
              <w:t>该项目</w:t>
            </w:r>
            <w:r>
              <w:t>的满意度</w:t>
            </w:r>
          </w:p>
        </w:tc>
        <w:tc>
          <w:tcPr>
            <w:tcW w:w="5386" w:type="dxa"/>
            <w:vAlign w:val="center"/>
          </w:tcPr>
          <w:p>
            <w:pPr>
              <w:pStyle w:val="13"/>
            </w:pPr>
            <w:r>
              <w:t>居民对</w:t>
            </w:r>
            <w:r>
              <w:rPr>
                <w:rFonts w:hint="eastAsia"/>
                <w:lang w:eastAsia="zh-CN"/>
              </w:rPr>
              <w:t>该项目</w:t>
            </w:r>
            <w:r>
              <w:t>的满意度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9、新西村中路地下管网及配套设施提升工程EPC总承包费用绩效目标表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13010724P000122100282</w:t>
            </w:r>
          </w:p>
        </w:tc>
        <w:tc>
          <w:tcPr>
            <w:tcW w:w="2835" w:type="dxa"/>
            <w:vAlign w:val="center"/>
          </w:tcPr>
          <w:p>
            <w:pPr>
              <w:pStyle w:val="11"/>
            </w:pPr>
            <w:r>
              <w:t>项目名称</w:t>
            </w:r>
          </w:p>
        </w:tc>
        <w:tc>
          <w:tcPr>
            <w:tcW w:w="6095" w:type="dxa"/>
            <w:gridSpan w:val="3"/>
            <w:vAlign w:val="center"/>
          </w:tcPr>
          <w:p>
            <w:pPr>
              <w:pStyle w:val="13"/>
            </w:pPr>
            <w:r>
              <w:t>新西村中路地下管网及配套设施提升工程EPC总承包费用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189.72</w:t>
            </w:r>
          </w:p>
        </w:tc>
        <w:tc>
          <w:tcPr>
            <w:tcW w:w="2835" w:type="dxa"/>
            <w:vAlign w:val="center"/>
          </w:tcPr>
          <w:p>
            <w:pPr>
              <w:pStyle w:val="11"/>
            </w:pPr>
            <w:r>
              <w:t>其中：财政    资金</w:t>
            </w:r>
          </w:p>
        </w:tc>
        <w:tc>
          <w:tcPr>
            <w:tcW w:w="2551" w:type="dxa"/>
            <w:vAlign w:val="center"/>
          </w:tcPr>
          <w:p>
            <w:pPr>
              <w:pStyle w:val="13"/>
            </w:pPr>
            <w:r>
              <w:t>189.72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lang w:eastAsia="zh-CN"/>
              </w:rPr>
              <w:t>用于</w:t>
            </w:r>
            <w:r>
              <w:t>新西村中路地下管网及配套设施提升工程EPC总承包费用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1.通过对新西村中路地下管网及配套设施工程</w:t>
            </w:r>
            <w:r>
              <w:rPr>
                <w:rFonts w:hint="eastAsia"/>
                <w:lang w:eastAsia="zh-CN"/>
              </w:rPr>
              <w:t>进行</w:t>
            </w:r>
            <w:r>
              <w:t>提升，提升居民生活品质，提高居民的幸福感和获得感。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ind w:firstLine="0" w:firstLineChars="0"/>
            </w:pPr>
            <w:r>
              <w:t>地下管网及配套设施提升</w:t>
            </w:r>
            <w:r>
              <w:rPr>
                <w:rFonts w:hint="eastAsia"/>
                <w:lang w:eastAsia="zh-CN"/>
              </w:rPr>
              <w:t>工程</w:t>
            </w:r>
          </w:p>
        </w:tc>
        <w:tc>
          <w:tcPr>
            <w:tcW w:w="5386" w:type="dxa"/>
            <w:vAlign w:val="center"/>
          </w:tcPr>
          <w:p>
            <w:pPr>
              <w:pStyle w:val="13"/>
              <w:ind w:firstLine="0" w:firstLineChars="0"/>
            </w:pPr>
            <w:r>
              <w:t>地下管网及配套设施提升</w:t>
            </w:r>
            <w:r>
              <w:rPr>
                <w:rFonts w:hint="eastAsia"/>
                <w:lang w:eastAsia="zh-CN"/>
              </w:rPr>
              <w:t>工程数量</w:t>
            </w:r>
            <w:r>
              <w:t>（</w:t>
            </w:r>
            <w:r>
              <w:rPr>
                <w:rFonts w:hint="eastAsia"/>
                <w:lang w:eastAsia="zh-CN"/>
              </w:rPr>
              <w:t>项</w:t>
            </w:r>
            <w:r>
              <w:t>）</w:t>
            </w:r>
          </w:p>
        </w:tc>
        <w:tc>
          <w:tcPr>
            <w:tcW w:w="2268" w:type="dxa"/>
            <w:vAlign w:val="center"/>
          </w:tcPr>
          <w:p>
            <w:pPr>
              <w:pStyle w:val="13"/>
              <w:ind w:firstLine="0" w:firstLineChars="0"/>
            </w:pPr>
            <w:r>
              <w:rPr>
                <w:rFonts w:hint="eastAsia"/>
                <w:lang w:val="en-US" w:eastAsia="zh-CN"/>
              </w:rPr>
              <w:t>1</w:t>
            </w:r>
            <w:r>
              <w:rPr>
                <w:rFonts w:hint="eastAsia"/>
                <w:lang w:eastAsia="zh-CN"/>
              </w:rPr>
              <w:t>项</w:t>
            </w:r>
          </w:p>
        </w:tc>
        <w:tc>
          <w:tcPr>
            <w:tcW w:w="1276" w:type="dxa"/>
            <w:vAlign w:val="center"/>
          </w:tcPr>
          <w:p>
            <w:pPr>
              <w:pStyle w:val="13"/>
              <w:ind w:firstLine="0" w:firstLineChars="0"/>
            </w:pPr>
            <w:r>
              <w:t>合同数量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ind w:firstLine="0" w:firstLineChars="0"/>
            </w:pPr>
            <w:r>
              <w:t>地下管网及配套设施提升</w:t>
            </w:r>
            <w:r>
              <w:rPr>
                <w:rFonts w:hint="eastAsia"/>
                <w:lang w:eastAsia="zh-CN"/>
              </w:rPr>
              <w:t>工程</w:t>
            </w:r>
            <w:r>
              <w:t>验收合格率</w:t>
            </w:r>
          </w:p>
        </w:tc>
        <w:tc>
          <w:tcPr>
            <w:tcW w:w="5386" w:type="dxa"/>
            <w:vAlign w:val="center"/>
          </w:tcPr>
          <w:p>
            <w:pPr>
              <w:pStyle w:val="13"/>
              <w:ind w:firstLine="0" w:firstLineChars="0"/>
            </w:pPr>
            <w:r>
              <w:t>地下管网及配套设施提升</w:t>
            </w:r>
            <w:r>
              <w:rPr>
                <w:rFonts w:hint="eastAsia"/>
                <w:lang w:eastAsia="zh-CN"/>
              </w:rPr>
              <w:t>工程</w:t>
            </w:r>
            <w:r>
              <w:t>验收合格率</w:t>
            </w:r>
          </w:p>
        </w:tc>
        <w:tc>
          <w:tcPr>
            <w:tcW w:w="2268" w:type="dxa"/>
            <w:vAlign w:val="center"/>
          </w:tcPr>
          <w:p>
            <w:pPr>
              <w:pStyle w:val="13"/>
              <w:ind w:firstLine="0" w:firstLineChars="0"/>
            </w:pPr>
            <w:r>
              <w:t>≥95%</w:t>
            </w:r>
          </w:p>
        </w:tc>
        <w:tc>
          <w:tcPr>
            <w:tcW w:w="1276" w:type="dxa"/>
            <w:vAlign w:val="center"/>
          </w:tcPr>
          <w:p>
            <w:pPr>
              <w:pStyle w:val="13"/>
              <w:ind w:firstLine="0" w:firstLineChars="0"/>
            </w:pPr>
            <w:r>
              <w:t>竣工验收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ind w:firstLine="0" w:firstLineChars="0"/>
            </w:pPr>
            <w:r>
              <w:t>地下管网及配套设施提升</w:t>
            </w:r>
            <w:r>
              <w:rPr>
                <w:rFonts w:hint="eastAsia"/>
                <w:lang w:eastAsia="zh-CN"/>
              </w:rPr>
              <w:t>工程</w:t>
            </w:r>
            <w:r>
              <w:t>资金完成支付时间</w:t>
            </w:r>
          </w:p>
        </w:tc>
        <w:tc>
          <w:tcPr>
            <w:tcW w:w="5386" w:type="dxa"/>
            <w:vAlign w:val="center"/>
          </w:tcPr>
          <w:p>
            <w:pPr>
              <w:pStyle w:val="13"/>
              <w:ind w:firstLine="0" w:firstLineChars="0"/>
            </w:pPr>
            <w:r>
              <w:t>地下管网及配套设施提升</w:t>
            </w:r>
            <w:r>
              <w:rPr>
                <w:rFonts w:hint="eastAsia"/>
                <w:lang w:eastAsia="zh-CN"/>
              </w:rPr>
              <w:t>工程</w:t>
            </w:r>
            <w:r>
              <w:t>资金完成支付时间</w:t>
            </w:r>
          </w:p>
        </w:tc>
        <w:tc>
          <w:tcPr>
            <w:tcW w:w="2268" w:type="dxa"/>
            <w:vAlign w:val="center"/>
          </w:tcPr>
          <w:p>
            <w:pPr>
              <w:pStyle w:val="13"/>
              <w:ind w:firstLine="0" w:firstLineChars="0"/>
            </w:pPr>
            <w:r>
              <w:t>202</w:t>
            </w:r>
            <w:r>
              <w:rPr>
                <w:rFonts w:hint="eastAsia"/>
                <w:lang w:val="en-US" w:eastAsia="zh-CN"/>
              </w:rPr>
              <w:t>5</w:t>
            </w:r>
            <w:r>
              <w:t>年年底前</w:t>
            </w:r>
          </w:p>
        </w:tc>
        <w:tc>
          <w:tcPr>
            <w:tcW w:w="1276" w:type="dxa"/>
            <w:vAlign w:val="center"/>
          </w:tcPr>
          <w:p>
            <w:pPr>
              <w:pStyle w:val="13"/>
              <w:ind w:firstLine="0" w:firstLineChars="0"/>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ind w:firstLine="0" w:firstLineChars="0"/>
            </w:pPr>
            <w:r>
              <w:t>地下管网及配套设施提升</w:t>
            </w:r>
            <w:r>
              <w:rPr>
                <w:rFonts w:hint="eastAsia"/>
                <w:lang w:eastAsia="zh-CN"/>
              </w:rPr>
              <w:t>工程</w:t>
            </w:r>
            <w:r>
              <w:t>资金</w:t>
            </w:r>
            <w:r>
              <w:rPr>
                <w:rFonts w:hint="eastAsia"/>
                <w:lang w:eastAsia="zh-CN"/>
              </w:rPr>
              <w:t>预算成本</w:t>
            </w:r>
          </w:p>
        </w:tc>
        <w:tc>
          <w:tcPr>
            <w:tcW w:w="5386" w:type="dxa"/>
            <w:vAlign w:val="center"/>
          </w:tcPr>
          <w:p>
            <w:pPr>
              <w:pStyle w:val="13"/>
              <w:ind w:firstLine="0" w:firstLineChars="0"/>
            </w:pPr>
            <w:r>
              <w:t>地下管网及配套设施提升</w:t>
            </w:r>
            <w:r>
              <w:rPr>
                <w:rFonts w:hint="eastAsia"/>
                <w:lang w:eastAsia="zh-CN"/>
              </w:rPr>
              <w:t>工程</w:t>
            </w:r>
            <w:r>
              <w:t>资金</w:t>
            </w:r>
            <w:r>
              <w:rPr>
                <w:rFonts w:hint="eastAsia"/>
                <w:lang w:eastAsia="zh-CN"/>
              </w:rPr>
              <w:t>预算成本</w:t>
            </w:r>
          </w:p>
        </w:tc>
        <w:tc>
          <w:tcPr>
            <w:tcW w:w="2268" w:type="dxa"/>
            <w:vAlign w:val="center"/>
          </w:tcPr>
          <w:p>
            <w:pPr>
              <w:pStyle w:val="13"/>
              <w:ind w:firstLine="0" w:firstLineChars="0"/>
            </w:pPr>
            <w:r>
              <w:t>≤</w:t>
            </w:r>
            <w:r>
              <w:rPr>
                <w:rFonts w:hint="eastAsia"/>
                <w:lang w:val="en-US" w:eastAsia="zh-CN"/>
              </w:rPr>
              <w:t>189.72</w:t>
            </w:r>
            <w:r>
              <w:t>万元</w:t>
            </w:r>
          </w:p>
        </w:tc>
        <w:tc>
          <w:tcPr>
            <w:tcW w:w="1276" w:type="dxa"/>
            <w:vAlign w:val="center"/>
          </w:tcPr>
          <w:p>
            <w:pPr>
              <w:pStyle w:val="13"/>
              <w:ind w:firstLine="0" w:firstLineChars="0"/>
            </w:pPr>
            <w:r>
              <w:t>结算定案表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ind w:firstLine="0" w:firstLineChars="0"/>
            </w:pPr>
            <w:r>
              <w:t>提升居民生活品质</w:t>
            </w:r>
          </w:p>
        </w:tc>
        <w:tc>
          <w:tcPr>
            <w:tcW w:w="5386" w:type="dxa"/>
            <w:vAlign w:val="center"/>
          </w:tcPr>
          <w:p>
            <w:pPr>
              <w:pStyle w:val="13"/>
              <w:ind w:firstLine="0" w:firstLineChars="0"/>
            </w:pPr>
            <w:r>
              <w:t>提升</w:t>
            </w:r>
            <w:r>
              <w:rPr>
                <w:rFonts w:hint="eastAsia"/>
                <w:lang w:eastAsia="zh-CN"/>
              </w:rPr>
              <w:t>城区</w:t>
            </w:r>
            <w:r>
              <w:t>基础设施及环境面貌，有效提升居民的生活品质</w:t>
            </w:r>
          </w:p>
        </w:tc>
        <w:tc>
          <w:tcPr>
            <w:tcW w:w="2268" w:type="dxa"/>
            <w:vAlign w:val="center"/>
          </w:tcPr>
          <w:p>
            <w:pPr>
              <w:pStyle w:val="13"/>
              <w:ind w:firstLine="0" w:firstLineChars="0"/>
            </w:pPr>
            <w:r>
              <w:t>有效提升</w:t>
            </w:r>
          </w:p>
        </w:tc>
        <w:tc>
          <w:tcPr>
            <w:tcW w:w="1276" w:type="dxa"/>
            <w:vAlign w:val="center"/>
          </w:tcPr>
          <w:p>
            <w:pPr>
              <w:pStyle w:val="13"/>
              <w:ind w:firstLine="0" w:firstLineChars="0"/>
            </w:pPr>
            <w:r>
              <w:t>近三年工作经验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ind w:firstLine="0" w:firstLineChars="0"/>
            </w:pPr>
            <w:r>
              <w:t>提高居民的幸福感</w:t>
            </w:r>
          </w:p>
        </w:tc>
        <w:tc>
          <w:tcPr>
            <w:tcW w:w="5386" w:type="dxa"/>
            <w:vAlign w:val="center"/>
          </w:tcPr>
          <w:p>
            <w:pPr>
              <w:pStyle w:val="13"/>
              <w:ind w:firstLine="0" w:firstLineChars="0"/>
            </w:pPr>
            <w:r>
              <w:t>提高居民的幸福感和获得感，为居民提供一个安全舒适，优美的生活环境</w:t>
            </w:r>
          </w:p>
        </w:tc>
        <w:tc>
          <w:tcPr>
            <w:tcW w:w="2268" w:type="dxa"/>
            <w:vAlign w:val="center"/>
          </w:tcPr>
          <w:p>
            <w:pPr>
              <w:pStyle w:val="13"/>
              <w:ind w:firstLine="0" w:firstLineChars="0"/>
            </w:pPr>
            <w:r>
              <w:t>有效提升</w:t>
            </w:r>
          </w:p>
        </w:tc>
        <w:tc>
          <w:tcPr>
            <w:tcW w:w="1276" w:type="dxa"/>
            <w:vAlign w:val="center"/>
          </w:tcPr>
          <w:p>
            <w:pPr>
              <w:pStyle w:val="13"/>
              <w:ind w:firstLine="0" w:firstLineChars="0"/>
            </w:pPr>
            <w:r>
              <w:t>近三年工作经验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ind w:firstLine="0" w:firstLineChars="0"/>
            </w:pPr>
            <w:r>
              <w:t>居民对</w:t>
            </w:r>
            <w:r>
              <w:rPr>
                <w:rFonts w:hint="eastAsia"/>
                <w:lang w:eastAsia="zh-CN"/>
              </w:rPr>
              <w:t>该项目</w:t>
            </w:r>
            <w:r>
              <w:t>的满意度</w:t>
            </w:r>
          </w:p>
        </w:tc>
        <w:tc>
          <w:tcPr>
            <w:tcW w:w="5386" w:type="dxa"/>
            <w:vAlign w:val="center"/>
          </w:tcPr>
          <w:p>
            <w:pPr>
              <w:pStyle w:val="13"/>
              <w:ind w:firstLine="0" w:firstLineChars="0"/>
            </w:pPr>
            <w:r>
              <w:t>居民对</w:t>
            </w:r>
            <w:r>
              <w:rPr>
                <w:rFonts w:hint="eastAsia"/>
                <w:lang w:eastAsia="zh-CN"/>
              </w:rPr>
              <w:t>该项目</w:t>
            </w:r>
            <w:r>
              <w:t>的满意度</w:t>
            </w:r>
          </w:p>
        </w:tc>
        <w:tc>
          <w:tcPr>
            <w:tcW w:w="2268" w:type="dxa"/>
            <w:vAlign w:val="center"/>
          </w:tcPr>
          <w:p>
            <w:pPr>
              <w:pStyle w:val="13"/>
              <w:ind w:firstLine="0" w:firstLineChars="0"/>
            </w:pPr>
            <w:r>
              <w:t>≥98%</w:t>
            </w:r>
          </w:p>
        </w:tc>
        <w:tc>
          <w:tcPr>
            <w:tcW w:w="1276" w:type="dxa"/>
            <w:vAlign w:val="center"/>
          </w:tcPr>
          <w:p>
            <w:pPr>
              <w:pStyle w:val="13"/>
              <w:ind w:firstLine="0" w:firstLineChars="0"/>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10、星河湾保障房物业服务绩效目标表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13010725P00021510002L</w:t>
            </w:r>
          </w:p>
        </w:tc>
        <w:tc>
          <w:tcPr>
            <w:tcW w:w="2835" w:type="dxa"/>
            <w:vAlign w:val="center"/>
          </w:tcPr>
          <w:p>
            <w:pPr>
              <w:pStyle w:val="11"/>
            </w:pPr>
            <w:r>
              <w:t>项目名称</w:t>
            </w:r>
          </w:p>
        </w:tc>
        <w:tc>
          <w:tcPr>
            <w:tcW w:w="6095" w:type="dxa"/>
            <w:gridSpan w:val="3"/>
            <w:vAlign w:val="center"/>
          </w:tcPr>
          <w:p>
            <w:pPr>
              <w:pStyle w:val="13"/>
            </w:pPr>
            <w:r>
              <w:t>星河湾保障房物业服务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12.20</w:t>
            </w:r>
          </w:p>
        </w:tc>
        <w:tc>
          <w:tcPr>
            <w:tcW w:w="2835" w:type="dxa"/>
            <w:vAlign w:val="center"/>
          </w:tcPr>
          <w:p>
            <w:pPr>
              <w:pStyle w:val="11"/>
            </w:pPr>
            <w:r>
              <w:t>其中：财政    资金</w:t>
            </w:r>
          </w:p>
        </w:tc>
        <w:tc>
          <w:tcPr>
            <w:tcW w:w="2551" w:type="dxa"/>
            <w:vAlign w:val="center"/>
          </w:tcPr>
          <w:p>
            <w:pPr>
              <w:pStyle w:val="13"/>
            </w:pPr>
            <w:r>
              <w:t>12.20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rPr>
                <w:rFonts w:hint="eastAsia" w:eastAsia="方正书宋_GBK"/>
                <w:lang w:eastAsia="zh-CN"/>
              </w:rPr>
            </w:pPr>
            <w:r>
              <w:rPr>
                <w:rFonts w:hint="eastAsia"/>
                <w:lang w:eastAsia="zh-CN"/>
              </w:rPr>
              <w:t>用于</w:t>
            </w:r>
            <w:r>
              <w:t>星河湾保障房物业服务</w:t>
            </w:r>
            <w:r>
              <w:rPr>
                <w:rFonts w:hint="eastAsia"/>
                <w:lang w:eastAsia="zh-CN"/>
              </w:rPr>
              <w:t>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rPr>
                <w:rFonts w:hint="default" w:eastAsia="方正书宋_GBK"/>
                <w:lang w:val="en-US" w:eastAsia="zh-CN"/>
              </w:rPr>
            </w:pPr>
            <w:r>
              <w:t xml:space="preserve"> </w:t>
            </w:r>
            <w:r>
              <w:rPr>
                <w:rFonts w:hint="eastAsia"/>
                <w:lang w:val="en-US" w:eastAsia="zh-CN"/>
              </w:rPr>
              <w:t>50</w:t>
            </w:r>
          </w:p>
        </w:tc>
        <w:tc>
          <w:tcPr>
            <w:tcW w:w="2835" w:type="dxa"/>
            <w:vAlign w:val="center"/>
          </w:tcPr>
          <w:p>
            <w:pPr>
              <w:pStyle w:val="14"/>
            </w:pPr>
          </w:p>
        </w:tc>
        <w:tc>
          <w:tcPr>
            <w:tcW w:w="2551" w:type="dxa"/>
            <w:vAlign w:val="center"/>
          </w:tcPr>
          <w:p>
            <w:pPr>
              <w:pStyle w:val="14"/>
            </w:pPr>
            <w:r>
              <w:rPr>
                <w:rFonts w:hint="eastAsia"/>
                <w:lang w:val="en-US" w:eastAsia="zh-CN"/>
              </w:rPr>
              <w:t>100</w:t>
            </w: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1.通过支付星河湾保障房物业服务费，提升保障房安全、卫生公共设施完好水平，保障居民正常生活，提升居民舒适度幸福感。</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星河湾保障房户数</w:t>
            </w:r>
          </w:p>
        </w:tc>
        <w:tc>
          <w:tcPr>
            <w:tcW w:w="5386" w:type="dxa"/>
            <w:vAlign w:val="center"/>
          </w:tcPr>
          <w:p>
            <w:pPr>
              <w:pStyle w:val="13"/>
            </w:pPr>
            <w:r>
              <w:t>星河湾保障房户数</w:t>
            </w:r>
          </w:p>
        </w:tc>
        <w:tc>
          <w:tcPr>
            <w:tcW w:w="2268" w:type="dxa"/>
            <w:vAlign w:val="center"/>
          </w:tcPr>
          <w:p>
            <w:pPr>
              <w:pStyle w:val="13"/>
            </w:pPr>
            <w:r>
              <w:t>≤110户</w:t>
            </w:r>
          </w:p>
        </w:tc>
        <w:tc>
          <w:tcPr>
            <w:tcW w:w="1276" w:type="dxa"/>
            <w:vAlign w:val="center"/>
          </w:tcPr>
          <w:p>
            <w:pPr>
              <w:pStyle w:val="13"/>
            </w:pPr>
            <w:r>
              <w:t>星河湾户数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物业服务工作任务完成率</w:t>
            </w:r>
          </w:p>
        </w:tc>
        <w:tc>
          <w:tcPr>
            <w:tcW w:w="5386" w:type="dxa"/>
            <w:vAlign w:val="center"/>
          </w:tcPr>
          <w:p>
            <w:pPr>
              <w:pStyle w:val="13"/>
            </w:pPr>
            <w:r>
              <w:t>物业服务工作任务完成率</w:t>
            </w:r>
          </w:p>
        </w:tc>
        <w:tc>
          <w:tcPr>
            <w:tcW w:w="2268" w:type="dxa"/>
            <w:vAlign w:val="center"/>
          </w:tcPr>
          <w:p>
            <w:pPr>
              <w:pStyle w:val="13"/>
            </w:pPr>
            <w:r>
              <w:t>≥95%</w:t>
            </w:r>
          </w:p>
        </w:tc>
        <w:tc>
          <w:tcPr>
            <w:tcW w:w="1276" w:type="dxa"/>
            <w:vAlign w:val="center"/>
          </w:tcPr>
          <w:p>
            <w:pPr>
              <w:pStyle w:val="13"/>
            </w:pPr>
            <w:r>
              <w:t>物业服务合同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设备维修及时率</w:t>
            </w:r>
          </w:p>
        </w:tc>
        <w:tc>
          <w:tcPr>
            <w:tcW w:w="5386" w:type="dxa"/>
            <w:vAlign w:val="center"/>
          </w:tcPr>
          <w:p>
            <w:pPr>
              <w:pStyle w:val="13"/>
            </w:pPr>
            <w:r>
              <w:t>设备维修及时率</w:t>
            </w:r>
          </w:p>
        </w:tc>
        <w:tc>
          <w:tcPr>
            <w:tcW w:w="2268" w:type="dxa"/>
            <w:vAlign w:val="center"/>
          </w:tcPr>
          <w:p>
            <w:pPr>
              <w:pStyle w:val="13"/>
            </w:pPr>
            <w:r>
              <w:t>≥95%</w:t>
            </w:r>
          </w:p>
        </w:tc>
        <w:tc>
          <w:tcPr>
            <w:tcW w:w="1276" w:type="dxa"/>
            <w:vAlign w:val="center"/>
          </w:tcPr>
          <w:p>
            <w:pPr>
              <w:pStyle w:val="13"/>
            </w:pPr>
            <w:r>
              <w:t>物业服务合同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物业服务成本</w:t>
            </w:r>
          </w:p>
        </w:tc>
        <w:tc>
          <w:tcPr>
            <w:tcW w:w="5386" w:type="dxa"/>
            <w:vAlign w:val="center"/>
          </w:tcPr>
          <w:p>
            <w:pPr>
              <w:pStyle w:val="13"/>
            </w:pPr>
            <w:r>
              <w:t>物业服务成本</w:t>
            </w:r>
          </w:p>
        </w:tc>
        <w:tc>
          <w:tcPr>
            <w:tcW w:w="2268" w:type="dxa"/>
            <w:vAlign w:val="center"/>
          </w:tcPr>
          <w:p>
            <w:pPr>
              <w:pStyle w:val="13"/>
            </w:pPr>
            <w:r>
              <w:t>≤12.2万元</w:t>
            </w:r>
          </w:p>
        </w:tc>
        <w:tc>
          <w:tcPr>
            <w:tcW w:w="1276" w:type="dxa"/>
            <w:vAlign w:val="center"/>
          </w:tcPr>
          <w:p>
            <w:pPr>
              <w:pStyle w:val="13"/>
            </w:pPr>
            <w:r>
              <w:t>物业服务合同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提高居民生活质量</w:t>
            </w:r>
          </w:p>
        </w:tc>
        <w:tc>
          <w:tcPr>
            <w:tcW w:w="5386" w:type="dxa"/>
            <w:vAlign w:val="center"/>
          </w:tcPr>
          <w:p>
            <w:pPr>
              <w:pStyle w:val="13"/>
            </w:pPr>
            <w:r>
              <w:t>保障小区住户的便利性，提高居民生活质量</w:t>
            </w:r>
          </w:p>
        </w:tc>
        <w:tc>
          <w:tcPr>
            <w:tcW w:w="2268" w:type="dxa"/>
            <w:vAlign w:val="center"/>
          </w:tcPr>
          <w:p>
            <w:pPr>
              <w:pStyle w:val="13"/>
            </w:pPr>
            <w:r>
              <w:t>较上年提高</w:t>
            </w:r>
          </w:p>
        </w:tc>
        <w:tc>
          <w:tcPr>
            <w:tcW w:w="1276" w:type="dxa"/>
            <w:vAlign w:val="center"/>
          </w:tcPr>
          <w:p>
            <w:pPr>
              <w:pStyle w:val="13"/>
            </w:pPr>
            <w:r>
              <w:t>近三年工作经验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小区居民满意度</w:t>
            </w:r>
          </w:p>
        </w:tc>
        <w:tc>
          <w:tcPr>
            <w:tcW w:w="5386" w:type="dxa"/>
            <w:vAlign w:val="center"/>
          </w:tcPr>
          <w:p>
            <w:pPr>
              <w:pStyle w:val="13"/>
            </w:pPr>
            <w:r>
              <w:t>小区居民满意度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11、云视频系统移动终端年费绩效目标表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13010725P00002510023P</w:t>
            </w:r>
          </w:p>
        </w:tc>
        <w:tc>
          <w:tcPr>
            <w:tcW w:w="2835" w:type="dxa"/>
            <w:vAlign w:val="center"/>
          </w:tcPr>
          <w:p>
            <w:pPr>
              <w:pStyle w:val="11"/>
            </w:pPr>
            <w:r>
              <w:t>项目名称</w:t>
            </w:r>
          </w:p>
        </w:tc>
        <w:tc>
          <w:tcPr>
            <w:tcW w:w="6095" w:type="dxa"/>
            <w:gridSpan w:val="3"/>
            <w:vAlign w:val="center"/>
          </w:tcPr>
          <w:p>
            <w:pPr>
              <w:pStyle w:val="13"/>
            </w:pPr>
            <w:r>
              <w:t>云视频系统移动终端年费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0.84</w:t>
            </w:r>
          </w:p>
        </w:tc>
        <w:tc>
          <w:tcPr>
            <w:tcW w:w="2835" w:type="dxa"/>
            <w:vAlign w:val="center"/>
          </w:tcPr>
          <w:p>
            <w:pPr>
              <w:pStyle w:val="11"/>
            </w:pPr>
            <w:r>
              <w:t>其中：财政    资金</w:t>
            </w:r>
          </w:p>
        </w:tc>
        <w:tc>
          <w:tcPr>
            <w:tcW w:w="2551" w:type="dxa"/>
            <w:vAlign w:val="center"/>
          </w:tcPr>
          <w:p>
            <w:pPr>
              <w:pStyle w:val="13"/>
            </w:pPr>
            <w:r>
              <w:t>0.84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rPr>
                <w:rFonts w:hint="eastAsia" w:eastAsia="方正书宋_GBK"/>
                <w:lang w:eastAsia="zh-CN"/>
              </w:rPr>
            </w:pPr>
            <w:r>
              <w:rPr>
                <w:rFonts w:hint="eastAsia"/>
                <w:lang w:eastAsia="zh-CN"/>
              </w:rPr>
              <w:t>用于支付</w:t>
            </w:r>
            <w:r>
              <w:t>云视频系统移动终端年费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rPr>
                <w:rFonts w:hint="default" w:eastAsia="方正书宋_GBK"/>
                <w:lang w:val="en-US" w:eastAsia="zh-CN"/>
              </w:rPr>
            </w:pPr>
            <w:r>
              <w:rPr>
                <w:rFonts w:hint="eastAsia"/>
                <w:lang w:val="en-US" w:eastAsia="zh-CN"/>
              </w:rP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1.通过租用云视频建设本单位视频会议系统，实现视频会议需求，提升视频会议及时性，提高工作效率。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云视频</w:t>
            </w:r>
          </w:p>
        </w:tc>
        <w:tc>
          <w:tcPr>
            <w:tcW w:w="5386" w:type="dxa"/>
            <w:vAlign w:val="center"/>
          </w:tcPr>
          <w:p>
            <w:pPr>
              <w:pStyle w:val="13"/>
            </w:pPr>
            <w:r>
              <w:t>云视频系统建设</w:t>
            </w:r>
          </w:p>
        </w:tc>
        <w:tc>
          <w:tcPr>
            <w:tcW w:w="2268" w:type="dxa"/>
            <w:vAlign w:val="center"/>
          </w:tcPr>
          <w:p>
            <w:pPr>
              <w:pStyle w:val="13"/>
            </w:pPr>
            <w:r>
              <w:t>1项</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设备正常运转率</w:t>
            </w:r>
          </w:p>
        </w:tc>
        <w:tc>
          <w:tcPr>
            <w:tcW w:w="5386" w:type="dxa"/>
            <w:vAlign w:val="center"/>
          </w:tcPr>
          <w:p>
            <w:pPr>
              <w:pStyle w:val="13"/>
            </w:pPr>
            <w:r>
              <w:t>设备正常运转率</w:t>
            </w:r>
          </w:p>
        </w:tc>
        <w:tc>
          <w:tcPr>
            <w:tcW w:w="2268" w:type="dxa"/>
            <w:vAlign w:val="center"/>
          </w:tcPr>
          <w:p>
            <w:pPr>
              <w:pStyle w:val="13"/>
            </w:pPr>
            <w:r>
              <w:t>≥98%</w:t>
            </w:r>
          </w:p>
        </w:tc>
        <w:tc>
          <w:tcPr>
            <w:tcW w:w="1276" w:type="dxa"/>
            <w:vAlign w:val="center"/>
          </w:tcPr>
          <w:p>
            <w:pPr>
              <w:pStyle w:val="13"/>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云视频系统工作完成时间</w:t>
            </w:r>
          </w:p>
        </w:tc>
        <w:tc>
          <w:tcPr>
            <w:tcW w:w="5386" w:type="dxa"/>
            <w:vAlign w:val="center"/>
          </w:tcPr>
          <w:p>
            <w:pPr>
              <w:pStyle w:val="13"/>
            </w:pPr>
            <w:r>
              <w:t>云视频系统工作完成时间</w:t>
            </w:r>
          </w:p>
        </w:tc>
        <w:tc>
          <w:tcPr>
            <w:tcW w:w="2268" w:type="dxa"/>
            <w:vAlign w:val="center"/>
          </w:tcPr>
          <w:p>
            <w:pPr>
              <w:pStyle w:val="13"/>
            </w:pPr>
            <w:r>
              <w:t>2025年年底前</w:t>
            </w:r>
          </w:p>
        </w:tc>
        <w:tc>
          <w:tcPr>
            <w:tcW w:w="1276" w:type="dxa"/>
            <w:vAlign w:val="center"/>
          </w:tcPr>
          <w:p>
            <w:pPr>
              <w:pStyle w:val="13"/>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支付云视频成本</w:t>
            </w:r>
          </w:p>
        </w:tc>
        <w:tc>
          <w:tcPr>
            <w:tcW w:w="5386" w:type="dxa"/>
            <w:vAlign w:val="center"/>
          </w:tcPr>
          <w:p>
            <w:pPr>
              <w:pStyle w:val="13"/>
            </w:pPr>
            <w:r>
              <w:t>支付云视频成本</w:t>
            </w:r>
          </w:p>
        </w:tc>
        <w:tc>
          <w:tcPr>
            <w:tcW w:w="2268" w:type="dxa"/>
            <w:vAlign w:val="center"/>
          </w:tcPr>
          <w:p>
            <w:pPr>
              <w:pStyle w:val="13"/>
            </w:pPr>
            <w:r>
              <w:t>≤0.84万元</w:t>
            </w:r>
          </w:p>
        </w:tc>
        <w:tc>
          <w:tcPr>
            <w:tcW w:w="1276" w:type="dxa"/>
            <w:vAlign w:val="center"/>
          </w:tcPr>
          <w:p>
            <w:pPr>
              <w:pStyle w:val="13"/>
            </w:pPr>
            <w:r>
              <w:t>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促进建筑工地管理能力</w:t>
            </w:r>
          </w:p>
        </w:tc>
        <w:tc>
          <w:tcPr>
            <w:tcW w:w="5386" w:type="dxa"/>
            <w:vAlign w:val="center"/>
          </w:tcPr>
          <w:p>
            <w:pPr>
              <w:pStyle w:val="13"/>
            </w:pPr>
            <w:r>
              <w:t>促进建筑工地管理能力</w:t>
            </w:r>
          </w:p>
        </w:tc>
        <w:tc>
          <w:tcPr>
            <w:tcW w:w="2268" w:type="dxa"/>
            <w:vAlign w:val="center"/>
          </w:tcPr>
          <w:p>
            <w:pPr>
              <w:pStyle w:val="13"/>
            </w:pPr>
            <w:r>
              <w:t>有效促进建筑工地管理能力</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p>
        </w:tc>
        <w:tc>
          <w:tcPr>
            <w:tcW w:w="5386" w:type="dxa"/>
            <w:vAlign w:val="center"/>
          </w:tcPr>
          <w:p>
            <w:pPr>
              <w:pStyle w:val="13"/>
            </w:pPr>
            <w:r>
              <w:t>单位满意度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12、住建局劳务派遣工资绩效目标表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13010725P000210102261</w:t>
            </w:r>
          </w:p>
        </w:tc>
        <w:tc>
          <w:tcPr>
            <w:tcW w:w="2835" w:type="dxa"/>
            <w:vAlign w:val="center"/>
          </w:tcPr>
          <w:p>
            <w:pPr>
              <w:pStyle w:val="11"/>
            </w:pPr>
            <w:r>
              <w:t>项目名称</w:t>
            </w:r>
          </w:p>
        </w:tc>
        <w:tc>
          <w:tcPr>
            <w:tcW w:w="6095" w:type="dxa"/>
            <w:gridSpan w:val="3"/>
            <w:vAlign w:val="center"/>
          </w:tcPr>
          <w:p>
            <w:pPr>
              <w:pStyle w:val="13"/>
            </w:pPr>
            <w:r>
              <w:t>住建局劳务派遣工资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117.50</w:t>
            </w:r>
          </w:p>
        </w:tc>
        <w:tc>
          <w:tcPr>
            <w:tcW w:w="2835" w:type="dxa"/>
            <w:vAlign w:val="center"/>
          </w:tcPr>
          <w:p>
            <w:pPr>
              <w:pStyle w:val="11"/>
            </w:pPr>
            <w:r>
              <w:t>其中：财政    资金</w:t>
            </w:r>
          </w:p>
        </w:tc>
        <w:tc>
          <w:tcPr>
            <w:tcW w:w="2551" w:type="dxa"/>
            <w:vAlign w:val="center"/>
          </w:tcPr>
          <w:p>
            <w:pPr>
              <w:pStyle w:val="13"/>
            </w:pPr>
            <w:r>
              <w:t>117.50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lang w:eastAsia="zh-CN"/>
              </w:rPr>
              <w:t>用于发放</w:t>
            </w:r>
            <w:r>
              <w:t>住建局劳务派遣工资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rPr>
                <w:rFonts w:hint="default" w:eastAsia="方正书宋_GBK"/>
                <w:lang w:val="en-US" w:eastAsia="zh-CN"/>
              </w:rPr>
            </w:pPr>
            <w:r>
              <w:t xml:space="preserve"> </w:t>
            </w:r>
            <w:r>
              <w:rPr>
                <w:rFonts w:hint="eastAsia"/>
                <w:lang w:val="en-US" w:eastAsia="zh-CN"/>
              </w:rPr>
              <w:t>25</w:t>
            </w:r>
          </w:p>
        </w:tc>
        <w:tc>
          <w:tcPr>
            <w:tcW w:w="2835" w:type="dxa"/>
            <w:vAlign w:val="center"/>
          </w:tcPr>
          <w:p>
            <w:pPr>
              <w:pStyle w:val="14"/>
              <w:rPr>
                <w:rFonts w:hint="default" w:eastAsia="方正书宋_GBK"/>
                <w:lang w:val="en-US" w:eastAsia="zh-CN"/>
              </w:rPr>
            </w:pPr>
            <w:r>
              <w:rPr>
                <w:rFonts w:hint="eastAsia"/>
                <w:lang w:val="en-US" w:eastAsia="zh-CN"/>
              </w:rPr>
              <w:t>50</w:t>
            </w:r>
          </w:p>
        </w:tc>
        <w:tc>
          <w:tcPr>
            <w:tcW w:w="2551" w:type="dxa"/>
            <w:vAlign w:val="center"/>
          </w:tcPr>
          <w:p>
            <w:pPr>
              <w:pStyle w:val="14"/>
            </w:pPr>
            <w:r>
              <w:rPr>
                <w:rFonts w:hint="eastAsia"/>
                <w:lang w:val="en-US" w:eastAsia="zh-CN"/>
              </w:rPr>
              <w:t>75</w:t>
            </w:r>
            <w:r>
              <w:t xml:space="preserve"> </w:t>
            </w:r>
          </w:p>
        </w:tc>
        <w:tc>
          <w:tcPr>
            <w:tcW w:w="3544" w:type="dxa"/>
            <w:gridSpan w:val="2"/>
            <w:vAlign w:val="center"/>
          </w:tcPr>
          <w:p>
            <w:pPr>
              <w:pStyle w:val="14"/>
            </w:pPr>
            <w:r>
              <w:rPr>
                <w:rFonts w:hint="eastAsia"/>
                <w:lang w:val="en-US" w:eastAsia="zh-CN"/>
              </w:rPr>
              <w:t>100</w:t>
            </w: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1.通过拨付9名劳务外包及27名劳务派遣人员工资，保障员工日常生活需求，确保局交办任务顺利完成</w:t>
            </w:r>
            <w:r>
              <w:tab/>
            </w:r>
            <w:r>
              <w:tab/>
            </w:r>
            <w:r>
              <w:tab/>
            </w:r>
            <w:bookmarkStart w:id="20" w:name="_GoBack"/>
            <w:bookmarkEnd w:id="20"/>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住建局门岗及劳务派遣</w:t>
            </w:r>
          </w:p>
        </w:tc>
        <w:tc>
          <w:tcPr>
            <w:tcW w:w="5386" w:type="dxa"/>
            <w:vAlign w:val="center"/>
          </w:tcPr>
          <w:p>
            <w:pPr>
              <w:pStyle w:val="13"/>
            </w:pPr>
            <w:r>
              <w:t>住建局劳务派遣27人，劳务外包9人</w:t>
            </w:r>
          </w:p>
        </w:tc>
        <w:tc>
          <w:tcPr>
            <w:tcW w:w="2268" w:type="dxa"/>
            <w:vAlign w:val="center"/>
          </w:tcPr>
          <w:p>
            <w:pPr>
              <w:pStyle w:val="13"/>
            </w:pPr>
            <w:r>
              <w:t>≤36人</w:t>
            </w:r>
          </w:p>
        </w:tc>
        <w:tc>
          <w:tcPr>
            <w:tcW w:w="1276" w:type="dxa"/>
            <w:vAlign w:val="center"/>
          </w:tcPr>
          <w:p>
            <w:pPr>
              <w:pStyle w:val="13"/>
            </w:pPr>
            <w:r>
              <w:t>工资表审批表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每月支付工资额</w:t>
            </w:r>
          </w:p>
        </w:tc>
        <w:tc>
          <w:tcPr>
            <w:tcW w:w="5386" w:type="dxa"/>
            <w:vAlign w:val="center"/>
          </w:tcPr>
          <w:p>
            <w:pPr>
              <w:pStyle w:val="13"/>
            </w:pPr>
            <w:r>
              <w:t>每月支付工资额</w:t>
            </w:r>
          </w:p>
        </w:tc>
        <w:tc>
          <w:tcPr>
            <w:tcW w:w="2268" w:type="dxa"/>
            <w:vAlign w:val="center"/>
          </w:tcPr>
          <w:p>
            <w:pPr>
              <w:pStyle w:val="13"/>
            </w:pPr>
            <w:r>
              <w:t>≤9.8万元</w:t>
            </w:r>
          </w:p>
        </w:tc>
        <w:tc>
          <w:tcPr>
            <w:tcW w:w="1276" w:type="dxa"/>
            <w:vAlign w:val="center"/>
          </w:tcPr>
          <w:p>
            <w:pPr>
              <w:pStyle w:val="13"/>
            </w:pPr>
            <w:r>
              <w:t>工资表审批表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工资发放完成时间</w:t>
            </w:r>
          </w:p>
        </w:tc>
        <w:tc>
          <w:tcPr>
            <w:tcW w:w="5386" w:type="dxa"/>
            <w:vAlign w:val="center"/>
          </w:tcPr>
          <w:p>
            <w:pPr>
              <w:pStyle w:val="13"/>
            </w:pPr>
            <w:r>
              <w:t>工资发放完成时间</w:t>
            </w:r>
          </w:p>
        </w:tc>
        <w:tc>
          <w:tcPr>
            <w:tcW w:w="2268" w:type="dxa"/>
            <w:vAlign w:val="center"/>
          </w:tcPr>
          <w:p>
            <w:pPr>
              <w:pStyle w:val="13"/>
            </w:pPr>
            <w:r>
              <w:t>2025年年底</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年度考核合格率</w:t>
            </w:r>
          </w:p>
        </w:tc>
        <w:tc>
          <w:tcPr>
            <w:tcW w:w="5386" w:type="dxa"/>
            <w:vAlign w:val="center"/>
          </w:tcPr>
          <w:p>
            <w:pPr>
              <w:pStyle w:val="13"/>
            </w:pPr>
            <w:r>
              <w:t>年度考核合格率</w:t>
            </w:r>
          </w:p>
        </w:tc>
        <w:tc>
          <w:tcPr>
            <w:tcW w:w="2268" w:type="dxa"/>
            <w:vAlign w:val="center"/>
          </w:tcPr>
          <w:p>
            <w:pPr>
              <w:pStyle w:val="13"/>
            </w:pPr>
            <w:r>
              <w:t>≥100%</w:t>
            </w:r>
          </w:p>
        </w:tc>
        <w:tc>
          <w:tcPr>
            <w:tcW w:w="1276" w:type="dxa"/>
            <w:vAlign w:val="center"/>
          </w:tcPr>
          <w:p>
            <w:pPr>
              <w:pStyle w:val="13"/>
            </w:pPr>
            <w:r>
              <w:t>年度考核表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保障员工权益</w:t>
            </w:r>
          </w:p>
        </w:tc>
        <w:tc>
          <w:tcPr>
            <w:tcW w:w="5386" w:type="dxa"/>
            <w:vAlign w:val="center"/>
          </w:tcPr>
          <w:p>
            <w:pPr>
              <w:pStyle w:val="13"/>
            </w:pPr>
            <w:r>
              <w:t>通过按月发放工资，保障员工权益</w:t>
            </w:r>
          </w:p>
        </w:tc>
        <w:tc>
          <w:tcPr>
            <w:tcW w:w="2268" w:type="dxa"/>
            <w:vAlign w:val="center"/>
          </w:tcPr>
          <w:p>
            <w:pPr>
              <w:pStyle w:val="13"/>
            </w:pPr>
            <w:r>
              <w:t>有效保障员工权益</w:t>
            </w:r>
          </w:p>
        </w:tc>
        <w:tc>
          <w:tcPr>
            <w:tcW w:w="1276" w:type="dxa"/>
            <w:vAlign w:val="center"/>
          </w:tcPr>
          <w:p>
            <w:pPr>
              <w:pStyle w:val="13"/>
            </w:pPr>
            <w:r>
              <w:t>近三年工作经验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临时人员满意度</w:t>
            </w:r>
          </w:p>
        </w:tc>
        <w:tc>
          <w:tcPr>
            <w:tcW w:w="5386" w:type="dxa"/>
            <w:vAlign w:val="center"/>
          </w:tcPr>
          <w:p>
            <w:pPr>
              <w:pStyle w:val="13"/>
            </w:pPr>
            <w:r>
              <w:t>门岗及劳务派遣人员满意度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13、光缆租赁费绩效目标表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13010725P00002510028R</w:t>
            </w:r>
          </w:p>
        </w:tc>
        <w:tc>
          <w:tcPr>
            <w:tcW w:w="2835" w:type="dxa"/>
            <w:vAlign w:val="center"/>
          </w:tcPr>
          <w:p>
            <w:pPr>
              <w:pStyle w:val="11"/>
            </w:pPr>
            <w:r>
              <w:t>项目名称</w:t>
            </w:r>
          </w:p>
        </w:tc>
        <w:tc>
          <w:tcPr>
            <w:tcW w:w="6095" w:type="dxa"/>
            <w:gridSpan w:val="3"/>
            <w:vAlign w:val="center"/>
          </w:tcPr>
          <w:p>
            <w:pPr>
              <w:pStyle w:val="13"/>
            </w:pPr>
            <w:r>
              <w:t>光缆租赁费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房管所业务平台光缆租赁费。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rPr>
                <w:rFonts w:hint="default" w:eastAsia="方正书宋_GBK"/>
                <w:lang w:val="en-US" w:eastAsia="zh-CN"/>
              </w:rPr>
            </w:pPr>
            <w:r>
              <w:t xml:space="preserve"> </w:t>
            </w:r>
            <w:r>
              <w:rPr>
                <w:rFonts w:hint="eastAsia"/>
                <w:lang w:val="en-US" w:eastAsia="zh-CN"/>
              </w:rPr>
              <w:t>100</w:t>
            </w:r>
          </w:p>
        </w:tc>
        <w:tc>
          <w:tcPr>
            <w:tcW w:w="2835" w:type="dxa"/>
            <w:vAlign w:val="center"/>
          </w:tcPr>
          <w:p>
            <w:pPr>
              <w:pStyle w:val="14"/>
            </w:pPr>
            <w:r>
              <w:t xml:space="preserve"> </w:t>
            </w:r>
          </w:p>
        </w:tc>
        <w:tc>
          <w:tcPr>
            <w:tcW w:w="2551" w:type="dxa"/>
            <w:vAlign w:val="center"/>
          </w:tcPr>
          <w:p>
            <w:pPr>
              <w:pStyle w:val="14"/>
            </w:pP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1.通过维护1台终端设备，保障设备的正常运转，实现建立信号和信息的传输与存储。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维护设备的数量/平台数量</w:t>
            </w:r>
          </w:p>
        </w:tc>
        <w:tc>
          <w:tcPr>
            <w:tcW w:w="5386" w:type="dxa"/>
            <w:vAlign w:val="center"/>
          </w:tcPr>
          <w:p>
            <w:pPr>
              <w:pStyle w:val="13"/>
            </w:pPr>
            <w:r>
              <w:t>维护设备的数量/平台数量</w:t>
            </w:r>
          </w:p>
        </w:tc>
        <w:tc>
          <w:tcPr>
            <w:tcW w:w="2268" w:type="dxa"/>
            <w:vAlign w:val="center"/>
          </w:tcPr>
          <w:p>
            <w:pPr>
              <w:pStyle w:val="13"/>
            </w:pPr>
            <w:r>
              <w:t>≥1台/个</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设备正常运行率</w:t>
            </w:r>
          </w:p>
        </w:tc>
        <w:tc>
          <w:tcPr>
            <w:tcW w:w="5386" w:type="dxa"/>
            <w:vAlign w:val="center"/>
          </w:tcPr>
          <w:p>
            <w:pPr>
              <w:pStyle w:val="13"/>
            </w:pPr>
            <w:r>
              <w:t>设备正常运行率</w:t>
            </w:r>
          </w:p>
        </w:tc>
        <w:tc>
          <w:tcPr>
            <w:tcW w:w="2268" w:type="dxa"/>
            <w:vAlign w:val="center"/>
          </w:tcPr>
          <w:p>
            <w:pPr>
              <w:pStyle w:val="13"/>
            </w:pPr>
            <w:r>
              <w:t>≥95%</w:t>
            </w:r>
          </w:p>
        </w:tc>
        <w:tc>
          <w:tcPr>
            <w:tcW w:w="1276" w:type="dxa"/>
            <w:vAlign w:val="center"/>
          </w:tcPr>
          <w:p>
            <w:pPr>
              <w:pStyle w:val="13"/>
            </w:pPr>
            <w:r>
              <w:t>信息信号传输运行标准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合同约定时限</w:t>
            </w:r>
          </w:p>
        </w:tc>
        <w:tc>
          <w:tcPr>
            <w:tcW w:w="5386" w:type="dxa"/>
            <w:vAlign w:val="center"/>
          </w:tcPr>
          <w:p>
            <w:pPr>
              <w:pStyle w:val="13"/>
            </w:pPr>
            <w:r>
              <w:t>合同约定时限</w:t>
            </w:r>
          </w:p>
        </w:tc>
        <w:tc>
          <w:tcPr>
            <w:tcW w:w="2268" w:type="dxa"/>
            <w:vAlign w:val="center"/>
          </w:tcPr>
          <w:p>
            <w:pPr>
              <w:pStyle w:val="13"/>
            </w:pPr>
            <w:r>
              <w:t>36月</w:t>
            </w:r>
          </w:p>
        </w:tc>
        <w:tc>
          <w:tcPr>
            <w:tcW w:w="1276" w:type="dxa"/>
            <w:vAlign w:val="center"/>
          </w:tcPr>
          <w:p>
            <w:pPr>
              <w:pStyle w:val="13"/>
            </w:pPr>
            <w:r>
              <w:t>信号信息存储运行标准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平均每年维护成本</w:t>
            </w:r>
          </w:p>
        </w:tc>
        <w:tc>
          <w:tcPr>
            <w:tcW w:w="5386" w:type="dxa"/>
            <w:vAlign w:val="center"/>
          </w:tcPr>
          <w:p>
            <w:pPr>
              <w:pStyle w:val="13"/>
            </w:pPr>
            <w:r>
              <w:t>平均每年维护成本</w:t>
            </w:r>
          </w:p>
        </w:tc>
        <w:tc>
          <w:tcPr>
            <w:tcW w:w="2268" w:type="dxa"/>
            <w:vAlign w:val="center"/>
          </w:tcPr>
          <w:p>
            <w:pPr>
              <w:pStyle w:val="13"/>
            </w:pPr>
            <w:r>
              <w:t>≤5万元</w:t>
            </w:r>
          </w:p>
        </w:tc>
        <w:tc>
          <w:tcPr>
            <w:tcW w:w="1276" w:type="dxa"/>
            <w:vAlign w:val="center"/>
          </w:tcPr>
          <w:p>
            <w:pPr>
              <w:pStyle w:val="13"/>
            </w:pPr>
            <w:r>
              <w:t>2025年年初预算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通过维护终端，保障信号正常传输</w:t>
            </w:r>
          </w:p>
        </w:tc>
        <w:tc>
          <w:tcPr>
            <w:tcW w:w="5386" w:type="dxa"/>
            <w:vAlign w:val="center"/>
          </w:tcPr>
          <w:p>
            <w:pPr>
              <w:pStyle w:val="13"/>
            </w:pPr>
            <w:r>
              <w:t>通过维护终端，保障信号正常传输</w:t>
            </w:r>
          </w:p>
        </w:tc>
        <w:tc>
          <w:tcPr>
            <w:tcW w:w="2268" w:type="dxa"/>
            <w:vAlign w:val="center"/>
          </w:tcPr>
          <w:p>
            <w:pPr>
              <w:pStyle w:val="13"/>
            </w:pPr>
            <w:r>
              <w:t>通过维护终端，保障信号正常传输</w:t>
            </w:r>
          </w:p>
        </w:tc>
        <w:tc>
          <w:tcPr>
            <w:tcW w:w="1276" w:type="dxa"/>
            <w:vAlign w:val="center"/>
          </w:tcPr>
          <w:p>
            <w:pPr>
              <w:pStyle w:val="13"/>
            </w:pPr>
            <w:r>
              <w:t>近三年来工作经验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工作人员满意度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14、关于下达重点地区转型发展专项[资源型地区发展方向]—石家庄市井陉矿区采煤沉陷区横涧乡片区一期避险搬迁安置项目绩效目标表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13010725P000211100045</w:t>
            </w:r>
          </w:p>
        </w:tc>
        <w:tc>
          <w:tcPr>
            <w:tcW w:w="2835" w:type="dxa"/>
            <w:vAlign w:val="center"/>
          </w:tcPr>
          <w:p>
            <w:pPr>
              <w:pStyle w:val="11"/>
            </w:pPr>
            <w:r>
              <w:t>项目名称</w:t>
            </w:r>
          </w:p>
        </w:tc>
        <w:tc>
          <w:tcPr>
            <w:tcW w:w="6095" w:type="dxa"/>
            <w:gridSpan w:val="3"/>
            <w:vAlign w:val="center"/>
          </w:tcPr>
          <w:p>
            <w:pPr>
              <w:pStyle w:val="13"/>
            </w:pPr>
            <w:r>
              <w:t>关于下达重点地区转型发展专项[资源型地区发展方向]—石家庄市井陉矿区采煤沉陷区横涧乡片区一期避险搬迁安置项目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7993.00</w:t>
            </w:r>
          </w:p>
        </w:tc>
        <w:tc>
          <w:tcPr>
            <w:tcW w:w="2835" w:type="dxa"/>
            <w:vAlign w:val="center"/>
          </w:tcPr>
          <w:p>
            <w:pPr>
              <w:pStyle w:val="11"/>
            </w:pPr>
            <w:r>
              <w:t>其中：财政    资金</w:t>
            </w:r>
          </w:p>
        </w:tc>
        <w:tc>
          <w:tcPr>
            <w:tcW w:w="2551" w:type="dxa"/>
            <w:vAlign w:val="center"/>
          </w:tcPr>
          <w:p>
            <w:pPr>
              <w:pStyle w:val="13"/>
            </w:pPr>
            <w:r>
              <w:t>7993.00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用于采煤沉陷区横涧乡片区一期避险搬迁安置项目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rPr>
                <w:rFonts w:hint="default" w:eastAsia="方正书宋_GBK"/>
                <w:lang w:val="en-US" w:eastAsia="zh-CN"/>
              </w:rPr>
            </w:pPr>
            <w:r>
              <w:rPr>
                <w:rFonts w:hint="eastAsia"/>
                <w:lang w:val="en-US" w:eastAsia="zh-CN"/>
              </w:rPr>
              <w:t>50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1.通过实施采煤沉陷区横涧乡片区一期避险搬迁安置项目，改善居民居住环境，提高居民生活品质。</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建设安置楼面积</w:t>
            </w:r>
          </w:p>
        </w:tc>
        <w:tc>
          <w:tcPr>
            <w:tcW w:w="5386" w:type="dxa"/>
            <w:vAlign w:val="center"/>
          </w:tcPr>
          <w:p>
            <w:pPr>
              <w:pStyle w:val="13"/>
            </w:pPr>
            <w:r>
              <w:t>建设安置房面积</w:t>
            </w:r>
          </w:p>
        </w:tc>
        <w:tc>
          <w:tcPr>
            <w:tcW w:w="2268" w:type="dxa"/>
            <w:vAlign w:val="center"/>
          </w:tcPr>
          <w:p>
            <w:pPr>
              <w:pStyle w:val="13"/>
            </w:pPr>
            <w:r>
              <w:t>≤28828.48平方米</w:t>
            </w:r>
          </w:p>
        </w:tc>
        <w:tc>
          <w:tcPr>
            <w:tcW w:w="1276" w:type="dxa"/>
            <w:vAlign w:val="center"/>
          </w:tcPr>
          <w:p>
            <w:pPr>
              <w:pStyle w:val="13"/>
            </w:pPr>
            <w:r>
              <w:t>矿行审投资【2024】50号，54号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专款专用率</w:t>
            </w:r>
          </w:p>
        </w:tc>
        <w:tc>
          <w:tcPr>
            <w:tcW w:w="2268" w:type="dxa"/>
            <w:vAlign w:val="center"/>
          </w:tcPr>
          <w:p>
            <w:pPr>
              <w:pStyle w:val="13"/>
            </w:pPr>
            <w:r>
              <w:t>≤100%</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≥85%</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项目总投资</w:t>
            </w:r>
          </w:p>
        </w:tc>
        <w:tc>
          <w:tcPr>
            <w:tcW w:w="5386" w:type="dxa"/>
            <w:vAlign w:val="center"/>
          </w:tcPr>
          <w:p>
            <w:pPr>
              <w:pStyle w:val="13"/>
            </w:pPr>
            <w:r>
              <w:t>项目总投资</w:t>
            </w:r>
          </w:p>
        </w:tc>
        <w:tc>
          <w:tcPr>
            <w:tcW w:w="2268" w:type="dxa"/>
            <w:vAlign w:val="center"/>
          </w:tcPr>
          <w:p>
            <w:pPr>
              <w:pStyle w:val="13"/>
            </w:pPr>
            <w:r>
              <w:t>≤11000万元</w:t>
            </w:r>
          </w:p>
        </w:tc>
        <w:tc>
          <w:tcPr>
            <w:tcW w:w="1276" w:type="dxa"/>
            <w:vAlign w:val="center"/>
          </w:tcPr>
          <w:p>
            <w:pPr>
              <w:pStyle w:val="13"/>
            </w:pPr>
            <w:r>
              <w:t>矿行审投资【2024】50号，54号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改善居住环境，提升居民生活品质</w:t>
            </w:r>
          </w:p>
        </w:tc>
        <w:tc>
          <w:tcPr>
            <w:tcW w:w="5386" w:type="dxa"/>
            <w:vAlign w:val="center"/>
          </w:tcPr>
          <w:p>
            <w:pPr>
              <w:pStyle w:val="13"/>
            </w:pPr>
            <w:r>
              <w:t>改善居住环境，提升居民生活品质</w:t>
            </w:r>
          </w:p>
        </w:tc>
        <w:tc>
          <w:tcPr>
            <w:tcW w:w="2268" w:type="dxa"/>
            <w:vAlign w:val="center"/>
          </w:tcPr>
          <w:p>
            <w:pPr>
              <w:pStyle w:val="13"/>
            </w:pPr>
            <w:r>
              <w:t>有效改善</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p>
        </w:tc>
        <w:tc>
          <w:tcPr>
            <w:tcW w:w="5386" w:type="dxa"/>
            <w:vAlign w:val="center"/>
          </w:tcPr>
          <w:p>
            <w:pPr>
              <w:pStyle w:val="13"/>
            </w:pPr>
            <w:r>
              <w:t>单位满意度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15、中东王舍避险搬迁道路整治工程西岗街EPC绩效目标表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13010725P00019410006F</w:t>
            </w:r>
          </w:p>
        </w:tc>
        <w:tc>
          <w:tcPr>
            <w:tcW w:w="2835" w:type="dxa"/>
            <w:vAlign w:val="center"/>
          </w:tcPr>
          <w:p>
            <w:pPr>
              <w:pStyle w:val="11"/>
            </w:pPr>
            <w:r>
              <w:t>项目名称</w:t>
            </w:r>
          </w:p>
        </w:tc>
        <w:tc>
          <w:tcPr>
            <w:tcW w:w="6095" w:type="dxa"/>
            <w:gridSpan w:val="3"/>
            <w:vAlign w:val="center"/>
          </w:tcPr>
          <w:p>
            <w:pPr>
              <w:pStyle w:val="13"/>
            </w:pPr>
            <w:r>
              <w:t>中东王舍避险搬迁道路整治工程西岗街EPC</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240.00</w:t>
            </w:r>
          </w:p>
        </w:tc>
        <w:tc>
          <w:tcPr>
            <w:tcW w:w="2835" w:type="dxa"/>
            <w:vAlign w:val="center"/>
          </w:tcPr>
          <w:p>
            <w:pPr>
              <w:pStyle w:val="11"/>
            </w:pPr>
            <w:r>
              <w:t>其中：财政    资金</w:t>
            </w:r>
          </w:p>
        </w:tc>
        <w:tc>
          <w:tcPr>
            <w:tcW w:w="2551" w:type="dxa"/>
            <w:vAlign w:val="center"/>
          </w:tcPr>
          <w:p>
            <w:pPr>
              <w:pStyle w:val="13"/>
            </w:pPr>
            <w:r>
              <w:t>240.00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rPr>
                <w:rFonts w:hint="eastAsia" w:eastAsia="方正书宋_GBK"/>
                <w:lang w:eastAsia="zh-CN"/>
              </w:rPr>
            </w:pPr>
            <w:r>
              <w:t>用于中东王舍避险搬迁道路整治工程西岗街</w:t>
            </w:r>
            <w:r>
              <w:rPr>
                <w:rFonts w:hint="eastAsia"/>
                <w:lang w:eastAsia="zh-CN"/>
              </w:rPr>
              <w:t>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rPr>
                <w:rFonts w:hint="default" w:eastAsia="方正书宋_GBK"/>
                <w:lang w:val="en-US" w:eastAsia="zh-CN"/>
              </w:rPr>
            </w:pPr>
            <w:r>
              <w:rPr>
                <w:rFonts w:hint="eastAsia"/>
                <w:lang w:val="en-US" w:eastAsia="zh-CN"/>
              </w:rPr>
              <w:t>50</w:t>
            </w:r>
          </w:p>
        </w:tc>
        <w:tc>
          <w:tcPr>
            <w:tcW w:w="2835" w:type="dxa"/>
            <w:vAlign w:val="center"/>
          </w:tcPr>
          <w:p>
            <w:pPr>
              <w:pStyle w:val="14"/>
              <w:rPr>
                <w:rFonts w:hint="default" w:eastAsia="方正书宋_GBK"/>
                <w:lang w:val="en-US" w:eastAsia="zh-CN"/>
              </w:rPr>
            </w:pPr>
            <w:r>
              <w:t xml:space="preserve"> </w:t>
            </w:r>
            <w:r>
              <w:rPr>
                <w:rFonts w:hint="eastAsia"/>
                <w:lang w:val="en-US" w:eastAsia="zh-CN"/>
              </w:rP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1.通过对沉陷区中东王舍避险搬迁道路进行提升改造，进一步改善交通环境，提高群众出行的交通便利性、舒适度和安全系数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支持新建或修复基础设施（处）</w:t>
            </w:r>
          </w:p>
        </w:tc>
        <w:tc>
          <w:tcPr>
            <w:tcW w:w="5386" w:type="dxa"/>
            <w:vAlign w:val="center"/>
          </w:tcPr>
          <w:p>
            <w:pPr>
              <w:pStyle w:val="13"/>
            </w:pPr>
            <w:r>
              <w:t>支持新建或修复基础设施（处）</w:t>
            </w:r>
          </w:p>
        </w:tc>
        <w:tc>
          <w:tcPr>
            <w:tcW w:w="2268" w:type="dxa"/>
            <w:vAlign w:val="center"/>
          </w:tcPr>
          <w:p>
            <w:pPr>
              <w:pStyle w:val="13"/>
            </w:pPr>
            <w:r>
              <w:t>≤1处</w:t>
            </w:r>
          </w:p>
        </w:tc>
        <w:tc>
          <w:tcPr>
            <w:tcW w:w="1276" w:type="dxa"/>
            <w:vAlign w:val="center"/>
          </w:tcPr>
          <w:p>
            <w:pPr>
              <w:pStyle w:val="13"/>
            </w:pPr>
            <w:r>
              <w:t>石财建【2023】110号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建设项目验收合格率</w:t>
            </w:r>
          </w:p>
        </w:tc>
        <w:tc>
          <w:tcPr>
            <w:tcW w:w="5386" w:type="dxa"/>
            <w:vAlign w:val="center"/>
          </w:tcPr>
          <w:p>
            <w:pPr>
              <w:pStyle w:val="13"/>
            </w:pPr>
            <w:r>
              <w:t>建设项目验收合格率</w:t>
            </w:r>
          </w:p>
        </w:tc>
        <w:tc>
          <w:tcPr>
            <w:tcW w:w="2268" w:type="dxa"/>
            <w:vAlign w:val="center"/>
          </w:tcPr>
          <w:p>
            <w:pPr>
              <w:pStyle w:val="13"/>
            </w:pPr>
            <w:r>
              <w:t>≥95%</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p>
            <w:pPr>
              <w:pStyle w:val="13"/>
            </w:pPr>
          </w:p>
        </w:tc>
        <w:tc>
          <w:tcPr>
            <w:tcW w:w="5386" w:type="dxa"/>
            <w:vAlign w:val="center"/>
          </w:tcPr>
          <w:p>
            <w:pPr>
              <w:pStyle w:val="13"/>
            </w:pPr>
            <w:r>
              <w:t>项目建设按期完成率</w:t>
            </w:r>
          </w:p>
          <w:p>
            <w:pPr>
              <w:pStyle w:val="13"/>
            </w:pPr>
          </w:p>
        </w:tc>
        <w:tc>
          <w:tcPr>
            <w:tcW w:w="2268" w:type="dxa"/>
            <w:vAlign w:val="center"/>
          </w:tcPr>
          <w:p>
            <w:pPr>
              <w:pStyle w:val="13"/>
            </w:pPr>
            <w:r>
              <w:t>≥90%</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西岗街支付成本</w:t>
            </w:r>
          </w:p>
        </w:tc>
        <w:tc>
          <w:tcPr>
            <w:tcW w:w="5386" w:type="dxa"/>
            <w:vAlign w:val="center"/>
          </w:tcPr>
          <w:p>
            <w:pPr>
              <w:pStyle w:val="13"/>
            </w:pPr>
            <w:r>
              <w:t>西岗街支付成本</w:t>
            </w:r>
          </w:p>
        </w:tc>
        <w:tc>
          <w:tcPr>
            <w:tcW w:w="2268" w:type="dxa"/>
            <w:vAlign w:val="center"/>
          </w:tcPr>
          <w:p>
            <w:pPr>
              <w:pStyle w:val="13"/>
            </w:pPr>
            <w:r>
              <w:t>240万元</w:t>
            </w:r>
          </w:p>
        </w:tc>
        <w:tc>
          <w:tcPr>
            <w:tcW w:w="1276" w:type="dxa"/>
            <w:vAlign w:val="center"/>
          </w:tcPr>
          <w:p>
            <w:pPr>
              <w:pStyle w:val="13"/>
            </w:pPr>
            <w:r>
              <w:t>年度预算审批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优化环境，加快新型城镇化建设</w:t>
            </w:r>
          </w:p>
        </w:tc>
        <w:tc>
          <w:tcPr>
            <w:tcW w:w="5386" w:type="dxa"/>
            <w:vAlign w:val="center"/>
          </w:tcPr>
          <w:p>
            <w:pPr>
              <w:pStyle w:val="13"/>
            </w:pPr>
            <w:r>
              <w:t>优化环境，加快新型城镇化建设</w:t>
            </w:r>
          </w:p>
        </w:tc>
        <w:tc>
          <w:tcPr>
            <w:tcW w:w="2268" w:type="dxa"/>
            <w:vAlign w:val="center"/>
          </w:tcPr>
          <w:p>
            <w:pPr>
              <w:pStyle w:val="13"/>
            </w:pPr>
            <w:r>
              <w:t>较上年提升</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进一步改善交通环境，提高群众出行的交通便利性、舒适度和安全系数。</w:t>
            </w:r>
          </w:p>
        </w:tc>
        <w:tc>
          <w:tcPr>
            <w:tcW w:w="5386" w:type="dxa"/>
            <w:vAlign w:val="center"/>
          </w:tcPr>
          <w:p>
            <w:pPr>
              <w:pStyle w:val="13"/>
            </w:pPr>
            <w:r>
              <w:t>进一步改善交通环境，提高群众出行的交通便利性、舒适度和安全系数。</w:t>
            </w:r>
          </w:p>
        </w:tc>
        <w:tc>
          <w:tcPr>
            <w:tcW w:w="2268" w:type="dxa"/>
            <w:vAlign w:val="center"/>
          </w:tcPr>
          <w:p>
            <w:pPr>
              <w:pStyle w:val="13"/>
            </w:pPr>
            <w:r>
              <w:t>较上年提升</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居民对道路改造的满意度</w:t>
            </w:r>
          </w:p>
        </w:tc>
        <w:tc>
          <w:tcPr>
            <w:tcW w:w="5386" w:type="dxa"/>
            <w:vAlign w:val="center"/>
          </w:tcPr>
          <w:p>
            <w:pPr>
              <w:pStyle w:val="13"/>
            </w:pPr>
            <w:r>
              <w:t>居民对道路改造的满意度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333石家庄市井陉矿区住房和城乡建设局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413.01</w:t>
            </w:r>
          </w:p>
        </w:tc>
        <w:tc>
          <w:tcPr>
            <w:tcW w:w="964" w:type="dxa"/>
            <w:vAlign w:val="center"/>
          </w:tcPr>
          <w:p>
            <w:pPr>
              <w:pStyle w:val="16"/>
            </w:pPr>
            <w:r>
              <w:t>413.01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413.01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石家庄市井陉矿区住房和城乡建设局小计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2.40</w:t>
            </w:r>
          </w:p>
        </w:tc>
        <w:tc>
          <w:tcPr>
            <w:tcW w:w="964" w:type="dxa"/>
            <w:vAlign w:val="center"/>
          </w:tcPr>
          <w:p>
            <w:pPr>
              <w:pStyle w:val="16"/>
            </w:pPr>
            <w:r>
              <w:t>2.40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14.06</w:t>
            </w:r>
          </w:p>
        </w:tc>
        <w:tc>
          <w:tcPr>
            <w:tcW w:w="1134" w:type="dxa"/>
            <w:vAlign w:val="center"/>
          </w:tcPr>
          <w:p>
            <w:pPr>
              <w:pStyle w:val="13"/>
            </w:pPr>
            <w:r>
              <w:t>基础电信服务</w:t>
            </w:r>
          </w:p>
        </w:tc>
        <w:tc>
          <w:tcPr>
            <w:tcW w:w="1134" w:type="dxa"/>
            <w:vAlign w:val="center"/>
          </w:tcPr>
          <w:p>
            <w:pPr>
              <w:pStyle w:val="13"/>
            </w:pPr>
            <w:r>
              <w:t>C17010100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2.40</w:t>
            </w:r>
          </w:p>
        </w:tc>
        <w:tc>
          <w:tcPr>
            <w:tcW w:w="964" w:type="dxa"/>
            <w:vAlign w:val="center"/>
          </w:tcPr>
          <w:p>
            <w:pPr>
              <w:pStyle w:val="12"/>
            </w:pPr>
            <w:r>
              <w:t>2.40</w:t>
            </w:r>
          </w:p>
        </w:tc>
        <w:tc>
          <w:tcPr>
            <w:tcW w:w="964" w:type="dxa"/>
            <w:vAlign w:val="center"/>
          </w:tcPr>
          <w:p>
            <w:pPr>
              <w:pStyle w:val="12"/>
            </w:pPr>
            <w:r>
              <w:t>2.40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石家庄市井陉矿区建筑工程质量监督站小计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410.61</w:t>
            </w:r>
          </w:p>
        </w:tc>
        <w:tc>
          <w:tcPr>
            <w:tcW w:w="964" w:type="dxa"/>
            <w:vAlign w:val="center"/>
          </w:tcPr>
          <w:p>
            <w:pPr>
              <w:pStyle w:val="16"/>
            </w:pPr>
            <w:r>
              <w:t>410.61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410.61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关于下达重点地区转型发展专项[资源型地区发展方向]—石家庄市井陉矿区采煤沉陷区横涧乡片区一期避险搬迁安置项目</w:t>
            </w:r>
          </w:p>
        </w:tc>
        <w:tc>
          <w:tcPr>
            <w:tcW w:w="964" w:type="dxa"/>
            <w:vAlign w:val="center"/>
          </w:tcPr>
          <w:p>
            <w:pPr>
              <w:pStyle w:val="12"/>
            </w:pPr>
            <w:r>
              <w:t>7993.00</w:t>
            </w:r>
          </w:p>
        </w:tc>
        <w:tc>
          <w:tcPr>
            <w:tcW w:w="1134" w:type="dxa"/>
            <w:vAlign w:val="center"/>
          </w:tcPr>
          <w:p>
            <w:pPr>
              <w:pStyle w:val="13"/>
            </w:pPr>
            <w:r>
              <w:t>房屋附属设施施工</w:t>
            </w:r>
          </w:p>
        </w:tc>
        <w:tc>
          <w:tcPr>
            <w:tcW w:w="1134" w:type="dxa"/>
            <w:vAlign w:val="center"/>
          </w:tcPr>
          <w:p>
            <w:pPr>
              <w:pStyle w:val="13"/>
            </w:pPr>
            <w:r>
              <w:t>B01060000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410.61</w:t>
            </w:r>
          </w:p>
        </w:tc>
        <w:tc>
          <w:tcPr>
            <w:tcW w:w="964" w:type="dxa"/>
            <w:vAlign w:val="center"/>
          </w:tcPr>
          <w:p>
            <w:pPr>
              <w:pStyle w:val="12"/>
            </w:pPr>
            <w:r>
              <w:t>410.61</w:t>
            </w:r>
          </w:p>
        </w:tc>
        <w:tc>
          <w:tcPr>
            <w:tcW w:w="964" w:type="dxa"/>
            <w:vAlign w:val="center"/>
          </w:tcPr>
          <w:p>
            <w:pPr>
              <w:pStyle w:val="12"/>
            </w:pPr>
            <w:r>
              <w:t>410.61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410.61</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石家庄市井陉矿区住房和城乡建设局（含所属单位）上年末固定资产金额为579.82万元（详见下表）。本年度拟购置固定资产总额为0.00万元，已按要求列入政府采购预算，详见政府采购预算表。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333石家庄市井陉矿区住房和城乡建设局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579.82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3194.39</w:t>
            </w:r>
          </w:p>
        </w:tc>
        <w:tc>
          <w:tcPr>
            <w:tcW w:w="2835" w:type="dxa"/>
            <w:vAlign w:val="center"/>
          </w:tcPr>
          <w:p>
            <w:pPr>
              <w:pStyle w:val="12"/>
            </w:pPr>
            <w:r>
              <w:t>152.36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3055.98</w:t>
            </w:r>
          </w:p>
        </w:tc>
        <w:tc>
          <w:tcPr>
            <w:tcW w:w="2835" w:type="dxa"/>
            <w:vAlign w:val="center"/>
          </w:tcPr>
          <w:p>
            <w:pPr>
              <w:pStyle w:val="12"/>
            </w:pPr>
            <w:r>
              <w:t>150.13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26.80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24</w:t>
            </w:r>
          </w:p>
        </w:tc>
        <w:tc>
          <w:tcPr>
            <w:tcW w:w="2835" w:type="dxa"/>
            <w:vAlign w:val="center"/>
          </w:tcPr>
          <w:p>
            <w:pPr>
              <w:pStyle w:val="12"/>
            </w:pPr>
            <w:r>
              <w:t>400.66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4B566C1"/>
    <w:rsid w:val="211262C6"/>
    <w:rsid w:val="2D3E2027"/>
    <w:rsid w:val="33A61C8D"/>
    <w:rsid w:val="477D1E47"/>
    <w:rsid w:val="73F5372F"/>
    <w:rsid w:val="779854D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45</Pages>
  <TotalTime>3</TotalTime>
  <ScaleCrop>false</ScaleCrop>
  <LinksUpToDate>false</LinksUpToDate>
  <Application>WPS Office_11.1.0.8799_F1E327BC-269C-435d-A152-05C5408002CA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2025-02-07T13:33:00Z</dcterms:created>
  <dc:creator>Administrator</dc:creator>
  <cp:lastModifiedBy>Administrator</cp:lastModifiedBy>
  <dcterms:modified xsi:type="dcterms:W3CDTF">2025-02-07T06:34:36Z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2052-11.1.0.8799</vt:lpwstr>
  </property>
</Properties>
</file>