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w:t>
      </w:r>
      <w:r>
        <w:rPr>
          <w:rFonts w:hint="eastAsia"/>
          <w:lang w:val="en-US" w:eastAsia="zh-CN"/>
        </w:rPr>
        <w:t>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1605.41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47.28</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1630.30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384.28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1652.69</w:t>
            </w:r>
          </w:p>
        </w:tc>
        <w:tc>
          <w:tcPr>
            <w:tcW w:w="4535" w:type="dxa"/>
            <w:vAlign w:val="center"/>
          </w:tcPr>
          <w:p>
            <w:pPr>
              <w:pStyle w:val="15"/>
            </w:pPr>
            <w:r>
              <w:t>本年支出合计</w:t>
            </w:r>
          </w:p>
        </w:tc>
        <w:tc>
          <w:tcPr>
            <w:tcW w:w="2126" w:type="dxa"/>
            <w:vAlign w:val="center"/>
          </w:tcPr>
          <w:p>
            <w:pPr>
              <w:pStyle w:val="16"/>
            </w:pPr>
            <w:r>
              <w:t>2075.03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422.34</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2075.03</w:t>
            </w:r>
          </w:p>
        </w:tc>
        <w:tc>
          <w:tcPr>
            <w:tcW w:w="4535" w:type="dxa"/>
            <w:vAlign w:val="center"/>
          </w:tcPr>
          <w:p>
            <w:pPr>
              <w:pStyle w:val="15"/>
            </w:pPr>
            <w:r>
              <w:t>支出总计</w:t>
            </w:r>
          </w:p>
        </w:tc>
        <w:tc>
          <w:tcPr>
            <w:tcW w:w="2126" w:type="dxa"/>
            <w:vAlign w:val="center"/>
          </w:tcPr>
          <w:p>
            <w:pPr>
              <w:pStyle w:val="16"/>
            </w:pPr>
            <w:r>
              <w:t>2075.03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2075.03</w:t>
            </w:r>
          </w:p>
        </w:tc>
        <w:tc>
          <w:tcPr>
            <w:tcW w:w="1134" w:type="dxa"/>
            <w:vAlign w:val="center"/>
          </w:tcPr>
          <w:p>
            <w:pPr>
              <w:pStyle w:val="16"/>
            </w:pPr>
            <w:r>
              <w:t>1652.69</w:t>
            </w:r>
          </w:p>
        </w:tc>
        <w:tc>
          <w:tcPr>
            <w:tcW w:w="1134" w:type="dxa"/>
            <w:vAlign w:val="center"/>
          </w:tcPr>
          <w:p>
            <w:pPr>
              <w:pStyle w:val="16"/>
            </w:pPr>
            <w:r>
              <w:t>1652.69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1630.30</w:t>
            </w:r>
          </w:p>
        </w:tc>
        <w:tc>
          <w:tcPr>
            <w:tcW w:w="1134" w:type="dxa"/>
            <w:vAlign w:val="center"/>
          </w:tcPr>
          <w:p>
            <w:pPr>
              <w:pStyle w:val="12"/>
            </w:pPr>
            <w:r>
              <w:t>1544.96</w:t>
            </w:r>
          </w:p>
        </w:tc>
        <w:tc>
          <w:tcPr>
            <w:tcW w:w="1134" w:type="dxa"/>
            <w:vAlign w:val="center"/>
          </w:tcPr>
          <w:p>
            <w:pPr>
              <w:pStyle w:val="12"/>
            </w:pPr>
            <w:r>
              <w:t>1544.96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263.32</w:t>
            </w:r>
          </w:p>
        </w:tc>
        <w:tc>
          <w:tcPr>
            <w:tcW w:w="1134" w:type="dxa"/>
            <w:vAlign w:val="center"/>
          </w:tcPr>
          <w:p>
            <w:pPr>
              <w:pStyle w:val="12"/>
            </w:pPr>
            <w:r>
              <w:t>212.59</w:t>
            </w:r>
          </w:p>
        </w:tc>
        <w:tc>
          <w:tcPr>
            <w:tcW w:w="1134" w:type="dxa"/>
            <w:vAlign w:val="center"/>
          </w:tcPr>
          <w:p>
            <w:pPr>
              <w:pStyle w:val="12"/>
            </w:pPr>
            <w:r>
              <w:t>212.59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155.59</w:t>
            </w:r>
          </w:p>
        </w:tc>
        <w:tc>
          <w:tcPr>
            <w:tcW w:w="1134" w:type="dxa"/>
            <w:vAlign w:val="center"/>
          </w:tcPr>
          <w:p>
            <w:pPr>
              <w:pStyle w:val="12"/>
            </w:pPr>
            <w:r>
              <w:t>155.59</w:t>
            </w:r>
          </w:p>
        </w:tc>
        <w:tc>
          <w:tcPr>
            <w:tcW w:w="1134" w:type="dxa"/>
            <w:vAlign w:val="center"/>
          </w:tcPr>
          <w:p>
            <w:pPr>
              <w:pStyle w:val="12"/>
            </w:pPr>
            <w:r>
              <w:t>155.59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85.73</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r>
              <w:t>285.00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1081.98</w:t>
            </w:r>
          </w:p>
        </w:tc>
        <w:tc>
          <w:tcPr>
            <w:tcW w:w="1134" w:type="dxa"/>
            <w:vAlign w:val="center"/>
          </w:tcPr>
          <w:p>
            <w:pPr>
              <w:pStyle w:val="12"/>
            </w:pPr>
            <w:r>
              <w:t>1047.37</w:t>
            </w:r>
          </w:p>
        </w:tc>
        <w:tc>
          <w:tcPr>
            <w:tcW w:w="1134" w:type="dxa"/>
            <w:vAlign w:val="center"/>
          </w:tcPr>
          <w:p>
            <w:pPr>
              <w:pStyle w:val="12"/>
            </w:pPr>
            <w:r>
              <w:t>1047.37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1081.98</w:t>
            </w:r>
          </w:p>
        </w:tc>
        <w:tc>
          <w:tcPr>
            <w:tcW w:w="1134" w:type="dxa"/>
            <w:vAlign w:val="center"/>
          </w:tcPr>
          <w:p>
            <w:pPr>
              <w:pStyle w:val="12"/>
            </w:pPr>
            <w:r>
              <w:t>1047.37</w:t>
            </w:r>
          </w:p>
        </w:tc>
        <w:tc>
          <w:tcPr>
            <w:tcW w:w="1134" w:type="dxa"/>
            <w:vAlign w:val="center"/>
          </w:tcPr>
          <w:p>
            <w:pPr>
              <w:pStyle w:val="12"/>
            </w:pPr>
            <w:r>
              <w:t>1047.37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39.48</w:t>
            </w:r>
          </w:p>
        </w:tc>
        <w:tc>
          <w:tcPr>
            <w:tcW w:w="1134" w:type="dxa"/>
            <w:vAlign w:val="center"/>
          </w:tcPr>
          <w:p>
            <w:pPr>
              <w:pStyle w:val="12"/>
            </w:pPr>
            <w:r>
              <w:t>39.48</w:t>
            </w:r>
          </w:p>
        </w:tc>
        <w:tc>
          <w:tcPr>
            <w:tcW w:w="1134" w:type="dxa"/>
            <w:vAlign w:val="center"/>
          </w:tcPr>
          <w:p>
            <w:pPr>
              <w:pStyle w:val="12"/>
            </w:pPr>
            <w:r>
              <w:t>39.48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38.78</w:t>
            </w:r>
          </w:p>
        </w:tc>
        <w:tc>
          <w:tcPr>
            <w:tcW w:w="1134" w:type="dxa"/>
            <w:vAlign w:val="center"/>
          </w:tcPr>
          <w:p>
            <w:pPr>
              <w:pStyle w:val="12"/>
            </w:pPr>
            <w:r>
              <w:t>38.78</w:t>
            </w:r>
          </w:p>
        </w:tc>
        <w:tc>
          <w:tcPr>
            <w:tcW w:w="1134" w:type="dxa"/>
            <w:vAlign w:val="center"/>
          </w:tcPr>
          <w:p>
            <w:pPr>
              <w:pStyle w:val="12"/>
            </w:pPr>
            <w:r>
              <w:t>38.78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25.26</w:t>
            </w:r>
          </w:p>
        </w:tc>
        <w:tc>
          <w:tcPr>
            <w:tcW w:w="1134" w:type="dxa"/>
            <w:vAlign w:val="center"/>
          </w:tcPr>
          <w:p>
            <w:pPr>
              <w:pStyle w:val="12"/>
            </w:pPr>
            <w:r>
              <w:t>25.26</w:t>
            </w:r>
          </w:p>
        </w:tc>
        <w:tc>
          <w:tcPr>
            <w:tcW w:w="1134" w:type="dxa"/>
            <w:vAlign w:val="center"/>
          </w:tcPr>
          <w:p>
            <w:pPr>
              <w:pStyle w:val="12"/>
            </w:pPr>
            <w:r>
              <w:t>25.26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r>
              <w:t>11.17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384.28</w:t>
            </w:r>
          </w:p>
        </w:tc>
        <w:tc>
          <w:tcPr>
            <w:tcW w:w="1134" w:type="dxa"/>
            <w:vAlign w:val="center"/>
          </w:tcPr>
          <w:p>
            <w:pPr>
              <w:pStyle w:val="12"/>
            </w:pPr>
            <w:r>
              <w:t>47.28</w:t>
            </w:r>
          </w:p>
        </w:tc>
        <w:tc>
          <w:tcPr>
            <w:tcW w:w="1134" w:type="dxa"/>
            <w:vAlign w:val="center"/>
          </w:tcPr>
          <w:p>
            <w:pPr>
              <w:pStyle w:val="12"/>
            </w:pPr>
            <w:r>
              <w:t>47.28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384.28</w:t>
            </w:r>
          </w:p>
        </w:tc>
        <w:tc>
          <w:tcPr>
            <w:tcW w:w="1134" w:type="dxa"/>
            <w:vAlign w:val="center"/>
          </w:tcPr>
          <w:p>
            <w:pPr>
              <w:pStyle w:val="12"/>
            </w:pPr>
            <w:r>
              <w:t>47.28</w:t>
            </w:r>
          </w:p>
        </w:tc>
        <w:tc>
          <w:tcPr>
            <w:tcW w:w="1134" w:type="dxa"/>
            <w:vAlign w:val="center"/>
          </w:tcPr>
          <w:p>
            <w:pPr>
              <w:pStyle w:val="12"/>
            </w:pPr>
            <w:r>
              <w:t>47.28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384.28</w:t>
            </w:r>
          </w:p>
        </w:tc>
        <w:tc>
          <w:tcPr>
            <w:tcW w:w="1134" w:type="dxa"/>
            <w:vAlign w:val="center"/>
          </w:tcPr>
          <w:p>
            <w:pPr>
              <w:pStyle w:val="12"/>
            </w:pPr>
            <w:r>
              <w:t>47.28</w:t>
            </w:r>
          </w:p>
        </w:tc>
        <w:tc>
          <w:tcPr>
            <w:tcW w:w="1134" w:type="dxa"/>
            <w:vAlign w:val="center"/>
          </w:tcPr>
          <w:p>
            <w:pPr>
              <w:pStyle w:val="12"/>
            </w:pPr>
            <w:r>
              <w:t>47.28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337.00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2075.03</w:t>
            </w:r>
          </w:p>
        </w:tc>
        <w:tc>
          <w:tcPr>
            <w:tcW w:w="1361" w:type="dxa"/>
            <w:vAlign w:val="center"/>
          </w:tcPr>
          <w:p>
            <w:pPr>
              <w:pStyle w:val="16"/>
            </w:pPr>
            <w:r>
              <w:t>168.74</w:t>
            </w:r>
          </w:p>
        </w:tc>
        <w:tc>
          <w:tcPr>
            <w:tcW w:w="1361" w:type="dxa"/>
            <w:vAlign w:val="center"/>
          </w:tcPr>
          <w:p>
            <w:pPr>
              <w:pStyle w:val="16"/>
            </w:pPr>
            <w:r>
              <w:t>1906.29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1630.30</w:t>
            </w:r>
          </w:p>
        </w:tc>
        <w:tc>
          <w:tcPr>
            <w:tcW w:w="1361" w:type="dxa"/>
            <w:vAlign w:val="center"/>
          </w:tcPr>
          <w:p>
            <w:pPr>
              <w:pStyle w:val="12"/>
            </w:pPr>
            <w:r>
              <w:t>108.29</w:t>
            </w:r>
          </w:p>
        </w:tc>
        <w:tc>
          <w:tcPr>
            <w:tcW w:w="1361" w:type="dxa"/>
            <w:vAlign w:val="center"/>
          </w:tcPr>
          <w:p>
            <w:pPr>
              <w:pStyle w:val="12"/>
            </w:pPr>
            <w:r>
              <w:t>1522.01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263.32</w:t>
            </w:r>
          </w:p>
        </w:tc>
        <w:tc>
          <w:tcPr>
            <w:tcW w:w="1361" w:type="dxa"/>
            <w:vAlign w:val="center"/>
          </w:tcPr>
          <w:p>
            <w:pPr>
              <w:pStyle w:val="12"/>
            </w:pPr>
            <w:r>
              <w:t>108.29</w:t>
            </w:r>
          </w:p>
        </w:tc>
        <w:tc>
          <w:tcPr>
            <w:tcW w:w="1361" w:type="dxa"/>
            <w:vAlign w:val="center"/>
          </w:tcPr>
          <w:p>
            <w:pPr>
              <w:pStyle w:val="12"/>
            </w:pPr>
            <w:r>
              <w:t>155.03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155.59</w:t>
            </w:r>
          </w:p>
        </w:tc>
        <w:tc>
          <w:tcPr>
            <w:tcW w:w="1361" w:type="dxa"/>
            <w:vAlign w:val="center"/>
          </w:tcPr>
          <w:p>
            <w:pPr>
              <w:pStyle w:val="12"/>
            </w:pPr>
            <w:r>
              <w:t>108.29</w:t>
            </w:r>
          </w:p>
        </w:tc>
        <w:tc>
          <w:tcPr>
            <w:tcW w:w="1361" w:type="dxa"/>
            <w:vAlign w:val="center"/>
          </w:tcPr>
          <w:p>
            <w:pPr>
              <w:pStyle w:val="12"/>
            </w:pPr>
            <w:r>
              <w:t>47.30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85.73</w:t>
            </w:r>
          </w:p>
        </w:tc>
        <w:tc>
          <w:tcPr>
            <w:tcW w:w="1361" w:type="dxa"/>
            <w:vAlign w:val="center"/>
          </w:tcPr>
          <w:p>
            <w:pPr>
              <w:pStyle w:val="12"/>
            </w:pPr>
          </w:p>
        </w:tc>
        <w:tc>
          <w:tcPr>
            <w:tcW w:w="1361" w:type="dxa"/>
            <w:vAlign w:val="center"/>
          </w:tcPr>
          <w:p>
            <w:pPr>
              <w:pStyle w:val="12"/>
            </w:pPr>
            <w:r>
              <w:t>85.73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285.00</w:t>
            </w:r>
          </w:p>
        </w:tc>
        <w:tc>
          <w:tcPr>
            <w:tcW w:w="1361" w:type="dxa"/>
            <w:vAlign w:val="center"/>
          </w:tcPr>
          <w:p>
            <w:pPr>
              <w:pStyle w:val="12"/>
            </w:pPr>
          </w:p>
        </w:tc>
        <w:tc>
          <w:tcPr>
            <w:tcW w:w="1361" w:type="dxa"/>
            <w:vAlign w:val="center"/>
          </w:tcPr>
          <w:p>
            <w:pPr>
              <w:pStyle w:val="12"/>
            </w:pPr>
            <w:r>
              <w:t>285.00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285.00</w:t>
            </w:r>
          </w:p>
        </w:tc>
        <w:tc>
          <w:tcPr>
            <w:tcW w:w="1361" w:type="dxa"/>
            <w:vAlign w:val="center"/>
          </w:tcPr>
          <w:p>
            <w:pPr>
              <w:pStyle w:val="12"/>
            </w:pPr>
          </w:p>
        </w:tc>
        <w:tc>
          <w:tcPr>
            <w:tcW w:w="1361" w:type="dxa"/>
            <w:vAlign w:val="center"/>
          </w:tcPr>
          <w:p>
            <w:pPr>
              <w:pStyle w:val="12"/>
            </w:pPr>
            <w:r>
              <w:t>285.00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1081.98</w:t>
            </w:r>
          </w:p>
        </w:tc>
        <w:tc>
          <w:tcPr>
            <w:tcW w:w="1361" w:type="dxa"/>
            <w:vAlign w:val="center"/>
          </w:tcPr>
          <w:p>
            <w:pPr>
              <w:pStyle w:val="12"/>
            </w:pPr>
          </w:p>
        </w:tc>
        <w:tc>
          <w:tcPr>
            <w:tcW w:w="1361" w:type="dxa"/>
            <w:vAlign w:val="center"/>
          </w:tcPr>
          <w:p>
            <w:pPr>
              <w:pStyle w:val="12"/>
            </w:pPr>
            <w:r>
              <w:t>1081.98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1081.98</w:t>
            </w:r>
          </w:p>
        </w:tc>
        <w:tc>
          <w:tcPr>
            <w:tcW w:w="1361" w:type="dxa"/>
            <w:vAlign w:val="center"/>
          </w:tcPr>
          <w:p>
            <w:pPr>
              <w:pStyle w:val="12"/>
            </w:pPr>
          </w:p>
        </w:tc>
        <w:tc>
          <w:tcPr>
            <w:tcW w:w="1361" w:type="dxa"/>
            <w:vAlign w:val="center"/>
          </w:tcPr>
          <w:p>
            <w:pPr>
              <w:pStyle w:val="12"/>
            </w:pPr>
            <w:r>
              <w:t>1081.98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39.48</w:t>
            </w:r>
          </w:p>
        </w:tc>
        <w:tc>
          <w:tcPr>
            <w:tcW w:w="1361" w:type="dxa"/>
            <w:vAlign w:val="center"/>
          </w:tcPr>
          <w:p>
            <w:pPr>
              <w:pStyle w:val="12"/>
            </w:pPr>
            <w:r>
              <w:t>39.48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38.78</w:t>
            </w:r>
          </w:p>
        </w:tc>
        <w:tc>
          <w:tcPr>
            <w:tcW w:w="1361" w:type="dxa"/>
            <w:vAlign w:val="center"/>
          </w:tcPr>
          <w:p>
            <w:pPr>
              <w:pStyle w:val="12"/>
            </w:pPr>
            <w:r>
              <w:t>38.78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25.26</w:t>
            </w:r>
          </w:p>
        </w:tc>
        <w:tc>
          <w:tcPr>
            <w:tcW w:w="1361" w:type="dxa"/>
            <w:vAlign w:val="center"/>
          </w:tcPr>
          <w:p>
            <w:pPr>
              <w:pStyle w:val="12"/>
            </w:pPr>
            <w:r>
              <w:t>25.26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0.70</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0.70</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9.80</w:t>
            </w:r>
          </w:p>
        </w:tc>
        <w:tc>
          <w:tcPr>
            <w:tcW w:w="1361" w:type="dxa"/>
            <w:vAlign w:val="center"/>
          </w:tcPr>
          <w:p>
            <w:pPr>
              <w:pStyle w:val="12"/>
            </w:pPr>
            <w:r>
              <w:t>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9.80</w:t>
            </w:r>
          </w:p>
        </w:tc>
        <w:tc>
          <w:tcPr>
            <w:tcW w:w="1361" w:type="dxa"/>
            <w:vAlign w:val="center"/>
          </w:tcPr>
          <w:p>
            <w:pPr>
              <w:pStyle w:val="12"/>
            </w:pPr>
            <w:r>
              <w:t>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4.30</w:t>
            </w:r>
          </w:p>
        </w:tc>
        <w:tc>
          <w:tcPr>
            <w:tcW w:w="1361" w:type="dxa"/>
            <w:vAlign w:val="center"/>
          </w:tcPr>
          <w:p>
            <w:pPr>
              <w:pStyle w:val="12"/>
            </w:pPr>
            <w:r>
              <w:t>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11.17</w:t>
            </w:r>
          </w:p>
        </w:tc>
        <w:tc>
          <w:tcPr>
            <w:tcW w:w="1361" w:type="dxa"/>
            <w:vAlign w:val="center"/>
          </w:tcPr>
          <w:p>
            <w:pPr>
              <w:pStyle w:val="12"/>
            </w:pPr>
            <w:r>
              <w:t>11.17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11.17</w:t>
            </w:r>
          </w:p>
        </w:tc>
        <w:tc>
          <w:tcPr>
            <w:tcW w:w="1361" w:type="dxa"/>
            <w:vAlign w:val="center"/>
          </w:tcPr>
          <w:p>
            <w:pPr>
              <w:pStyle w:val="12"/>
            </w:pPr>
            <w:r>
              <w:t>11.17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11.17</w:t>
            </w:r>
          </w:p>
        </w:tc>
        <w:tc>
          <w:tcPr>
            <w:tcW w:w="1361" w:type="dxa"/>
            <w:vAlign w:val="center"/>
          </w:tcPr>
          <w:p>
            <w:pPr>
              <w:pStyle w:val="12"/>
            </w:pPr>
            <w:r>
              <w:t>11.17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r>
              <w:t>384.28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1605.41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47.28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1630.30</w:t>
            </w:r>
          </w:p>
        </w:tc>
        <w:tc>
          <w:tcPr>
            <w:tcW w:w="1474" w:type="dxa"/>
            <w:vAlign w:val="center"/>
          </w:tcPr>
          <w:p>
            <w:pPr>
              <w:pStyle w:val="12"/>
            </w:pPr>
            <w:r>
              <w:t>1630.30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39.48</w:t>
            </w:r>
          </w:p>
        </w:tc>
        <w:tc>
          <w:tcPr>
            <w:tcW w:w="1474" w:type="dxa"/>
            <w:vAlign w:val="center"/>
          </w:tcPr>
          <w:p>
            <w:pPr>
              <w:pStyle w:val="12"/>
            </w:pPr>
            <w:r>
              <w:t>39.48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9.80</w:t>
            </w:r>
          </w:p>
        </w:tc>
        <w:tc>
          <w:tcPr>
            <w:tcW w:w="1474" w:type="dxa"/>
            <w:vAlign w:val="center"/>
          </w:tcPr>
          <w:p>
            <w:pPr>
              <w:pStyle w:val="12"/>
            </w:pPr>
            <w:r>
              <w:t>9.80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11.17</w:t>
            </w:r>
          </w:p>
        </w:tc>
        <w:tc>
          <w:tcPr>
            <w:tcW w:w="1474" w:type="dxa"/>
            <w:vAlign w:val="center"/>
          </w:tcPr>
          <w:p>
            <w:pPr>
              <w:pStyle w:val="12"/>
            </w:pPr>
            <w:r>
              <w:t>11.17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384.28</w:t>
            </w:r>
          </w:p>
        </w:tc>
        <w:tc>
          <w:tcPr>
            <w:tcW w:w="1474" w:type="dxa"/>
            <w:vAlign w:val="center"/>
          </w:tcPr>
          <w:p>
            <w:pPr>
              <w:pStyle w:val="12"/>
            </w:pPr>
          </w:p>
        </w:tc>
        <w:tc>
          <w:tcPr>
            <w:tcW w:w="1474" w:type="dxa"/>
            <w:vAlign w:val="center"/>
          </w:tcPr>
          <w:p>
            <w:pPr>
              <w:pStyle w:val="12"/>
            </w:pPr>
            <w:r>
              <w:t>384.28</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1652.69</w:t>
            </w:r>
          </w:p>
        </w:tc>
        <w:tc>
          <w:tcPr>
            <w:tcW w:w="3402" w:type="dxa"/>
            <w:vAlign w:val="center"/>
          </w:tcPr>
          <w:p>
            <w:pPr>
              <w:pStyle w:val="15"/>
            </w:pPr>
            <w:r>
              <w:t>本年支出合计</w:t>
            </w:r>
          </w:p>
        </w:tc>
        <w:tc>
          <w:tcPr>
            <w:tcW w:w="1474" w:type="dxa"/>
            <w:vAlign w:val="center"/>
          </w:tcPr>
          <w:p>
            <w:pPr>
              <w:pStyle w:val="16"/>
            </w:pPr>
            <w:r>
              <w:t>2075.03</w:t>
            </w:r>
          </w:p>
        </w:tc>
        <w:tc>
          <w:tcPr>
            <w:tcW w:w="1474" w:type="dxa"/>
            <w:vAlign w:val="center"/>
          </w:tcPr>
          <w:p>
            <w:pPr>
              <w:pStyle w:val="16"/>
            </w:pPr>
            <w:r>
              <w:t>1690.75</w:t>
            </w:r>
          </w:p>
        </w:tc>
        <w:tc>
          <w:tcPr>
            <w:tcW w:w="1474" w:type="dxa"/>
            <w:vAlign w:val="center"/>
          </w:tcPr>
          <w:p>
            <w:pPr>
              <w:pStyle w:val="16"/>
            </w:pPr>
            <w:r>
              <w:t>384.28</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422.34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85.34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337.00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2075.03</w:t>
            </w:r>
          </w:p>
        </w:tc>
        <w:tc>
          <w:tcPr>
            <w:tcW w:w="3402" w:type="dxa"/>
            <w:vAlign w:val="center"/>
          </w:tcPr>
          <w:p>
            <w:pPr>
              <w:pStyle w:val="15"/>
            </w:pPr>
            <w:r>
              <w:t>支出总计</w:t>
            </w:r>
          </w:p>
        </w:tc>
        <w:tc>
          <w:tcPr>
            <w:tcW w:w="1474" w:type="dxa"/>
            <w:vAlign w:val="center"/>
          </w:tcPr>
          <w:p>
            <w:pPr>
              <w:pStyle w:val="16"/>
            </w:pPr>
            <w:r>
              <w:t>2075.03</w:t>
            </w:r>
          </w:p>
        </w:tc>
        <w:tc>
          <w:tcPr>
            <w:tcW w:w="1474" w:type="dxa"/>
            <w:vAlign w:val="center"/>
          </w:tcPr>
          <w:p>
            <w:pPr>
              <w:pStyle w:val="16"/>
            </w:pPr>
            <w:r>
              <w:t>1690.75</w:t>
            </w:r>
          </w:p>
        </w:tc>
        <w:tc>
          <w:tcPr>
            <w:tcW w:w="1474" w:type="dxa"/>
            <w:vAlign w:val="center"/>
          </w:tcPr>
          <w:p>
            <w:pPr>
              <w:pStyle w:val="16"/>
            </w:pPr>
            <w:r>
              <w:t>384.28</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1690.75</w:t>
            </w:r>
          </w:p>
        </w:tc>
        <w:tc>
          <w:tcPr>
            <w:tcW w:w="2551" w:type="dxa"/>
            <w:vAlign w:val="center"/>
          </w:tcPr>
          <w:p>
            <w:pPr>
              <w:pStyle w:val="16"/>
            </w:pPr>
            <w:r>
              <w:t>168.74</w:t>
            </w:r>
          </w:p>
        </w:tc>
        <w:tc>
          <w:tcPr>
            <w:tcW w:w="2551" w:type="dxa"/>
            <w:vAlign w:val="center"/>
          </w:tcPr>
          <w:p>
            <w:pPr>
              <w:pStyle w:val="16"/>
            </w:pPr>
            <w:r>
              <w:t>1522.01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1630.30</w:t>
            </w:r>
          </w:p>
        </w:tc>
        <w:tc>
          <w:tcPr>
            <w:tcW w:w="2551" w:type="dxa"/>
            <w:vAlign w:val="center"/>
          </w:tcPr>
          <w:p>
            <w:pPr>
              <w:pStyle w:val="12"/>
            </w:pPr>
            <w:r>
              <w:t>108.29</w:t>
            </w:r>
          </w:p>
        </w:tc>
        <w:tc>
          <w:tcPr>
            <w:tcW w:w="2551" w:type="dxa"/>
            <w:vAlign w:val="center"/>
          </w:tcPr>
          <w:p>
            <w:pPr>
              <w:pStyle w:val="12"/>
            </w:pPr>
            <w:r>
              <w:t>1522.01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263.32</w:t>
            </w:r>
          </w:p>
        </w:tc>
        <w:tc>
          <w:tcPr>
            <w:tcW w:w="2551" w:type="dxa"/>
            <w:vAlign w:val="center"/>
          </w:tcPr>
          <w:p>
            <w:pPr>
              <w:pStyle w:val="12"/>
            </w:pPr>
            <w:r>
              <w:t>108.29</w:t>
            </w:r>
          </w:p>
        </w:tc>
        <w:tc>
          <w:tcPr>
            <w:tcW w:w="2551" w:type="dxa"/>
            <w:vAlign w:val="center"/>
          </w:tcPr>
          <w:p>
            <w:pPr>
              <w:pStyle w:val="12"/>
            </w:pPr>
            <w:r>
              <w:t>155.03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155.59</w:t>
            </w:r>
          </w:p>
        </w:tc>
        <w:tc>
          <w:tcPr>
            <w:tcW w:w="2551" w:type="dxa"/>
            <w:vAlign w:val="center"/>
          </w:tcPr>
          <w:p>
            <w:pPr>
              <w:pStyle w:val="12"/>
            </w:pPr>
            <w:r>
              <w:t>108.29</w:t>
            </w:r>
          </w:p>
        </w:tc>
        <w:tc>
          <w:tcPr>
            <w:tcW w:w="2551" w:type="dxa"/>
            <w:vAlign w:val="center"/>
          </w:tcPr>
          <w:p>
            <w:pPr>
              <w:pStyle w:val="12"/>
            </w:pPr>
            <w:r>
              <w:t>47.30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85.73</w:t>
            </w:r>
          </w:p>
        </w:tc>
        <w:tc>
          <w:tcPr>
            <w:tcW w:w="2551" w:type="dxa"/>
            <w:vAlign w:val="center"/>
          </w:tcPr>
          <w:p>
            <w:pPr>
              <w:pStyle w:val="12"/>
            </w:pPr>
          </w:p>
        </w:tc>
        <w:tc>
          <w:tcPr>
            <w:tcW w:w="2551" w:type="dxa"/>
            <w:vAlign w:val="center"/>
          </w:tcPr>
          <w:p>
            <w:pPr>
              <w:pStyle w:val="12"/>
            </w:pPr>
            <w:r>
              <w:t>85.73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285.00</w:t>
            </w:r>
          </w:p>
        </w:tc>
        <w:tc>
          <w:tcPr>
            <w:tcW w:w="2551" w:type="dxa"/>
            <w:vAlign w:val="center"/>
          </w:tcPr>
          <w:p>
            <w:pPr>
              <w:pStyle w:val="12"/>
            </w:pPr>
          </w:p>
        </w:tc>
        <w:tc>
          <w:tcPr>
            <w:tcW w:w="2551" w:type="dxa"/>
            <w:vAlign w:val="center"/>
          </w:tcPr>
          <w:p>
            <w:pPr>
              <w:pStyle w:val="12"/>
            </w:pPr>
            <w:r>
              <w:t>285.00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285.00</w:t>
            </w:r>
          </w:p>
        </w:tc>
        <w:tc>
          <w:tcPr>
            <w:tcW w:w="2551" w:type="dxa"/>
            <w:vAlign w:val="center"/>
          </w:tcPr>
          <w:p>
            <w:pPr>
              <w:pStyle w:val="12"/>
            </w:pPr>
          </w:p>
        </w:tc>
        <w:tc>
          <w:tcPr>
            <w:tcW w:w="2551" w:type="dxa"/>
            <w:vAlign w:val="center"/>
          </w:tcPr>
          <w:p>
            <w:pPr>
              <w:pStyle w:val="12"/>
            </w:pPr>
            <w:r>
              <w:t>285.00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1081.98</w:t>
            </w:r>
          </w:p>
        </w:tc>
        <w:tc>
          <w:tcPr>
            <w:tcW w:w="2551" w:type="dxa"/>
            <w:vAlign w:val="center"/>
          </w:tcPr>
          <w:p>
            <w:pPr>
              <w:pStyle w:val="12"/>
            </w:pPr>
          </w:p>
        </w:tc>
        <w:tc>
          <w:tcPr>
            <w:tcW w:w="2551" w:type="dxa"/>
            <w:vAlign w:val="center"/>
          </w:tcPr>
          <w:p>
            <w:pPr>
              <w:pStyle w:val="12"/>
            </w:pPr>
            <w:r>
              <w:t>1081.98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1081.98</w:t>
            </w:r>
          </w:p>
        </w:tc>
        <w:tc>
          <w:tcPr>
            <w:tcW w:w="2551" w:type="dxa"/>
            <w:vAlign w:val="center"/>
          </w:tcPr>
          <w:p>
            <w:pPr>
              <w:pStyle w:val="12"/>
            </w:pPr>
          </w:p>
        </w:tc>
        <w:tc>
          <w:tcPr>
            <w:tcW w:w="2551" w:type="dxa"/>
            <w:vAlign w:val="center"/>
          </w:tcPr>
          <w:p>
            <w:pPr>
              <w:pStyle w:val="12"/>
            </w:pPr>
            <w:r>
              <w:t>1081.98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39.48</w:t>
            </w:r>
          </w:p>
        </w:tc>
        <w:tc>
          <w:tcPr>
            <w:tcW w:w="2551" w:type="dxa"/>
            <w:vAlign w:val="center"/>
          </w:tcPr>
          <w:p>
            <w:pPr>
              <w:pStyle w:val="12"/>
            </w:pPr>
            <w:r>
              <w:t>39.48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38.78</w:t>
            </w:r>
          </w:p>
        </w:tc>
        <w:tc>
          <w:tcPr>
            <w:tcW w:w="2551" w:type="dxa"/>
            <w:vAlign w:val="center"/>
          </w:tcPr>
          <w:p>
            <w:pPr>
              <w:pStyle w:val="12"/>
            </w:pPr>
            <w:r>
              <w:t>38.78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25.26</w:t>
            </w:r>
          </w:p>
        </w:tc>
        <w:tc>
          <w:tcPr>
            <w:tcW w:w="2551" w:type="dxa"/>
            <w:vAlign w:val="center"/>
          </w:tcPr>
          <w:p>
            <w:pPr>
              <w:pStyle w:val="12"/>
            </w:pPr>
            <w:r>
              <w:t>25.26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9.80</w:t>
            </w:r>
          </w:p>
        </w:tc>
        <w:tc>
          <w:tcPr>
            <w:tcW w:w="2551" w:type="dxa"/>
            <w:vAlign w:val="center"/>
          </w:tcPr>
          <w:p>
            <w:pPr>
              <w:pStyle w:val="12"/>
            </w:pPr>
            <w:r>
              <w:t>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9.80</w:t>
            </w:r>
          </w:p>
        </w:tc>
        <w:tc>
          <w:tcPr>
            <w:tcW w:w="2551" w:type="dxa"/>
            <w:vAlign w:val="center"/>
          </w:tcPr>
          <w:p>
            <w:pPr>
              <w:pStyle w:val="12"/>
            </w:pPr>
            <w:r>
              <w:t>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11.17</w:t>
            </w:r>
          </w:p>
        </w:tc>
        <w:tc>
          <w:tcPr>
            <w:tcW w:w="2551" w:type="dxa"/>
            <w:vAlign w:val="center"/>
          </w:tcPr>
          <w:p>
            <w:pPr>
              <w:pStyle w:val="12"/>
            </w:pPr>
            <w:r>
              <w:t>11.17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11.17</w:t>
            </w:r>
          </w:p>
        </w:tc>
        <w:tc>
          <w:tcPr>
            <w:tcW w:w="2551" w:type="dxa"/>
            <w:vAlign w:val="center"/>
          </w:tcPr>
          <w:p>
            <w:pPr>
              <w:pStyle w:val="12"/>
            </w:pPr>
            <w:r>
              <w:t>11.17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11.17</w:t>
            </w:r>
          </w:p>
        </w:tc>
        <w:tc>
          <w:tcPr>
            <w:tcW w:w="2551" w:type="dxa"/>
            <w:vAlign w:val="center"/>
          </w:tcPr>
          <w:p>
            <w:pPr>
              <w:pStyle w:val="12"/>
            </w:pPr>
            <w:r>
              <w:t>11.17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168.74</w:t>
            </w:r>
          </w:p>
        </w:tc>
        <w:tc>
          <w:tcPr>
            <w:tcW w:w="2551" w:type="dxa"/>
            <w:vAlign w:val="center"/>
          </w:tcPr>
          <w:p>
            <w:pPr>
              <w:pStyle w:val="16"/>
            </w:pPr>
            <w:r>
              <w:t>159.99</w:t>
            </w:r>
          </w:p>
        </w:tc>
        <w:tc>
          <w:tcPr>
            <w:tcW w:w="2551" w:type="dxa"/>
            <w:vAlign w:val="center"/>
          </w:tcPr>
          <w:p>
            <w:pPr>
              <w:pStyle w:val="16"/>
            </w:pPr>
            <w:r>
              <w:t>8.75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133.72</w:t>
            </w:r>
          </w:p>
        </w:tc>
        <w:tc>
          <w:tcPr>
            <w:tcW w:w="2551" w:type="dxa"/>
            <w:vAlign w:val="center"/>
          </w:tcPr>
          <w:p>
            <w:pPr>
              <w:pStyle w:val="12"/>
            </w:pPr>
            <w:r>
              <w:t>133.72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35.90</w:t>
            </w:r>
          </w:p>
        </w:tc>
        <w:tc>
          <w:tcPr>
            <w:tcW w:w="2551" w:type="dxa"/>
            <w:vAlign w:val="center"/>
          </w:tcPr>
          <w:p>
            <w:pPr>
              <w:pStyle w:val="12"/>
            </w:pPr>
            <w:r>
              <w:t>35.90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16.98</w:t>
            </w:r>
          </w:p>
        </w:tc>
        <w:tc>
          <w:tcPr>
            <w:tcW w:w="2551" w:type="dxa"/>
            <w:vAlign w:val="center"/>
          </w:tcPr>
          <w:p>
            <w:pPr>
              <w:pStyle w:val="12"/>
            </w:pPr>
            <w:r>
              <w:t>16.98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31.65</w:t>
            </w:r>
          </w:p>
        </w:tc>
        <w:tc>
          <w:tcPr>
            <w:tcW w:w="2551" w:type="dxa"/>
            <w:vAlign w:val="center"/>
          </w:tcPr>
          <w:p>
            <w:pPr>
              <w:pStyle w:val="12"/>
            </w:pPr>
            <w:r>
              <w:t>31.65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11.17</w:t>
            </w:r>
          </w:p>
        </w:tc>
        <w:tc>
          <w:tcPr>
            <w:tcW w:w="2551" w:type="dxa"/>
            <w:vAlign w:val="center"/>
          </w:tcPr>
          <w:p>
            <w:pPr>
              <w:pStyle w:val="12"/>
            </w:pPr>
            <w:r>
              <w:t>11.17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8.75</w:t>
            </w:r>
          </w:p>
        </w:tc>
        <w:tc>
          <w:tcPr>
            <w:tcW w:w="2551" w:type="dxa"/>
            <w:vAlign w:val="center"/>
          </w:tcPr>
          <w:p>
            <w:pPr>
              <w:pStyle w:val="12"/>
            </w:pPr>
          </w:p>
        </w:tc>
        <w:tc>
          <w:tcPr>
            <w:tcW w:w="2551" w:type="dxa"/>
            <w:vAlign w:val="center"/>
          </w:tcPr>
          <w:p>
            <w:pPr>
              <w:pStyle w:val="12"/>
            </w:pPr>
            <w:r>
              <w:t>8.75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1.37</w:t>
            </w:r>
          </w:p>
        </w:tc>
        <w:tc>
          <w:tcPr>
            <w:tcW w:w="2551" w:type="dxa"/>
            <w:vAlign w:val="center"/>
          </w:tcPr>
          <w:p>
            <w:pPr>
              <w:pStyle w:val="12"/>
            </w:pPr>
          </w:p>
        </w:tc>
        <w:tc>
          <w:tcPr>
            <w:tcW w:w="2551" w:type="dxa"/>
            <w:vAlign w:val="center"/>
          </w:tcPr>
          <w:p>
            <w:pPr>
              <w:pStyle w:val="12"/>
            </w:pPr>
            <w:r>
              <w:t>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26.27</w:t>
            </w:r>
          </w:p>
        </w:tc>
        <w:tc>
          <w:tcPr>
            <w:tcW w:w="2551" w:type="dxa"/>
            <w:vAlign w:val="center"/>
          </w:tcPr>
          <w:p>
            <w:pPr>
              <w:pStyle w:val="12"/>
            </w:pPr>
            <w:r>
              <w:t>26.27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25.26</w:t>
            </w:r>
          </w:p>
        </w:tc>
        <w:tc>
          <w:tcPr>
            <w:tcW w:w="2551" w:type="dxa"/>
            <w:vAlign w:val="center"/>
          </w:tcPr>
          <w:p>
            <w:pPr>
              <w:pStyle w:val="12"/>
            </w:pPr>
            <w:r>
              <w:t>25.26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384.28</w:t>
            </w:r>
          </w:p>
        </w:tc>
        <w:tc>
          <w:tcPr>
            <w:tcW w:w="2551" w:type="dxa"/>
            <w:vAlign w:val="center"/>
          </w:tcPr>
          <w:p>
            <w:pPr>
              <w:pStyle w:val="16"/>
            </w:pPr>
          </w:p>
        </w:tc>
        <w:tc>
          <w:tcPr>
            <w:tcW w:w="2551" w:type="dxa"/>
            <w:vAlign w:val="center"/>
          </w:tcPr>
          <w:p>
            <w:pPr>
              <w:pStyle w:val="16"/>
            </w:pPr>
            <w:r>
              <w:t>384.28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384.28</w:t>
            </w:r>
          </w:p>
        </w:tc>
        <w:tc>
          <w:tcPr>
            <w:tcW w:w="2551" w:type="dxa"/>
            <w:vAlign w:val="center"/>
          </w:tcPr>
          <w:p>
            <w:pPr>
              <w:pStyle w:val="12"/>
            </w:pPr>
          </w:p>
        </w:tc>
        <w:tc>
          <w:tcPr>
            <w:tcW w:w="2551" w:type="dxa"/>
            <w:vAlign w:val="center"/>
          </w:tcPr>
          <w:p>
            <w:pPr>
              <w:pStyle w:val="12"/>
            </w:pPr>
            <w:r>
              <w:t>384.28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384.28</w:t>
            </w:r>
          </w:p>
        </w:tc>
        <w:tc>
          <w:tcPr>
            <w:tcW w:w="2551" w:type="dxa"/>
            <w:vAlign w:val="center"/>
          </w:tcPr>
          <w:p>
            <w:pPr>
              <w:pStyle w:val="12"/>
            </w:pPr>
          </w:p>
        </w:tc>
        <w:tc>
          <w:tcPr>
            <w:tcW w:w="2551" w:type="dxa"/>
            <w:vAlign w:val="center"/>
          </w:tcPr>
          <w:p>
            <w:pPr>
              <w:pStyle w:val="12"/>
            </w:pPr>
            <w:r>
              <w:t>384.28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384.28</w:t>
            </w:r>
          </w:p>
        </w:tc>
        <w:tc>
          <w:tcPr>
            <w:tcW w:w="2551" w:type="dxa"/>
            <w:vAlign w:val="center"/>
          </w:tcPr>
          <w:p>
            <w:pPr>
              <w:pStyle w:val="12"/>
            </w:pPr>
          </w:p>
        </w:tc>
        <w:tc>
          <w:tcPr>
            <w:tcW w:w="2551" w:type="dxa"/>
            <w:vAlign w:val="center"/>
          </w:tcPr>
          <w:p>
            <w:pPr>
              <w:pStyle w:val="12"/>
            </w:pPr>
            <w:r>
              <w:t>384.28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2.04</w:t>
            </w:r>
          </w:p>
        </w:tc>
        <w:tc>
          <w:tcPr>
            <w:tcW w:w="2381" w:type="dxa"/>
            <w:vAlign w:val="center"/>
          </w:tcPr>
          <w:p>
            <w:pPr>
              <w:pStyle w:val="16"/>
            </w:pPr>
            <w:r>
              <w:t>2.04</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2.04</w:t>
            </w:r>
          </w:p>
        </w:tc>
        <w:tc>
          <w:tcPr>
            <w:tcW w:w="2381" w:type="dxa"/>
            <w:vAlign w:val="center"/>
          </w:tcPr>
          <w:p>
            <w:pPr>
              <w:pStyle w:val="12"/>
            </w:pPr>
            <w:r>
              <w:t>2.04</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0.04</w:t>
            </w:r>
          </w:p>
        </w:tc>
        <w:tc>
          <w:tcPr>
            <w:tcW w:w="2381" w:type="dxa"/>
            <w:vAlign w:val="center"/>
          </w:tcPr>
          <w:p>
            <w:pPr>
              <w:pStyle w:val="12"/>
            </w:pPr>
            <w:r>
              <w:t>0.04</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石家庄市井陉矿区文化广电体育和旅游局2025年部门预算信息公开情况说明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石家庄市井陉矿区文化广电体育和旅游局2025年部门预算信息公开情况</w:t>
      </w:r>
    </w:p>
    <w:p>
      <w:pPr>
        <w:spacing w:before="0" w:after="0" w:line="240" w:lineRule="auto"/>
        <w:ind w:firstLine="0"/>
        <w:jc w:val="center"/>
        <w:outlineLvl w:val="9"/>
      </w:pPr>
      <w:r>
        <w:rPr>
          <w:rFonts w:ascii="方正小标宋_GBK" w:hAnsi="方正小标宋_GBK" w:eastAsia="方正小标宋_GBK" w:cs="方正小标宋_GBK"/>
          <w:color w:val="000000"/>
          <w:sz w:val="44"/>
        </w:rPr>
        <w:t>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按照《中华人民共和国预算法》、《地方预决算公开操作规程》和《关于进一步推进预算公开工作的实施意见》规定，现将石家庄市井陉矿区文化广电体育和旅游局2025年部门预算公开如下：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贯彻国家和省、市关于文化、广电、新闻出版、旅游、文物工作的方针、政策和法规，制定相应的规章制度和管理措施，并监督执行；拟订全区文化、广电、新闻出版、旅游、文物发展规划并组织实施；推进文化体制机制改革。</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（二）负责推动全区文化、广电、新闻出版领域的公共文化服务体系建设，指导全区重点文化设施建设和基层文化设施建设。</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（三）指导、管理全区社会文化事业和艺术事业。指导艺术创作和生产，推动各门类艺术的发展；管理全区性重大文化艺术活动；指导图书馆、文化馆（站）事业和基层文化建设。</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拟订全区非物质文化遗产保护规划，组织实施非物质文化遗产保护和优秀民族文化的传承普及工作；组织协调文化遗产的管理和保护，指导和管理文物、博物馆事业，组织指导文物的保护抢救、考古发掘和开发利用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（五）拟订全区文化产业发展规划，指导和推动文化产业发展；指导、管理全区文化艺术、广播影视、新闻出版、旅游整体形象的对外交流、宣传与合作工作。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指导全区重点旅游区域、旅游目的地和旅游线路的规划开发，引导休闲度假；协调和指导全区假日旅游、红色旅游工作；承担维护旅游消费者和经营者合法权益的责任;组织实施旅游区（点）、旅游设施、旅游服务、旅游产品等方面的规范和标准；组织全区旅游资源的普查规划、开发和相关保护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（七）负责旅游安全的综合协调和监督管理，指导应急救援工作;指导全区旅游行业岗位培训及旅游教育工作；指导实施旅游从业人员的职业资格标准和等级标准;负责监督、管理旅游专项资金的使用情况。</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（八）负责不可移动文物保护工作，管理和指导全区考古、文物修缮等工作，组织、协调重大文物保护和考古项目的实施，承担确定区级文物保护单位的有关工作；组织指导文物保护宣传及普法工作。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（九）负责文物保护经费的监管工作;负责监督、管理文物专项资金的使用情况；负责辖区内文物档案管理工作。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（十）负责辖区内古玩市场行业的监管工作;负责指导、监督文物商店的购销活动。</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（十一）对本地区广播电视台进行行业管理，负责本辖区电影放映工作。</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（十二）指导文化市场行政执法工作。负责对文化艺术经营活动进行行业监管，对从事演艺活动的民办机构进行监管；负责对互联网上网服务营业场所、互联网文化单位的监管。</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三）负责广播电影电视事业发展和行业管理。对全区广播电视制作、播出、传输、转播和引进等经营活动进行监管；指导和组织全区广播电视事业建设；负责电影制作、发行、放映的行业监管；组织实施农村电影公益放映活动；对互联网视听节目业务进行监管。</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（十四）负责对新闻出版机构进行行业监管；组织查处违法、违规出版物和出版活动；监督管理书报刊、电子出版物市场。</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（十五）负责印刷发行行业的监督管理。</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（十六）负责著作权创造、利用、保护、管理和服务工作，组织查处著作权侵权案件和涉外侵权案件。</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（十七）承担区扫黄打非领导小组办公室的日常工作。 </w:t>
      </w:r>
    </w:p>
    <w:p>
      <w:pPr>
        <w:spacing w:before="0" w:after="0" w:line="500" w:lineRule="exact"/>
        <w:ind w:firstLine="560"/>
        <w:jc w:val="left"/>
        <w:outlineLvl w:val="9"/>
      </w:pPr>
      <w:r>
        <w:rPr>
          <w:rFonts w:hint="eastAsia" w:ascii="仿宋_GB2312" w:hAnsi="仿宋_GB2312" w:eastAsia="仿宋_GB2312" w:cs="仿宋_GB2312"/>
          <w:color w:val="000000"/>
          <w:sz w:val="32"/>
          <w:szCs w:val="32"/>
        </w:rPr>
        <w:t>（十八）承办区政府交办的其他事项。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石家庄市井陉矿区文化广电体育和旅游局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按照预算管理有关规定，目前部门预算的编制实行综合预算管理，即全部收入和支出都反映在预算中。石家庄市井陉矿区文化广电体育和旅游局机关及所属事业单位的收支包含在部门预算中。</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1、收入说明</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反映本部门当年全部收入。2025年预算收入2075.03万元，其中：一般公共预算收入1605.41万元，基金预算收入47.28万元，国有资本经营预算收入0.00万元，财政专户核拨收入0.00万元，单位资金收入0.00万元，上年结转结余422.34万元。</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2、支出说明</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收支预算总表支出栏、基本支出表、项目支出表按经济分类和支出功能分类科目编制，反映石家庄市井陉矿区文化广电体育和旅游局年度部门预算中支出预算的总体情况。2025年支出预算2075.03万元，其中基本支出168.74万元，包括人员经费159.99万元和日常公用经费8.75万元；项目支出1906.29万元，主要为上级专款涉及到的文物保护专项资金和户外运动公共服务设施项目资金等</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3、比上年增减情况</w:t>
      </w:r>
    </w:p>
    <w:p>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2025年预算收支安排2075.03万元，较2024年预算减少205.85万元，其中：基本支出减少13.00万元，主要为一方面是调出了一名人员，人员经费减少；另一方面是上级专款较上一年有所减少。项目支出减少192.85万元，主要为上级专款较上一年有所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ascii="仿宋_GB2312" w:hAnsi="仿宋_GB2312" w:eastAsia="仿宋_GB2312" w:cs="仿宋_GB2312"/>
          <w:color w:val="000000"/>
          <w:sz w:val="32"/>
          <w:szCs w:val="32"/>
          <w:lang w:val="en-US" w:eastAsia="uk-UA" w:bidi="ar-SA"/>
        </w:rPr>
        <w:t>2025年，我部门机关运行经费共计安排8.75万元，主要用于日常维修等日常运行支出。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ascii="仿宋_GB2312" w:hAnsi="仿宋_GB2312" w:eastAsia="仿宋_GB2312" w:cs="仿宋_GB2312"/>
          <w:color w:val="000000"/>
          <w:sz w:val="32"/>
          <w:szCs w:val="32"/>
          <w:lang w:val="en-US" w:eastAsia="uk-UA" w:bidi="ar-SA"/>
        </w:rPr>
        <w:t>2025年，我部门财政拨款“三公”经费预算安排2.04万元，其中因公出国（境）费0.00万元；公务用车购置及运维费2.00万元（其中：公务用车购置费为0.00万元，公务用车运维费2.00万元)；公务接待费0.04万元。与2024年</w:t>
      </w:r>
      <w:r>
        <w:rPr>
          <w:rFonts w:hint="eastAsia" w:ascii="仿宋_GB2312" w:hAnsi="仿宋_GB2312" w:eastAsia="仿宋_GB2312" w:cs="仿宋_GB2312"/>
          <w:color w:val="000000"/>
          <w:sz w:val="32"/>
          <w:szCs w:val="32"/>
          <w:lang w:val="en-US" w:eastAsia="zh-CN" w:bidi="ar-SA"/>
        </w:rPr>
        <w:t>持平。</w:t>
      </w:r>
      <w:bookmarkStart w:id="20" w:name="_GoBack"/>
      <w:bookmarkEnd w:id="20"/>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（一）总体绩效目标</w:t>
      </w:r>
    </w:p>
    <w:p>
      <w:pPr>
        <w:pStyle w:val="22"/>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一是聚焦资源整合。与市旅投紧密对接，充分挖掘工业遗产新价值，打造消费新模式，确保正丰矿生产区提档升级工作顺利实施，2025年“五一”前实现试营业。深入打造正丰左岸艺术村，重点打造主题民宿和文创餐饮，把研学写生和文旅消费结合起来助力乡村振兴，争创国家3A级景区。有效推动正丰矿、段家楼、正丰左岸艺术村三位一体整体片区资源整合，实现正丰矿工业旅游片区资产盘活、业态丰富、特色发展。同时，加快国保——冯家沟窑区修缮和省保——中央人民广播电台旧址展陈两个工程设计方案批复以及资金配套工作，为天户电台文旅资源板块开发利用奠定坚实基础。</w:t>
      </w:r>
    </w:p>
    <w:p>
      <w:pPr>
        <w:pStyle w:val="22"/>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二是聚焦业态融合。2025年我区重点推出三条主题旅游线路：正丰矿——段家楼——老井皇冠塔——万人坑纪念馆等工业研学游、清凉山（滑雪场）——清凉湾——杏花沟——台阳山等自然风光游、陀罗尼经幢——中央人民广播电台旧址——清凉阁——贾庄古镇文化历史游。同时，打造全区10处网红旅拍打卡点并融入到三条主题线路中，不断增强游客的视觉效果和互动体验，使游客真正能留在矿区、吃在矿区、住在矿区。</w:t>
      </w:r>
    </w:p>
    <w:p>
      <w:pPr>
        <w:pStyle w:val="22"/>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三是聚焦项目活动。一方面加大文化体育公共服务设施体系建设，2025年年底前完成台阳山户外运动公共服务设施和群众文体活动中心（横南拉花基地）项目，提高人民群众的幸福感和获得感。另一方面继续引进承办“周末草坪”、“山水之间”全市摇滚音乐节、市级村BA等各项省市品牌文体活动，持续提高我区知名度和影响力。结合我区独特非遗文化，组建矿区民俗文化协会，大力开展太行社火风、拉花遍地扭等特色系列文体活动，擦亮“活力矿区、魅力之城”靓丽名片。</w:t>
      </w:r>
    </w:p>
    <w:p>
      <w:pPr>
        <w:pStyle w:val="22"/>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四是聚焦品牌创建。一是加快导游品牌体系建设。明年组织段家楼、清凉山等重点景区景点开展专业技能培训4次，打造20人以上的精品导游队伍。二是加大文创产品和非遗工坊品牌建设，特别是冯家沟陶瓷、太艺铜根、木雕烙画、凉皮煎饼等我区特色产品，既要保留历史文化，又要体现时代特色，做好设计、生产、销售全链条服务，促进群众增收致富。三是重点组织开展全区文创、住宿、美食品牌创建工程，持续擦亮矿区文旅的知名度和美誉度。</w:t>
      </w:r>
    </w:p>
    <w:p>
      <w:pPr>
        <w:spacing w:before="0" w:after="0" w:line="500" w:lineRule="exact"/>
        <w:ind w:firstLine="560"/>
        <w:jc w:val="left"/>
        <w:outlineLvl w:val="9"/>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（二）分项绩效目标</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1.充实基层文化惠民活动</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绩效目标：开展形式多样的文化惠民活动，充实群众文化生活，满足群众文化需求。</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绩效指标：办好彩色周末、书画摄影展、戏曲演唱、体育竞赛、书画展、连庄会等系列文化活动。加大创新力度，举办社火文化展演。全年各类每月不少于一次。</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2.推进全民体育建设</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绩效目标：调动群众积极性，增强群众参与度。大力推进全民体育建设。</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绩效指标：举通过文体融合，增强我区旅游景点的知名度、美誉度。按照省市要求，谋划举办我区冬季冰雪运动会，在轮滑、冰壶、滑冰、滑雪项目上打造我区体育赛事新亮点。</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3.大力发展段家楼开发开放工作。</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绩效目标：完善各项活动，保障日常办公正常运转</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绩效指标：使段家楼正丰矿真正走出矿区，打响文化品牌。丰富业态产品植入，创新管理运营模式，并全方位做好宣传推介，实现高水平常态化运营，努力打造省会西部高品质旅游目的地。</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4.提高政务管理水平</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绩效目标：完善各项活动，保障日常办公正常运转</w:t>
      </w:r>
    </w:p>
    <w:p>
      <w:pPr>
        <w:pStyle w:val="23"/>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绩效指标：保障机关运转维护和机要阅文工作、文件打印复印工作。办公楼卫生保洁、安全保卫。机关行政经费和国有资产管理及内部核算。综合事务保障率90%以上，群众满意率90%以上。</w:t>
      </w:r>
    </w:p>
    <w:p>
      <w:pPr>
        <w:spacing w:before="0" w:after="0" w:line="500" w:lineRule="exact"/>
        <w:ind w:firstLine="560"/>
        <w:jc w:val="left"/>
        <w:outlineLvl w:val="9"/>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（三）工作保障措施</w:t>
      </w:r>
    </w:p>
    <w:p>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1、加强制度建设。建立健全机关预算绩效管理制度，为全年预算绩效目标的实现奠定制度基础。</w:t>
      </w:r>
    </w:p>
    <w:p>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2、规范财务管理。进一步完善财务管理制度，通过科学编制预算、优化支出结构、加快政府采购、加快项目建设、及时拨付资金，确保经费支出进度达到规定标准。</w:t>
      </w:r>
    </w:p>
    <w:p>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3、加强内部监督。加强内部监督制度建设，对绩效运行、重大支出事项、资产处置及其他重要经济业务事项决策和执行进行监督，定期开展财务内部审计，确保财政资金使用安全合规。</w:t>
      </w:r>
    </w:p>
    <w:p>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4、加强绩效监控。积极开展绩效运行监控，发现问题及时采取措施，确保绩效目标如期保质实现。</w:t>
      </w:r>
    </w:p>
    <w:p>
      <w:pPr>
        <w:pStyle w:val="24"/>
        <w:rPr>
          <w:rFonts w:hint="eastAsia" w:ascii="仿宋_GB2312" w:hAnsi="仿宋_GB2312" w:eastAsia="仿宋_GB2312" w:cs="仿宋_GB2312"/>
          <w:color w:val="000000"/>
          <w:sz w:val="32"/>
          <w:szCs w:val="32"/>
          <w:lang w:val="en-US" w:eastAsia="uk-UA" w:bidi="ar-SA"/>
        </w:rPr>
      </w:pPr>
      <w:r>
        <w:rPr>
          <w:rFonts w:hint="eastAsia" w:ascii="仿宋_GB2312" w:hAnsi="仿宋_GB2312" w:eastAsia="仿宋_GB2312" w:cs="仿宋_GB2312"/>
          <w:color w:val="000000"/>
          <w:sz w:val="32"/>
          <w:szCs w:val="32"/>
          <w:lang w:val="en-US" w:eastAsia="uk-UA" w:bidi="ar-SA"/>
        </w:rPr>
        <w:t>5、做好绩效自评。按要求开展部门预算绩效自评和重点项目评价工作，对评价中发现的问题及时整改。</w:t>
      </w:r>
    </w:p>
    <w:p>
      <w:pPr>
        <w:pStyle w:val="24"/>
      </w:pPr>
      <w:r>
        <w:rPr>
          <w:rFonts w:hint="eastAsia" w:ascii="仿宋_GB2312" w:hAnsi="仿宋_GB2312" w:eastAsia="仿宋_GB2312" w:cs="仿宋_GB2312"/>
          <w:color w:val="000000"/>
          <w:sz w:val="32"/>
          <w:szCs w:val="32"/>
          <w:lang w:val="en-US" w:eastAsia="uk-UA" w:bidi="ar-SA"/>
        </w:rP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1、2024年第一批中央基建投资预算（石财建[2024]28号）绩效目标表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13010725P00019710005W</w:t>
            </w:r>
          </w:p>
        </w:tc>
        <w:tc>
          <w:tcPr>
            <w:tcW w:w="2835" w:type="dxa"/>
            <w:vAlign w:val="center"/>
          </w:tcPr>
          <w:p>
            <w:pPr>
              <w:pStyle w:val="11"/>
            </w:pPr>
            <w:r>
              <w:t>项目名称</w:t>
            </w:r>
          </w:p>
        </w:tc>
        <w:tc>
          <w:tcPr>
            <w:tcW w:w="6095" w:type="dxa"/>
            <w:gridSpan w:val="3"/>
            <w:vAlign w:val="center"/>
          </w:tcPr>
          <w:p>
            <w:pPr>
              <w:pStyle w:val="13"/>
            </w:pPr>
            <w:r>
              <w:t>2024年第一批中央基建投资预算（石财建[2024]28号）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2024年第一批中央基建投资预算（石财建[2024]28号）。完成台阳山户外运动公共服务设施项目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1.2024年第一批中央基建投资预算（石财建[2024]28号）。完成台阳山户外运动公共服务设施项目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≤1000万</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提高户外运动设施服务水平</w:t>
            </w:r>
          </w:p>
        </w:tc>
        <w:tc>
          <w:tcPr>
            <w:tcW w:w="5386" w:type="dxa"/>
            <w:vAlign w:val="center"/>
          </w:tcPr>
          <w:p>
            <w:pPr>
              <w:pStyle w:val="13"/>
            </w:pPr>
            <w:r>
              <w:t>工程完工后对项目起到的提升作用</w:t>
            </w:r>
          </w:p>
        </w:tc>
        <w:tc>
          <w:tcPr>
            <w:tcW w:w="2268" w:type="dxa"/>
            <w:vAlign w:val="center"/>
          </w:tcPr>
          <w:p>
            <w:pPr>
              <w:pStyle w:val="13"/>
            </w:pPr>
            <w:r>
              <w:t>进一步提升效果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2、2024年第一批中央基建投资预算（石财建[2024]28号）绩效目标表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13010725P00019710006G</w:t>
            </w:r>
          </w:p>
        </w:tc>
        <w:tc>
          <w:tcPr>
            <w:tcW w:w="2835" w:type="dxa"/>
            <w:vAlign w:val="center"/>
          </w:tcPr>
          <w:p>
            <w:pPr>
              <w:pStyle w:val="11"/>
            </w:pPr>
            <w:r>
              <w:t>项目名称</w:t>
            </w:r>
          </w:p>
        </w:tc>
        <w:tc>
          <w:tcPr>
            <w:tcW w:w="6095" w:type="dxa"/>
            <w:gridSpan w:val="3"/>
            <w:vAlign w:val="center"/>
          </w:tcPr>
          <w:p>
            <w:pPr>
              <w:pStyle w:val="13"/>
            </w:pPr>
            <w:r>
              <w:t>2024年第一批中央基建投资预算（石财建[2024]28号）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完成台阳山户外运动公共服务设施项目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1.完成台阳山户外运动公共服务设施项目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≤600万</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提高户外运动设施服务水平</w:t>
            </w:r>
          </w:p>
        </w:tc>
        <w:tc>
          <w:tcPr>
            <w:tcW w:w="5386" w:type="dxa"/>
            <w:vAlign w:val="center"/>
          </w:tcPr>
          <w:p>
            <w:pPr>
              <w:pStyle w:val="13"/>
            </w:pPr>
            <w:r>
              <w:t>工程完工后对项目起到的提升作用</w:t>
            </w:r>
          </w:p>
        </w:tc>
        <w:tc>
          <w:tcPr>
            <w:tcW w:w="2268" w:type="dxa"/>
            <w:vAlign w:val="center"/>
          </w:tcPr>
          <w:p>
            <w:pPr>
              <w:pStyle w:val="13"/>
            </w:pPr>
            <w:r>
              <w:t>进一步提升效果</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3、2024年公共图书馆、美术馆、文化馆（站）免费开放补助资金预算（石财教[2024]34号）绩效目标表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13010724P000150100098</w:t>
            </w:r>
          </w:p>
        </w:tc>
        <w:tc>
          <w:tcPr>
            <w:tcW w:w="2835" w:type="dxa"/>
            <w:vAlign w:val="center"/>
          </w:tcPr>
          <w:p>
            <w:pPr>
              <w:pStyle w:val="11"/>
            </w:pPr>
            <w:r>
              <w:t>项目名称</w:t>
            </w:r>
          </w:p>
        </w:tc>
        <w:tc>
          <w:tcPr>
            <w:tcW w:w="6095" w:type="dxa"/>
            <w:gridSpan w:val="3"/>
            <w:vAlign w:val="center"/>
          </w:tcPr>
          <w:p>
            <w:pPr>
              <w:pStyle w:val="13"/>
            </w:pPr>
            <w:r>
              <w:t>2024年公共图书馆、美术馆、文化馆（站）免费开放补助资金预算（石财教[2024]34号）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图书馆、文化馆、文化站免费开放日常运行经费支出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1.2024年公共图书馆、美术馆、文化馆（站）免费开放补助资金预算（石财教[2024]34号），保证图书馆、文化馆、文化站免费开放日常运行。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免费开放比例</w:t>
            </w:r>
          </w:p>
        </w:tc>
        <w:tc>
          <w:tcPr>
            <w:tcW w:w="5386" w:type="dxa"/>
            <w:vAlign w:val="center"/>
          </w:tcPr>
          <w:p>
            <w:pPr>
              <w:pStyle w:val="13"/>
            </w:pPr>
            <w:r>
              <w:t>免费开放比例</w:t>
            </w:r>
          </w:p>
        </w:tc>
        <w:tc>
          <w:tcPr>
            <w:tcW w:w="2268" w:type="dxa"/>
            <w:vAlign w:val="center"/>
          </w:tcPr>
          <w:p>
            <w:pPr>
              <w:pStyle w:val="13"/>
            </w:pPr>
            <w:r>
              <w:t>≥90%</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免费开放天数占全年天数比例</w:t>
            </w:r>
          </w:p>
        </w:tc>
        <w:tc>
          <w:tcPr>
            <w:tcW w:w="5386" w:type="dxa"/>
            <w:vAlign w:val="center"/>
          </w:tcPr>
          <w:p>
            <w:pPr>
              <w:pStyle w:val="13"/>
            </w:pPr>
            <w:r>
              <w:t>免费开放天数占全年天数比例</w:t>
            </w:r>
          </w:p>
        </w:tc>
        <w:tc>
          <w:tcPr>
            <w:tcW w:w="2268" w:type="dxa"/>
            <w:vAlign w:val="center"/>
          </w:tcPr>
          <w:p>
            <w:pPr>
              <w:pStyle w:val="13"/>
            </w:pPr>
            <w:r>
              <w:t>≥90%</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免费开放及时率</w:t>
            </w:r>
          </w:p>
        </w:tc>
        <w:tc>
          <w:tcPr>
            <w:tcW w:w="5386" w:type="dxa"/>
            <w:vAlign w:val="center"/>
          </w:tcPr>
          <w:p>
            <w:pPr>
              <w:pStyle w:val="13"/>
            </w:pPr>
            <w:r>
              <w:t>免费开放及时率</w:t>
            </w:r>
          </w:p>
        </w:tc>
        <w:tc>
          <w:tcPr>
            <w:tcW w:w="2268" w:type="dxa"/>
            <w:vAlign w:val="center"/>
          </w:tcPr>
          <w:p>
            <w:pPr>
              <w:pStyle w:val="13"/>
            </w:pPr>
            <w:r>
              <w:t>≥90%</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免费开放资金支出成本</w:t>
            </w:r>
          </w:p>
        </w:tc>
        <w:tc>
          <w:tcPr>
            <w:tcW w:w="5386" w:type="dxa"/>
            <w:vAlign w:val="center"/>
          </w:tcPr>
          <w:p>
            <w:pPr>
              <w:pStyle w:val="13"/>
            </w:pPr>
            <w:r>
              <w:t>免费开放资金支出成本</w:t>
            </w:r>
          </w:p>
        </w:tc>
        <w:tc>
          <w:tcPr>
            <w:tcW w:w="2268" w:type="dxa"/>
            <w:vAlign w:val="center"/>
          </w:tcPr>
          <w:p>
            <w:pPr>
              <w:pStyle w:val="13"/>
            </w:pPr>
            <w:r>
              <w:t>≤4万</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文化服务水平得到有效提升</w:t>
            </w:r>
          </w:p>
        </w:tc>
        <w:tc>
          <w:tcPr>
            <w:tcW w:w="5386" w:type="dxa"/>
            <w:vAlign w:val="center"/>
          </w:tcPr>
          <w:p>
            <w:pPr>
              <w:pStyle w:val="13"/>
            </w:pPr>
            <w:r>
              <w:t>文化服务水平得到有效提升</w:t>
            </w:r>
          </w:p>
        </w:tc>
        <w:tc>
          <w:tcPr>
            <w:tcW w:w="2268" w:type="dxa"/>
            <w:vAlign w:val="center"/>
          </w:tcPr>
          <w:p>
            <w:pPr>
              <w:pStyle w:val="13"/>
            </w:pPr>
            <w:r>
              <w:t>文化服务有效提升</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2024年工作计划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4、2024年国家文物保护专项资金（石财教[2023]93号）绩效目标表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13010725P00019410001D</w:t>
            </w:r>
          </w:p>
        </w:tc>
        <w:tc>
          <w:tcPr>
            <w:tcW w:w="2835" w:type="dxa"/>
            <w:vAlign w:val="center"/>
          </w:tcPr>
          <w:p>
            <w:pPr>
              <w:pStyle w:val="11"/>
            </w:pPr>
            <w:r>
              <w:t>项目名称</w:t>
            </w:r>
          </w:p>
        </w:tc>
        <w:tc>
          <w:tcPr>
            <w:tcW w:w="6095" w:type="dxa"/>
            <w:gridSpan w:val="3"/>
            <w:vAlign w:val="center"/>
          </w:tcPr>
          <w:p>
            <w:pPr>
              <w:pStyle w:val="13"/>
            </w:pPr>
            <w:r>
              <w:t>2024年国家文物保护专项资金（石财教[2023]93号）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209.00</w:t>
            </w:r>
          </w:p>
        </w:tc>
        <w:tc>
          <w:tcPr>
            <w:tcW w:w="2835" w:type="dxa"/>
            <w:vAlign w:val="center"/>
          </w:tcPr>
          <w:p>
            <w:pPr>
              <w:pStyle w:val="11"/>
            </w:pPr>
            <w:r>
              <w:t>其中：财政    资金</w:t>
            </w:r>
          </w:p>
        </w:tc>
        <w:tc>
          <w:tcPr>
            <w:tcW w:w="2551" w:type="dxa"/>
            <w:vAlign w:val="center"/>
          </w:tcPr>
          <w:p>
            <w:pPr>
              <w:pStyle w:val="13"/>
            </w:pPr>
            <w:r>
              <w:t>209.00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正丰矿工业建筑群蒸汽机绞车房和发电厂1号机组厂房修缮工程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1.正丰矿工业建筑群蒸汽机绞车房和发电厂1号机组厂房修缮工程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≤209万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提高文物保护力度</w:t>
            </w:r>
          </w:p>
        </w:tc>
        <w:tc>
          <w:tcPr>
            <w:tcW w:w="5386" w:type="dxa"/>
            <w:vAlign w:val="center"/>
          </w:tcPr>
          <w:p>
            <w:pPr>
              <w:pStyle w:val="13"/>
            </w:pPr>
            <w:r>
              <w:t>工程完工后对项目起到的提升作用</w:t>
            </w:r>
          </w:p>
        </w:tc>
        <w:tc>
          <w:tcPr>
            <w:tcW w:w="2268" w:type="dxa"/>
            <w:vAlign w:val="center"/>
          </w:tcPr>
          <w:p>
            <w:pPr>
              <w:pStyle w:val="13"/>
            </w:pPr>
            <w:r>
              <w:t>进一步保护</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5、2024年美术馆 公共图书馆 文化馆（站）免费开放中央和省级补助资金绩效目标表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13010724P00010810006N</w:t>
            </w:r>
          </w:p>
        </w:tc>
        <w:tc>
          <w:tcPr>
            <w:tcW w:w="2835" w:type="dxa"/>
            <w:vAlign w:val="center"/>
          </w:tcPr>
          <w:p>
            <w:pPr>
              <w:pStyle w:val="11"/>
            </w:pPr>
            <w:r>
              <w:t>项目名称</w:t>
            </w:r>
          </w:p>
        </w:tc>
        <w:tc>
          <w:tcPr>
            <w:tcW w:w="6095" w:type="dxa"/>
            <w:gridSpan w:val="3"/>
            <w:vAlign w:val="center"/>
          </w:tcPr>
          <w:p>
            <w:pPr>
              <w:pStyle w:val="13"/>
            </w:pPr>
            <w:r>
              <w:t>2024年美术馆 公共图书馆 文化馆（站）免费开放中央和省级补助资金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9.81</w:t>
            </w:r>
          </w:p>
        </w:tc>
        <w:tc>
          <w:tcPr>
            <w:tcW w:w="2835" w:type="dxa"/>
            <w:vAlign w:val="center"/>
          </w:tcPr>
          <w:p>
            <w:pPr>
              <w:pStyle w:val="11"/>
            </w:pPr>
            <w:r>
              <w:t>其中：财政    资金</w:t>
            </w:r>
          </w:p>
        </w:tc>
        <w:tc>
          <w:tcPr>
            <w:tcW w:w="2551" w:type="dxa"/>
            <w:vAlign w:val="center"/>
          </w:tcPr>
          <w:p>
            <w:pPr>
              <w:pStyle w:val="13"/>
            </w:pPr>
            <w:r>
              <w:t>9.81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公共图书馆、文化馆（站）免费开放相关支出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1.2024年美术馆、公共图书馆、文化馆（站）免费开放中央和省级补助资金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免费开放场馆数量比例</w:t>
            </w:r>
          </w:p>
        </w:tc>
        <w:tc>
          <w:tcPr>
            <w:tcW w:w="5386" w:type="dxa"/>
            <w:vAlign w:val="center"/>
          </w:tcPr>
          <w:p>
            <w:pPr>
              <w:pStyle w:val="13"/>
            </w:pPr>
            <w:r>
              <w:t>免费开放场馆数量占应免费开放的场馆数量的比例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免费开放率</w:t>
            </w:r>
          </w:p>
        </w:tc>
        <w:tc>
          <w:tcPr>
            <w:tcW w:w="5386" w:type="dxa"/>
            <w:vAlign w:val="center"/>
          </w:tcPr>
          <w:p>
            <w:pPr>
              <w:pStyle w:val="13"/>
            </w:pPr>
            <w:r>
              <w:t>年内免费开放天数占全年总天数的比例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活动举办及时率</w:t>
            </w:r>
          </w:p>
        </w:tc>
        <w:tc>
          <w:tcPr>
            <w:tcW w:w="5386" w:type="dxa"/>
            <w:vAlign w:val="center"/>
          </w:tcPr>
          <w:p>
            <w:pPr>
              <w:pStyle w:val="13"/>
            </w:pPr>
            <w:r>
              <w:t>年内按期举办活动占计划举办活动的比例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免费开放成本</w:t>
            </w:r>
          </w:p>
        </w:tc>
        <w:tc>
          <w:tcPr>
            <w:tcW w:w="5386" w:type="dxa"/>
            <w:vAlign w:val="center"/>
          </w:tcPr>
          <w:p>
            <w:pPr>
              <w:pStyle w:val="13"/>
            </w:pPr>
            <w:r>
              <w:t>免费开放成本</w:t>
            </w:r>
          </w:p>
        </w:tc>
        <w:tc>
          <w:tcPr>
            <w:tcW w:w="2268" w:type="dxa"/>
            <w:vAlign w:val="center"/>
          </w:tcPr>
          <w:p>
            <w:pPr>
              <w:pStyle w:val="13"/>
            </w:pPr>
            <w:r>
              <w:t>≤</w:t>
            </w:r>
            <w:r>
              <w:rPr>
                <w:rFonts w:hint="eastAsia"/>
                <w:lang w:val="en-US" w:eastAsia="zh-CN"/>
              </w:rPr>
              <w:t>9.81</w:t>
            </w:r>
            <w:r>
              <w:t>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w:t>
            </w:r>
          </w:p>
        </w:tc>
        <w:tc>
          <w:tcPr>
            <w:tcW w:w="5386" w:type="dxa"/>
            <w:vAlign w:val="center"/>
          </w:tcPr>
          <w:p>
            <w:pPr>
              <w:pStyle w:val="13"/>
            </w:pPr>
            <w:r>
              <w:t>提高我区公共文化服务水平</w:t>
            </w:r>
          </w:p>
        </w:tc>
        <w:tc>
          <w:tcPr>
            <w:tcW w:w="2268" w:type="dxa"/>
            <w:vAlign w:val="center"/>
          </w:tcPr>
          <w:p>
            <w:pPr>
              <w:pStyle w:val="13"/>
            </w:pPr>
            <w:r>
              <w:t>进一步提高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6、2024年省级非物质文化遗产保护专项资金绩效目标表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13010724P00010810033F</w:t>
            </w:r>
          </w:p>
        </w:tc>
        <w:tc>
          <w:tcPr>
            <w:tcW w:w="2835" w:type="dxa"/>
            <w:vAlign w:val="center"/>
          </w:tcPr>
          <w:p>
            <w:pPr>
              <w:pStyle w:val="11"/>
            </w:pPr>
            <w:r>
              <w:t>项目名称</w:t>
            </w:r>
          </w:p>
        </w:tc>
        <w:tc>
          <w:tcPr>
            <w:tcW w:w="6095" w:type="dxa"/>
            <w:gridSpan w:val="3"/>
            <w:vAlign w:val="center"/>
          </w:tcPr>
          <w:p>
            <w:pPr>
              <w:pStyle w:val="13"/>
            </w:pPr>
            <w:r>
              <w:t>2024年省级非物质文化遗产保护专项资金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发放省级非遗传承人补助，省级非遗项目保护支出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1.2024年省级非物质文化遗产保护专项资金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≤4.8万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省级非遗项目传承人满意程度</w:t>
            </w:r>
          </w:p>
        </w:tc>
        <w:tc>
          <w:tcPr>
            <w:tcW w:w="5386" w:type="dxa"/>
            <w:vAlign w:val="center"/>
          </w:tcPr>
          <w:p>
            <w:pPr>
              <w:pStyle w:val="13"/>
            </w:pPr>
            <w:r>
              <w:t>省级非遗项目传承人满意程度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7、2024年省级公共文化服务体系建设补助专项资金绩效目标表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13010724P00010810083T</w:t>
            </w:r>
          </w:p>
        </w:tc>
        <w:tc>
          <w:tcPr>
            <w:tcW w:w="2835" w:type="dxa"/>
            <w:vAlign w:val="center"/>
          </w:tcPr>
          <w:p>
            <w:pPr>
              <w:pStyle w:val="11"/>
            </w:pPr>
            <w:r>
              <w:t>项目名称</w:t>
            </w:r>
          </w:p>
        </w:tc>
        <w:tc>
          <w:tcPr>
            <w:tcW w:w="6095" w:type="dxa"/>
            <w:gridSpan w:val="3"/>
            <w:vAlign w:val="center"/>
          </w:tcPr>
          <w:p>
            <w:pPr>
              <w:pStyle w:val="13"/>
            </w:pPr>
            <w:r>
              <w:t>2024年省级公共文化服务体系建设补助专项资金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w:t>
            </w:r>
          </w:p>
        </w:tc>
        <w:tc>
          <w:tcPr>
            <w:tcW w:w="2835" w:type="dxa"/>
            <w:vAlign w:val="center"/>
          </w:tcPr>
          <w:p>
            <w:pPr>
              <w:pStyle w:val="11"/>
            </w:pPr>
            <w:r>
              <w:t>其中：财政    资金</w:t>
            </w:r>
          </w:p>
        </w:tc>
        <w:tc>
          <w:tcPr>
            <w:tcW w:w="2551" w:type="dxa"/>
            <w:vAlign w:val="center"/>
          </w:tcPr>
          <w:p>
            <w:pPr>
              <w:pStyle w:val="13"/>
            </w:pPr>
            <w:r>
              <w:t>3.97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通过确保完成工作计划中各类群众新公共文化服务活动、改善公共文化服务设施等工作任务，保障我区公共文化服务工作顺利开展。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1.通过确保完成工作计划中各类群众新公共文化服务活动、改善公共文化服务设施等工作任务，保障我区公共文化服务工作顺利开展。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≤3.97万</w:t>
            </w:r>
          </w:p>
        </w:tc>
        <w:tc>
          <w:tcPr>
            <w:tcW w:w="1276" w:type="dxa"/>
            <w:vAlign w:val="center"/>
          </w:tcPr>
          <w:p>
            <w:pPr>
              <w:pStyle w:val="13"/>
            </w:pPr>
            <w:r>
              <w:t>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保障公共文化服务水平提高</w:t>
            </w:r>
          </w:p>
        </w:tc>
        <w:tc>
          <w:tcPr>
            <w:tcW w:w="2268" w:type="dxa"/>
            <w:vAlign w:val="center"/>
          </w:tcPr>
          <w:p>
            <w:pPr>
              <w:pStyle w:val="13"/>
            </w:pPr>
            <w:r>
              <w:t>有效提升</w:t>
            </w:r>
          </w:p>
        </w:tc>
        <w:tc>
          <w:tcPr>
            <w:tcW w:w="1276" w:type="dxa"/>
            <w:vAlign w:val="center"/>
          </w:tcPr>
          <w:p>
            <w:pPr>
              <w:pStyle w:val="13"/>
            </w:pPr>
            <w:r>
              <w:t>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8、2024年省级文化和旅游惠民工程补助资金（石财教[2024]8号）绩效目标表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13010725P00019710001E</w:t>
            </w:r>
          </w:p>
        </w:tc>
        <w:tc>
          <w:tcPr>
            <w:tcW w:w="2835" w:type="dxa"/>
            <w:vAlign w:val="center"/>
          </w:tcPr>
          <w:p>
            <w:pPr>
              <w:pStyle w:val="11"/>
            </w:pPr>
            <w:r>
              <w:t>项目名称</w:t>
            </w:r>
          </w:p>
        </w:tc>
        <w:tc>
          <w:tcPr>
            <w:tcW w:w="6095" w:type="dxa"/>
            <w:gridSpan w:val="3"/>
            <w:vAlign w:val="center"/>
          </w:tcPr>
          <w:p>
            <w:pPr>
              <w:pStyle w:val="13"/>
            </w:pPr>
            <w:r>
              <w:t>2024年省级文化和旅游惠民工程补助资金（石财教[2024]8号）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4.07</w:t>
            </w:r>
          </w:p>
        </w:tc>
        <w:tc>
          <w:tcPr>
            <w:tcW w:w="2835" w:type="dxa"/>
            <w:vAlign w:val="center"/>
          </w:tcPr>
          <w:p>
            <w:pPr>
              <w:pStyle w:val="11"/>
            </w:pPr>
            <w:r>
              <w:t>其中：财政    资金</w:t>
            </w:r>
          </w:p>
        </w:tc>
        <w:tc>
          <w:tcPr>
            <w:tcW w:w="2551" w:type="dxa"/>
            <w:vAlign w:val="center"/>
          </w:tcPr>
          <w:p>
            <w:pPr>
              <w:pStyle w:val="13"/>
            </w:pPr>
            <w:r>
              <w:t>4.07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完成文化和旅游惠民演出场次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1.完成文化和旅游惠民演出场次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≤4.07万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提高文化和旅游惠民工作水平</w:t>
            </w:r>
          </w:p>
        </w:tc>
        <w:tc>
          <w:tcPr>
            <w:tcW w:w="5386" w:type="dxa"/>
            <w:vAlign w:val="center"/>
          </w:tcPr>
          <w:p>
            <w:pPr>
              <w:pStyle w:val="13"/>
            </w:pPr>
            <w:r>
              <w:t>提高文化和旅游惠民工作水平</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9、2024年市级非物质文化遗产保护专项资金（石财教[2024]78号）绩效目标表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13010725P000195100013</w:t>
            </w:r>
          </w:p>
        </w:tc>
        <w:tc>
          <w:tcPr>
            <w:tcW w:w="2835" w:type="dxa"/>
            <w:vAlign w:val="center"/>
          </w:tcPr>
          <w:p>
            <w:pPr>
              <w:pStyle w:val="11"/>
            </w:pPr>
            <w:r>
              <w:t>项目名称</w:t>
            </w:r>
          </w:p>
        </w:tc>
        <w:tc>
          <w:tcPr>
            <w:tcW w:w="6095" w:type="dxa"/>
            <w:gridSpan w:val="3"/>
            <w:vAlign w:val="center"/>
          </w:tcPr>
          <w:p>
            <w:pPr>
              <w:pStyle w:val="13"/>
            </w:pPr>
            <w:r>
              <w:t>2024年市级非物质文化遗产保护专项资金（石财教[2024]78号）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w:t>
            </w:r>
          </w:p>
        </w:tc>
        <w:tc>
          <w:tcPr>
            <w:tcW w:w="2835" w:type="dxa"/>
            <w:vAlign w:val="center"/>
          </w:tcPr>
          <w:p>
            <w:pPr>
              <w:pStyle w:val="11"/>
            </w:pPr>
            <w:r>
              <w:t>其中：财政    资金</w:t>
            </w:r>
          </w:p>
        </w:tc>
        <w:tc>
          <w:tcPr>
            <w:tcW w:w="2551" w:type="dxa"/>
            <w:vAlign w:val="center"/>
          </w:tcPr>
          <w:p>
            <w:pPr>
              <w:pStyle w:val="13"/>
            </w:pPr>
            <w:r>
              <w:t>12.10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发放市级非物质文化遗产传承人传习补助，做好非遗项目宣传推介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1.发放市级非物质文化遗产传承人传习补助，做好非遗项目宣传推介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w:t>
            </w:r>
          </w:p>
        </w:tc>
        <w:tc>
          <w:tcPr>
            <w:tcW w:w="2268" w:type="dxa"/>
            <w:vAlign w:val="center"/>
          </w:tcPr>
          <w:p>
            <w:pPr>
              <w:pStyle w:val="13"/>
            </w:pPr>
            <w:r>
              <w:t>≥90%</w:t>
            </w:r>
          </w:p>
        </w:tc>
        <w:tc>
          <w:tcPr>
            <w:tcW w:w="1276" w:type="dxa"/>
            <w:vAlign w:val="center"/>
          </w:tcPr>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≤12.1万</w:t>
            </w:r>
          </w:p>
        </w:tc>
        <w:tc>
          <w:tcPr>
            <w:tcW w:w="1276" w:type="dxa"/>
            <w:vAlign w:val="center"/>
          </w:tcPr>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市级非遗项目传承人满意程度</w:t>
            </w:r>
          </w:p>
        </w:tc>
        <w:tc>
          <w:tcPr>
            <w:tcW w:w="5386" w:type="dxa"/>
            <w:vAlign w:val="center"/>
          </w:tcPr>
          <w:p>
            <w:pPr>
              <w:pStyle w:val="13"/>
            </w:pPr>
            <w:r>
              <w:t>市级非遗项目传承人满意程度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10、2024年市级公共文化服务体系建设专项资金绩效目标表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13010724P000150100071</w:t>
            </w:r>
          </w:p>
        </w:tc>
        <w:tc>
          <w:tcPr>
            <w:tcW w:w="2835" w:type="dxa"/>
            <w:vAlign w:val="center"/>
          </w:tcPr>
          <w:p>
            <w:pPr>
              <w:pStyle w:val="11"/>
            </w:pPr>
            <w:r>
              <w:t>项目名称</w:t>
            </w:r>
          </w:p>
        </w:tc>
        <w:tc>
          <w:tcPr>
            <w:tcW w:w="6095" w:type="dxa"/>
            <w:gridSpan w:val="3"/>
            <w:vAlign w:val="center"/>
          </w:tcPr>
          <w:p>
            <w:pPr>
              <w:pStyle w:val="13"/>
            </w:pPr>
            <w:r>
              <w:t>2024年市级公共文化服务体系建设专项资金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w:t>
            </w:r>
          </w:p>
        </w:tc>
        <w:tc>
          <w:tcPr>
            <w:tcW w:w="2835" w:type="dxa"/>
            <w:vAlign w:val="center"/>
          </w:tcPr>
          <w:p>
            <w:pPr>
              <w:pStyle w:val="11"/>
            </w:pPr>
            <w:r>
              <w:t>其中：财政    资金</w:t>
            </w:r>
          </w:p>
        </w:tc>
        <w:tc>
          <w:tcPr>
            <w:tcW w:w="2551" w:type="dxa"/>
            <w:vAlign w:val="center"/>
          </w:tcPr>
          <w:p>
            <w:pPr>
              <w:pStyle w:val="13"/>
            </w:pPr>
            <w:r>
              <w:t>2.11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通过确保完成工作计划中各类群众新公共文化服务活动、改善公共文化服务设施等工作任务，保障我区公共文化服务工作顺利开展。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34"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1.通过确保完成工作计划中各类群众新公共文化服务活动、改善公共文化服务设施等工作任务，保障我区公共文化服务工作顺利开展。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≤2.11万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保障公共文化服务水平提高</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11、2024年市级文化旅游重点项目引导资金绩效目标表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13010724P00015010005R</w:t>
            </w:r>
          </w:p>
        </w:tc>
        <w:tc>
          <w:tcPr>
            <w:tcW w:w="2835" w:type="dxa"/>
            <w:vAlign w:val="center"/>
          </w:tcPr>
          <w:p>
            <w:pPr>
              <w:pStyle w:val="11"/>
            </w:pPr>
            <w:r>
              <w:t>项目名称</w:t>
            </w:r>
          </w:p>
        </w:tc>
        <w:tc>
          <w:tcPr>
            <w:tcW w:w="6095" w:type="dxa"/>
            <w:gridSpan w:val="3"/>
            <w:vAlign w:val="center"/>
          </w:tcPr>
          <w:p>
            <w:pPr>
              <w:pStyle w:val="13"/>
            </w:pPr>
            <w:r>
              <w:t>2024年市级文化旅游重点项目引导资金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支付旅游厕所补助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1.旅游厕所补助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旅游厕所完成率</w:t>
            </w:r>
          </w:p>
        </w:tc>
        <w:tc>
          <w:tcPr>
            <w:tcW w:w="2268" w:type="dxa"/>
            <w:vAlign w:val="center"/>
          </w:tcPr>
          <w:p>
            <w:pPr>
              <w:pStyle w:val="13"/>
            </w:pPr>
            <w:r>
              <w:t>≥90%</w:t>
            </w:r>
          </w:p>
        </w:tc>
        <w:tc>
          <w:tcPr>
            <w:tcW w:w="1276" w:type="dxa"/>
            <w:vAlign w:val="center"/>
          </w:tcPr>
          <w:p>
            <w:pPr>
              <w:pStyle w:val="13"/>
            </w:pPr>
            <w:r>
              <w:t>2024年度工作计划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完成的旅游厕所建设中验收合格的占总量的比例</w:t>
            </w:r>
          </w:p>
        </w:tc>
        <w:tc>
          <w:tcPr>
            <w:tcW w:w="2268" w:type="dxa"/>
            <w:vAlign w:val="center"/>
          </w:tcPr>
          <w:p>
            <w:pPr>
              <w:pStyle w:val="13"/>
            </w:pPr>
            <w:r>
              <w:t>≥90%</w:t>
            </w:r>
          </w:p>
        </w:tc>
        <w:tc>
          <w:tcPr>
            <w:tcW w:w="1276" w:type="dxa"/>
            <w:vAlign w:val="center"/>
          </w:tcPr>
          <w:p>
            <w:pPr>
              <w:pStyle w:val="13"/>
            </w:pPr>
            <w:r>
              <w:t>2024年度工作计划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投入使用及时率（%）</w:t>
            </w:r>
          </w:p>
        </w:tc>
        <w:tc>
          <w:tcPr>
            <w:tcW w:w="5386" w:type="dxa"/>
            <w:vAlign w:val="center"/>
          </w:tcPr>
          <w:p>
            <w:pPr>
              <w:pStyle w:val="13"/>
            </w:pPr>
            <w:r>
              <w:t>按照工作计划投入使用的及时率（%）</w:t>
            </w:r>
          </w:p>
        </w:tc>
        <w:tc>
          <w:tcPr>
            <w:tcW w:w="2268" w:type="dxa"/>
            <w:vAlign w:val="center"/>
          </w:tcPr>
          <w:p>
            <w:pPr>
              <w:pStyle w:val="13"/>
            </w:pPr>
            <w:r>
              <w:t>≥90%</w:t>
            </w:r>
          </w:p>
        </w:tc>
        <w:tc>
          <w:tcPr>
            <w:tcW w:w="1276" w:type="dxa"/>
            <w:vAlign w:val="center"/>
          </w:tcPr>
          <w:p>
            <w:pPr>
              <w:pStyle w:val="13"/>
            </w:pPr>
            <w:r>
              <w:t>2024年度工作计划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补助资金</w:t>
            </w:r>
          </w:p>
        </w:tc>
        <w:tc>
          <w:tcPr>
            <w:tcW w:w="5386" w:type="dxa"/>
            <w:vAlign w:val="center"/>
          </w:tcPr>
          <w:p>
            <w:pPr>
              <w:pStyle w:val="13"/>
            </w:pPr>
            <w:r>
              <w:t>补助资金</w:t>
            </w:r>
          </w:p>
        </w:tc>
        <w:tc>
          <w:tcPr>
            <w:tcW w:w="2268" w:type="dxa"/>
            <w:vAlign w:val="center"/>
          </w:tcPr>
          <w:p>
            <w:pPr>
              <w:pStyle w:val="13"/>
            </w:pPr>
            <w:r>
              <w:t>≤8万</w:t>
            </w:r>
          </w:p>
        </w:tc>
        <w:tc>
          <w:tcPr>
            <w:tcW w:w="1276" w:type="dxa"/>
            <w:vAlign w:val="center"/>
          </w:tcPr>
          <w:p>
            <w:pPr>
              <w:pStyle w:val="13"/>
            </w:pPr>
            <w:r>
              <w:t>专款文件要求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提高旅游服务水平</w:t>
            </w:r>
          </w:p>
        </w:tc>
        <w:tc>
          <w:tcPr>
            <w:tcW w:w="5386" w:type="dxa"/>
            <w:vAlign w:val="center"/>
          </w:tcPr>
          <w:p>
            <w:pPr>
              <w:pStyle w:val="13"/>
            </w:pPr>
            <w:r>
              <w:t>完成后对旅游服务起到的提升作用</w:t>
            </w:r>
          </w:p>
        </w:tc>
        <w:tc>
          <w:tcPr>
            <w:tcW w:w="2268" w:type="dxa"/>
            <w:vAlign w:val="center"/>
          </w:tcPr>
          <w:p>
            <w:pPr>
              <w:pStyle w:val="13"/>
            </w:pPr>
            <w:r>
              <w:t>进一步提升效果</w:t>
            </w:r>
          </w:p>
        </w:tc>
        <w:tc>
          <w:tcPr>
            <w:tcW w:w="1276" w:type="dxa"/>
            <w:vAlign w:val="center"/>
          </w:tcPr>
          <w:p>
            <w:pPr>
              <w:pStyle w:val="13"/>
            </w:pPr>
            <w:r>
              <w:t>2024年度工作计划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12、2024年中央公共文化服务体系建设补助专项资金绩效目标表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13010724P000108100827</w:t>
            </w:r>
          </w:p>
        </w:tc>
        <w:tc>
          <w:tcPr>
            <w:tcW w:w="2835" w:type="dxa"/>
            <w:vAlign w:val="center"/>
          </w:tcPr>
          <w:p>
            <w:pPr>
              <w:pStyle w:val="11"/>
            </w:pPr>
            <w:r>
              <w:t>项目名称</w:t>
            </w:r>
          </w:p>
        </w:tc>
        <w:tc>
          <w:tcPr>
            <w:tcW w:w="6095" w:type="dxa"/>
            <w:gridSpan w:val="3"/>
            <w:vAlign w:val="center"/>
          </w:tcPr>
          <w:p>
            <w:pPr>
              <w:pStyle w:val="13"/>
            </w:pPr>
            <w:r>
              <w:t>2024年中央公共文化服务体系建设补助专项资金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32.65</w:t>
            </w:r>
          </w:p>
        </w:tc>
        <w:tc>
          <w:tcPr>
            <w:tcW w:w="2835" w:type="dxa"/>
            <w:vAlign w:val="center"/>
          </w:tcPr>
          <w:p>
            <w:pPr>
              <w:pStyle w:val="11"/>
            </w:pPr>
            <w:r>
              <w:t>其中：财政    资金</w:t>
            </w:r>
          </w:p>
        </w:tc>
        <w:tc>
          <w:tcPr>
            <w:tcW w:w="2551" w:type="dxa"/>
            <w:vAlign w:val="center"/>
          </w:tcPr>
          <w:p>
            <w:pPr>
              <w:pStyle w:val="13"/>
            </w:pPr>
            <w:r>
              <w:t>32.65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2024年中央公共文化服务体系建设补助专项资金。通过举办各项群众性文化活动，提升本区公共文化服务水平。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1.2024年中央公共文化服务体系建设补助专项资金。通过举办各项群众性文化活动，提升本区公共文化服务水平。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r>
              <w:tab/>
            </w:r>
            <w:r>
              <w:t>已完成的工作占年初计划的比例</w:t>
            </w:r>
          </w:p>
          <w:p>
            <w:pPr>
              <w:pStyle w:val="13"/>
            </w:pP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p>
            <w:pPr>
              <w:pStyle w:val="13"/>
            </w:pPr>
          </w:p>
        </w:tc>
        <w:tc>
          <w:tcPr>
            <w:tcW w:w="5386" w:type="dxa"/>
            <w:vAlign w:val="center"/>
          </w:tcPr>
          <w:p>
            <w:pPr>
              <w:pStyle w:val="13"/>
            </w:pPr>
            <w:r>
              <w:t>工作通过上级考核的比例</w:t>
            </w:r>
          </w:p>
          <w:p>
            <w:pPr>
              <w:pStyle w:val="13"/>
            </w:pP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≤32.65万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本区公共文化服务水平有提高</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13、2024年中央支持地方公共文化服务体系建设补助资金预算（石财教[2024]55号）绩效目标表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13010724P000150100142</w:t>
            </w:r>
          </w:p>
        </w:tc>
        <w:tc>
          <w:tcPr>
            <w:tcW w:w="2835" w:type="dxa"/>
            <w:vAlign w:val="center"/>
          </w:tcPr>
          <w:p>
            <w:pPr>
              <w:pStyle w:val="11"/>
            </w:pPr>
            <w:r>
              <w:t>项目名称</w:t>
            </w:r>
          </w:p>
        </w:tc>
        <w:tc>
          <w:tcPr>
            <w:tcW w:w="6095" w:type="dxa"/>
            <w:gridSpan w:val="3"/>
            <w:vAlign w:val="center"/>
          </w:tcPr>
          <w:p>
            <w:pPr>
              <w:pStyle w:val="13"/>
            </w:pPr>
            <w:r>
              <w:t>2024年中央支持地方公共文化服务体系建设补助资金预算（石财教[2024]55号）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完成乡镇（街道）全民健身场地器材补短板工程项目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1.2024年中央支持地方公共文化服务体系建设补助资金预算【乡镇（街道）全民健身场地器材补短板工程项目】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实施健身场地器材补短板工程个数</w:t>
            </w:r>
          </w:p>
        </w:tc>
        <w:tc>
          <w:tcPr>
            <w:tcW w:w="5386" w:type="dxa"/>
            <w:vAlign w:val="center"/>
          </w:tcPr>
          <w:p>
            <w:pPr>
              <w:pStyle w:val="13"/>
            </w:pPr>
            <w:r>
              <w:t>实施健身场地器材补短板工程个数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完成的项目中验收合格的项目量占总量的比例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按照工作计划项目竣工及时率（%）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提高全民健身设施服务水平</w:t>
            </w:r>
          </w:p>
        </w:tc>
        <w:tc>
          <w:tcPr>
            <w:tcW w:w="5386" w:type="dxa"/>
            <w:vAlign w:val="center"/>
          </w:tcPr>
          <w:p>
            <w:pPr>
              <w:pStyle w:val="13"/>
            </w:pPr>
            <w:r>
              <w:t>提高全民健身设施服务水平</w:t>
            </w:r>
          </w:p>
        </w:tc>
        <w:tc>
          <w:tcPr>
            <w:tcW w:w="2268" w:type="dxa"/>
            <w:vAlign w:val="center"/>
          </w:tcPr>
          <w:p>
            <w:pPr>
              <w:pStyle w:val="13"/>
            </w:pPr>
            <w:r>
              <w:t>有效提升服务水平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14、2025年公共图书馆、美术馆、文化馆（站）免费开放省级补助资金（石财教[2024]96号）绩效目标表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13010725P000059100138</w:t>
            </w:r>
          </w:p>
        </w:tc>
        <w:tc>
          <w:tcPr>
            <w:tcW w:w="2835" w:type="dxa"/>
            <w:vAlign w:val="center"/>
          </w:tcPr>
          <w:p>
            <w:pPr>
              <w:pStyle w:val="11"/>
            </w:pPr>
            <w:r>
              <w:t>项目名称</w:t>
            </w:r>
          </w:p>
        </w:tc>
        <w:tc>
          <w:tcPr>
            <w:tcW w:w="6095" w:type="dxa"/>
            <w:gridSpan w:val="3"/>
            <w:vAlign w:val="center"/>
          </w:tcPr>
          <w:p>
            <w:pPr>
              <w:pStyle w:val="13"/>
            </w:pPr>
            <w:r>
              <w:t>2025年公共图书馆、美术馆、文化馆（站）免费开放省级补助资金（石财教[2024]96号）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2025年公共图书馆、美术馆、文化馆（站）免费开放省级补助资金（石财教[2024]96号）。保证文化馆、图书馆、文化站免费开放及各项活动顺利开展，提高公共文化服务水平。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1.2025年公共图书馆、美术馆、文化馆（站）免费开放省级补助资金（石财教[2024]96号）。保证文化馆、图书馆、文化站免费开放及各项活动顺利开展，提高公共文化服务水平。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免费开放场馆数量比例</w:t>
            </w:r>
          </w:p>
        </w:tc>
        <w:tc>
          <w:tcPr>
            <w:tcW w:w="5386" w:type="dxa"/>
            <w:vAlign w:val="center"/>
          </w:tcPr>
          <w:p>
            <w:pPr>
              <w:pStyle w:val="13"/>
            </w:pPr>
            <w:r>
              <w:t>免费开放场馆数量占应免费开放的场馆数量的比例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免费开放率</w:t>
            </w:r>
          </w:p>
        </w:tc>
        <w:tc>
          <w:tcPr>
            <w:tcW w:w="5386" w:type="dxa"/>
            <w:vAlign w:val="center"/>
          </w:tcPr>
          <w:p>
            <w:pPr>
              <w:pStyle w:val="13"/>
            </w:pPr>
            <w:r>
              <w:t>年内免费开放天数占全年总天数的比例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活动举办及时率</w:t>
            </w:r>
          </w:p>
        </w:tc>
        <w:tc>
          <w:tcPr>
            <w:tcW w:w="5386" w:type="dxa"/>
            <w:vAlign w:val="center"/>
          </w:tcPr>
          <w:p>
            <w:pPr>
              <w:pStyle w:val="13"/>
            </w:pPr>
            <w:r>
              <w:t>年内按期举办活动占计划举办活动的比例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免费开放成本</w:t>
            </w:r>
          </w:p>
        </w:tc>
        <w:tc>
          <w:tcPr>
            <w:tcW w:w="5386" w:type="dxa"/>
            <w:vAlign w:val="center"/>
          </w:tcPr>
          <w:p>
            <w:pPr>
              <w:pStyle w:val="13"/>
            </w:pPr>
            <w:r>
              <w:t>免费开放成本</w:t>
            </w:r>
          </w:p>
        </w:tc>
        <w:tc>
          <w:tcPr>
            <w:tcW w:w="2268" w:type="dxa"/>
            <w:vAlign w:val="center"/>
          </w:tcPr>
          <w:p>
            <w:pPr>
              <w:pStyle w:val="13"/>
            </w:pPr>
            <w:r>
              <w:t>≤6.5万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w:t>
            </w:r>
          </w:p>
        </w:tc>
        <w:tc>
          <w:tcPr>
            <w:tcW w:w="5386" w:type="dxa"/>
            <w:vAlign w:val="center"/>
          </w:tcPr>
          <w:p>
            <w:pPr>
              <w:pStyle w:val="13"/>
            </w:pPr>
            <w:r>
              <w:t>提高我区公共文化服务水平</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群众对各类免费开放场所服务满意度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15、2025年公共图书馆、美术馆、文化馆（站）免费开放中央补助资金（石财教[2024]95号）绩效目标表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13010725P00005910012L</w:t>
            </w:r>
          </w:p>
        </w:tc>
        <w:tc>
          <w:tcPr>
            <w:tcW w:w="2835" w:type="dxa"/>
            <w:vAlign w:val="center"/>
          </w:tcPr>
          <w:p>
            <w:pPr>
              <w:pStyle w:val="11"/>
            </w:pPr>
            <w:r>
              <w:t>项目名称</w:t>
            </w:r>
          </w:p>
        </w:tc>
        <w:tc>
          <w:tcPr>
            <w:tcW w:w="6095" w:type="dxa"/>
            <w:gridSpan w:val="3"/>
            <w:vAlign w:val="center"/>
          </w:tcPr>
          <w:p>
            <w:pPr>
              <w:pStyle w:val="13"/>
            </w:pPr>
            <w:r>
              <w:t>2025年公共图书馆、美术馆、文化馆（站）免费开放中央补助资金（石财教[2024]95号）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2025年公共图书馆、美术馆、文化馆（站）免费开放中央补助资金（石财教[2024]95号）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30%</w:t>
            </w:r>
          </w:p>
        </w:tc>
        <w:tc>
          <w:tcPr>
            <w:tcW w:w="2835" w:type="dxa"/>
            <w:vAlign w:val="center"/>
          </w:tcPr>
          <w:p>
            <w:pPr>
              <w:pStyle w:val="14"/>
              <w:rPr>
                <w:rFonts w:hint="eastAsia" w:eastAsia="方正书宋_GBK"/>
                <w:lang w:eastAsia="zh-CN"/>
              </w:rPr>
            </w:pPr>
            <w:r>
              <w:rPr>
                <w:rFonts w:hint="eastAsia"/>
                <w:lang w:val="en-US" w:eastAsia="zh-CN"/>
              </w:rPr>
              <w:t>60%</w:t>
            </w:r>
          </w:p>
        </w:tc>
        <w:tc>
          <w:tcPr>
            <w:tcW w:w="2551" w:type="dxa"/>
            <w:vAlign w:val="center"/>
          </w:tcPr>
          <w:p>
            <w:pPr>
              <w:pStyle w:val="14"/>
              <w:rPr>
                <w:rFonts w:hint="eastAsia" w:eastAsia="方正书宋_GBK"/>
                <w:lang w:eastAsia="zh-CN"/>
              </w:rPr>
            </w:pPr>
            <w:r>
              <w:rPr>
                <w:rFonts w:hint="eastAsia"/>
                <w:lang w:val="en-US" w:eastAsia="zh-CN"/>
              </w:rPr>
              <w:t>90%</w:t>
            </w:r>
          </w:p>
        </w:tc>
        <w:tc>
          <w:tcPr>
            <w:tcW w:w="3544" w:type="dxa"/>
            <w:gridSpan w:val="2"/>
            <w:vAlign w:val="center"/>
          </w:tcPr>
          <w:p>
            <w:pPr>
              <w:pStyle w:val="14"/>
              <w:rPr>
                <w:rFonts w:hint="eastAsia" w:eastAsia="方正书宋_GBK"/>
                <w:lang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1.2025年公共图书馆、美术馆、文化馆（站）免费开放中央补助资金（石财教[2024]95号）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免费开放场馆数量比例</w:t>
            </w:r>
          </w:p>
        </w:tc>
        <w:tc>
          <w:tcPr>
            <w:tcW w:w="5386" w:type="dxa"/>
            <w:vAlign w:val="center"/>
          </w:tcPr>
          <w:p>
            <w:pPr>
              <w:pStyle w:val="13"/>
            </w:pPr>
            <w:r>
              <w:t>免费开放场馆数量占应免费开放的场馆数量的比例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免费开放率</w:t>
            </w:r>
          </w:p>
        </w:tc>
        <w:tc>
          <w:tcPr>
            <w:tcW w:w="5386" w:type="dxa"/>
            <w:vAlign w:val="center"/>
          </w:tcPr>
          <w:p>
            <w:pPr>
              <w:pStyle w:val="13"/>
            </w:pPr>
            <w:r>
              <w:t>年内免费开放天数占全年总天数的比例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活动举办及时率</w:t>
            </w:r>
          </w:p>
        </w:tc>
        <w:tc>
          <w:tcPr>
            <w:tcW w:w="5386" w:type="dxa"/>
            <w:vAlign w:val="center"/>
          </w:tcPr>
          <w:p>
            <w:pPr>
              <w:pStyle w:val="13"/>
            </w:pPr>
            <w:r>
              <w:t>年内按期举办活动占计划举办活动的比例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免费开放成本</w:t>
            </w:r>
          </w:p>
        </w:tc>
        <w:tc>
          <w:tcPr>
            <w:tcW w:w="5386" w:type="dxa"/>
            <w:vAlign w:val="center"/>
          </w:tcPr>
          <w:p>
            <w:pPr>
              <w:pStyle w:val="13"/>
            </w:pPr>
            <w:r>
              <w:t>免费开放成本</w:t>
            </w:r>
          </w:p>
        </w:tc>
        <w:tc>
          <w:tcPr>
            <w:tcW w:w="2268" w:type="dxa"/>
            <w:vAlign w:val="center"/>
          </w:tcPr>
          <w:p>
            <w:pPr>
              <w:pStyle w:val="13"/>
            </w:pPr>
            <w:r>
              <w:t>≤35万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w:t>
            </w:r>
          </w:p>
        </w:tc>
        <w:tc>
          <w:tcPr>
            <w:tcW w:w="5386" w:type="dxa"/>
            <w:vAlign w:val="center"/>
          </w:tcPr>
          <w:p>
            <w:pPr>
              <w:pStyle w:val="13"/>
            </w:pPr>
            <w:r>
              <w:t>提高我区公共文化服务水平</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群众对各类免费开放场所服务满意度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16、2025年国家文物保护专项资金（石财教[2024]94号）绩效目标表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13010725P00019410008N</w:t>
            </w:r>
          </w:p>
        </w:tc>
        <w:tc>
          <w:tcPr>
            <w:tcW w:w="2835" w:type="dxa"/>
            <w:vAlign w:val="center"/>
          </w:tcPr>
          <w:p>
            <w:pPr>
              <w:pStyle w:val="11"/>
            </w:pPr>
            <w:r>
              <w:t>项目名称</w:t>
            </w:r>
          </w:p>
        </w:tc>
        <w:tc>
          <w:tcPr>
            <w:tcW w:w="6095" w:type="dxa"/>
            <w:gridSpan w:val="3"/>
            <w:vAlign w:val="center"/>
          </w:tcPr>
          <w:p>
            <w:pPr>
              <w:pStyle w:val="13"/>
            </w:pPr>
            <w:r>
              <w:t>2025年国家文物保护专项资金（石财教[2024]94号）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完成正丰矿工业建筑群蒸汽机绞车房和发电厂1号机组厂房修缮工程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1.2025年国家文物保护专项资金（石财教[2024]94号）完成正丰矿工业建筑群蒸汽机绞车房和发电厂1号机组厂房修缮工程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≤41万</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提高文物保护力度</w:t>
            </w:r>
          </w:p>
        </w:tc>
        <w:tc>
          <w:tcPr>
            <w:tcW w:w="5386" w:type="dxa"/>
            <w:vAlign w:val="center"/>
          </w:tcPr>
          <w:p>
            <w:pPr>
              <w:pStyle w:val="13"/>
            </w:pPr>
            <w:r>
              <w:t>工程完工后对项目起到的保护作用</w:t>
            </w:r>
          </w:p>
        </w:tc>
        <w:tc>
          <w:tcPr>
            <w:tcW w:w="2268" w:type="dxa"/>
            <w:vAlign w:val="center"/>
          </w:tcPr>
          <w:p>
            <w:pPr>
              <w:pStyle w:val="13"/>
            </w:pPr>
            <w:r>
              <w:t>进一步保护</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17、2025年省级非物质文化遗产保护专项资金（石财教[2024]98号）绩效目标表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13010725P00019510002N</w:t>
            </w:r>
          </w:p>
        </w:tc>
        <w:tc>
          <w:tcPr>
            <w:tcW w:w="2835" w:type="dxa"/>
            <w:vAlign w:val="center"/>
          </w:tcPr>
          <w:p>
            <w:pPr>
              <w:pStyle w:val="11"/>
            </w:pPr>
            <w:r>
              <w:t>项目名称</w:t>
            </w:r>
          </w:p>
        </w:tc>
        <w:tc>
          <w:tcPr>
            <w:tcW w:w="6095" w:type="dxa"/>
            <w:gridSpan w:val="3"/>
            <w:vAlign w:val="center"/>
          </w:tcPr>
          <w:p>
            <w:pPr>
              <w:pStyle w:val="13"/>
            </w:pPr>
            <w:r>
              <w:t>2025年省级非物质文化遗产保护专项资金（石财教[2024]98号）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省级非遗传承人传习活动补助资金，三人，每人每年6000元。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1.2025年省级非物质文化遗产保护专项资金（石财教[2024]98号）省级非遗传承人传习活动补助资金，三人，每人每年6000元。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≤1.8万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省级非遗项目传承人满意程度</w:t>
            </w:r>
          </w:p>
        </w:tc>
        <w:tc>
          <w:tcPr>
            <w:tcW w:w="5386" w:type="dxa"/>
            <w:vAlign w:val="center"/>
          </w:tcPr>
          <w:p>
            <w:pPr>
              <w:pStyle w:val="13"/>
            </w:pPr>
            <w:r>
              <w:t>省级非遗项目传承人满意程度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18、2025年省级体育彩票公益金专项资金（石财教[2024]118号）绩效目标表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13010725P000207100015</w:t>
            </w:r>
          </w:p>
        </w:tc>
        <w:tc>
          <w:tcPr>
            <w:tcW w:w="2835" w:type="dxa"/>
            <w:vAlign w:val="center"/>
          </w:tcPr>
          <w:p>
            <w:pPr>
              <w:pStyle w:val="11"/>
            </w:pPr>
            <w:r>
              <w:t>项目名称</w:t>
            </w:r>
          </w:p>
        </w:tc>
        <w:tc>
          <w:tcPr>
            <w:tcW w:w="6095" w:type="dxa"/>
            <w:gridSpan w:val="3"/>
            <w:vAlign w:val="center"/>
          </w:tcPr>
          <w:p>
            <w:pPr>
              <w:pStyle w:val="13"/>
            </w:pPr>
            <w:r>
              <w:t>2025年省级体育彩票公益金专项资金（石财教[2024]118号）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47.28</w:t>
            </w:r>
          </w:p>
        </w:tc>
        <w:tc>
          <w:tcPr>
            <w:tcW w:w="2835" w:type="dxa"/>
            <w:vAlign w:val="center"/>
          </w:tcPr>
          <w:p>
            <w:pPr>
              <w:pStyle w:val="11"/>
            </w:pPr>
            <w:r>
              <w:t>其中：财政    资金</w:t>
            </w:r>
          </w:p>
        </w:tc>
        <w:tc>
          <w:tcPr>
            <w:tcW w:w="2551" w:type="dxa"/>
            <w:vAlign w:val="center"/>
          </w:tcPr>
          <w:p>
            <w:pPr>
              <w:pStyle w:val="13"/>
            </w:pPr>
            <w:r>
              <w:t>47.28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2025年省级体育彩票公益金专项资金（石财教[2024]118号）群众身边赛事活动示范工程经费7.28万；“和美乡村”示范村配备器材经费10万；乡镇（街道）体育工程建设经费30万。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1.2025年省级体育彩票公益金专项资金（石财教[2024]118号）群众身边赛事活动示范工程经费7.28万；“和美乡村”示范村配备器材经费10万；乡镇（街道）体育工程建设经费30万。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≤47.28万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提高公共体育服务水平</w:t>
            </w:r>
          </w:p>
        </w:tc>
        <w:tc>
          <w:tcPr>
            <w:tcW w:w="5386" w:type="dxa"/>
            <w:vAlign w:val="center"/>
          </w:tcPr>
          <w:p>
            <w:pPr>
              <w:pStyle w:val="13"/>
            </w:pPr>
            <w:r>
              <w:t>提高公共体育服务水平</w:t>
            </w:r>
          </w:p>
        </w:tc>
        <w:tc>
          <w:tcPr>
            <w:tcW w:w="2268" w:type="dxa"/>
            <w:vAlign w:val="center"/>
          </w:tcPr>
          <w:p>
            <w:pPr>
              <w:pStyle w:val="13"/>
            </w:pPr>
            <w:r>
              <w:t>进一步提高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19、2025年市级非物质文化遗产保护专项资金（石财教[2024]126号）绩效目标表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13010725P00019510003A</w:t>
            </w:r>
          </w:p>
        </w:tc>
        <w:tc>
          <w:tcPr>
            <w:tcW w:w="2835" w:type="dxa"/>
            <w:vAlign w:val="center"/>
          </w:tcPr>
          <w:p>
            <w:pPr>
              <w:pStyle w:val="11"/>
            </w:pPr>
            <w:r>
              <w:t>项目名称</w:t>
            </w:r>
          </w:p>
        </w:tc>
        <w:tc>
          <w:tcPr>
            <w:tcW w:w="6095" w:type="dxa"/>
            <w:gridSpan w:val="3"/>
            <w:vAlign w:val="center"/>
          </w:tcPr>
          <w:p>
            <w:pPr>
              <w:pStyle w:val="13"/>
            </w:pPr>
            <w:r>
              <w:t>2025年市级非物质文化遗产保护专项资金（石财教[2024]126号）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w:t>
            </w:r>
          </w:p>
        </w:tc>
        <w:tc>
          <w:tcPr>
            <w:tcW w:w="2835" w:type="dxa"/>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发放市级非物质文化遗产传承人传习补助，做好非遗项目宣传推介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1.发放市级非物质文化遗产传承人传习补助，做好非遗项目宣传推介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≤9.9万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市级非遗项目传承人满意程度</w:t>
            </w:r>
          </w:p>
        </w:tc>
        <w:tc>
          <w:tcPr>
            <w:tcW w:w="5386" w:type="dxa"/>
            <w:vAlign w:val="center"/>
          </w:tcPr>
          <w:p>
            <w:pPr>
              <w:pStyle w:val="13"/>
            </w:pPr>
            <w:r>
              <w:t>市级非遗项目传承人满意程度</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20、2025年市级公共文化服务体系建设专项资金（石财教[2024]127号）绩效目标表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13010725P00019610011L</w:t>
            </w:r>
          </w:p>
        </w:tc>
        <w:tc>
          <w:tcPr>
            <w:tcW w:w="2835" w:type="dxa"/>
            <w:vAlign w:val="center"/>
          </w:tcPr>
          <w:p>
            <w:pPr>
              <w:pStyle w:val="11"/>
            </w:pPr>
            <w:r>
              <w:t>项目名称</w:t>
            </w:r>
          </w:p>
        </w:tc>
        <w:tc>
          <w:tcPr>
            <w:tcW w:w="6095" w:type="dxa"/>
            <w:gridSpan w:val="3"/>
            <w:vAlign w:val="center"/>
          </w:tcPr>
          <w:p>
            <w:pPr>
              <w:pStyle w:val="13"/>
            </w:pPr>
            <w:r>
              <w:t>2025年市级公共文化服务体系建设专项资金（石财教[2024]127号）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w:t>
            </w:r>
          </w:p>
        </w:tc>
        <w:tc>
          <w:tcPr>
            <w:tcW w:w="2835" w:type="dxa"/>
            <w:vAlign w:val="center"/>
          </w:tcPr>
          <w:p>
            <w:pPr>
              <w:pStyle w:val="11"/>
            </w:pPr>
            <w:r>
              <w:t>其中：财政    资金</w:t>
            </w:r>
          </w:p>
        </w:tc>
        <w:tc>
          <w:tcPr>
            <w:tcW w:w="2551" w:type="dxa"/>
            <w:vAlign w:val="center"/>
          </w:tcPr>
          <w:p>
            <w:pPr>
              <w:pStyle w:val="13"/>
            </w:pPr>
            <w: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2025年市级公共文化服务体系建设专项资金（石财教[2024]127号）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1.2025年市级公共文化服务体系建设专项资金（石财教[2024]127号）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≤1.25万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保障公共文化服务水平提高</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21、2025年市级文化旅游重点项目引导资金（石财教[2024]125号）绩效目标表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13010725P007408100020</w:t>
            </w:r>
          </w:p>
        </w:tc>
        <w:tc>
          <w:tcPr>
            <w:tcW w:w="2835" w:type="dxa"/>
            <w:vAlign w:val="center"/>
          </w:tcPr>
          <w:p>
            <w:pPr>
              <w:pStyle w:val="11"/>
            </w:pPr>
            <w:r>
              <w:t>项目名称</w:t>
            </w:r>
          </w:p>
        </w:tc>
        <w:tc>
          <w:tcPr>
            <w:tcW w:w="6095" w:type="dxa"/>
            <w:gridSpan w:val="3"/>
            <w:vAlign w:val="center"/>
          </w:tcPr>
          <w:p>
            <w:pPr>
              <w:pStyle w:val="13"/>
            </w:pPr>
            <w:r>
              <w:t>2025年市级文化旅游重点项目引导资金（石财教[2024]125号）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2025年市级文化旅游重点项目引导资金（石财教[2024]125号）旅游厕所1座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1.2025年市级文化旅游重点项目引导资金（石财教[2024]125号）旅游厕所1座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旅游厕所完成率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完成的旅游厕所建设中验收合格的占总量的比例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投入使用及时率（%）</w:t>
            </w:r>
          </w:p>
        </w:tc>
        <w:tc>
          <w:tcPr>
            <w:tcW w:w="5386" w:type="dxa"/>
            <w:vAlign w:val="center"/>
          </w:tcPr>
          <w:p>
            <w:pPr>
              <w:pStyle w:val="13"/>
            </w:pPr>
            <w:r>
              <w:t>按照工作计划投入使用的及时率（%）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补助资金</w:t>
            </w:r>
          </w:p>
        </w:tc>
        <w:tc>
          <w:tcPr>
            <w:tcW w:w="5386" w:type="dxa"/>
            <w:vAlign w:val="center"/>
          </w:tcPr>
          <w:p>
            <w:pPr>
              <w:pStyle w:val="13"/>
            </w:pPr>
            <w:r>
              <w:t>补助资金</w:t>
            </w:r>
          </w:p>
        </w:tc>
        <w:tc>
          <w:tcPr>
            <w:tcW w:w="2268" w:type="dxa"/>
            <w:vAlign w:val="center"/>
          </w:tcPr>
          <w:p>
            <w:pPr>
              <w:pStyle w:val="13"/>
            </w:pPr>
            <w:r>
              <w:t>≤6.5万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提高旅游服务水平</w:t>
            </w:r>
          </w:p>
        </w:tc>
        <w:tc>
          <w:tcPr>
            <w:tcW w:w="5386" w:type="dxa"/>
            <w:vAlign w:val="center"/>
          </w:tcPr>
          <w:p>
            <w:pPr>
              <w:pStyle w:val="13"/>
            </w:pPr>
            <w:r>
              <w:t>完成后对旅游服务起到的提升作用</w:t>
            </w:r>
          </w:p>
        </w:tc>
        <w:tc>
          <w:tcPr>
            <w:tcW w:w="2268" w:type="dxa"/>
            <w:vAlign w:val="center"/>
          </w:tcPr>
          <w:p>
            <w:pPr>
              <w:pStyle w:val="13"/>
            </w:pPr>
            <w:r>
              <w:t>进一步提升效果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22、2025年中央支持地方公共文化服务体系建设补助资金（石财教[2024]101号）绩效目标表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13010725P000196100128</w:t>
            </w:r>
          </w:p>
        </w:tc>
        <w:tc>
          <w:tcPr>
            <w:tcW w:w="2835" w:type="dxa"/>
            <w:vAlign w:val="center"/>
          </w:tcPr>
          <w:p>
            <w:pPr>
              <w:pStyle w:val="11"/>
            </w:pPr>
            <w:r>
              <w:t>项目名称</w:t>
            </w:r>
          </w:p>
        </w:tc>
        <w:tc>
          <w:tcPr>
            <w:tcW w:w="6095" w:type="dxa"/>
            <w:gridSpan w:val="3"/>
            <w:vAlign w:val="center"/>
          </w:tcPr>
          <w:p>
            <w:pPr>
              <w:pStyle w:val="13"/>
            </w:pPr>
            <w:r>
              <w:t>2025年中央支持地方公共文化服务体系建设补助资金（石财教[2024]101号）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25.25</w:t>
            </w:r>
          </w:p>
        </w:tc>
        <w:tc>
          <w:tcPr>
            <w:tcW w:w="2835" w:type="dxa"/>
            <w:vAlign w:val="center"/>
          </w:tcPr>
          <w:p>
            <w:pPr>
              <w:pStyle w:val="11"/>
            </w:pPr>
            <w:r>
              <w:t>其中：财政    资金</w:t>
            </w:r>
          </w:p>
        </w:tc>
        <w:tc>
          <w:tcPr>
            <w:tcW w:w="2551" w:type="dxa"/>
            <w:vAlign w:val="center"/>
          </w:tcPr>
          <w:p>
            <w:pPr>
              <w:pStyle w:val="13"/>
            </w:pPr>
            <w:r>
              <w:t>25.25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2025年中央支持地方公共文化服务体系建设补助资金（石财教[2024]101号）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5.00</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1.2025年中央支持地方公共文化服务体系建设补助资金（石财教[2024]101号）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≤25.25万</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保障公共文化服务水平提高</w:t>
            </w:r>
          </w:p>
        </w:tc>
        <w:tc>
          <w:tcPr>
            <w:tcW w:w="2268" w:type="dxa"/>
            <w:vAlign w:val="center"/>
          </w:tcPr>
          <w:p>
            <w:pPr>
              <w:pStyle w:val="13"/>
            </w:pPr>
            <w:r>
              <w:t>进一步提高</w:t>
            </w:r>
          </w:p>
        </w:tc>
        <w:tc>
          <w:tcPr>
            <w:tcW w:w="1276" w:type="dxa"/>
            <w:vAlign w:val="center"/>
          </w:tcPr>
          <w:p>
            <w:pPr>
              <w:pStyle w:val="13"/>
            </w:pPr>
            <w:r>
              <w:t>年度文旅局工作计划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23、段家楼文物保护劳务费绩效目标表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13010725P00019410005U</w:t>
            </w:r>
          </w:p>
        </w:tc>
        <w:tc>
          <w:tcPr>
            <w:tcW w:w="2835" w:type="dxa"/>
            <w:vAlign w:val="center"/>
          </w:tcPr>
          <w:p>
            <w:pPr>
              <w:pStyle w:val="11"/>
            </w:pPr>
            <w:r>
              <w:t>项目名称</w:t>
            </w:r>
          </w:p>
        </w:tc>
        <w:tc>
          <w:tcPr>
            <w:tcW w:w="6095" w:type="dxa"/>
            <w:gridSpan w:val="3"/>
            <w:vAlign w:val="center"/>
          </w:tcPr>
          <w:p>
            <w:pPr>
              <w:pStyle w:val="13"/>
            </w:pPr>
            <w:r>
              <w:t>段家楼文物保护劳务费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段家楼文物保护劳务费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25%</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rPr>
                <w:rFonts w:hint="eastAsia" w:eastAsia="方正书宋_GBK"/>
                <w:lang w:eastAsia="zh-CN"/>
              </w:rPr>
            </w:pPr>
            <w:r>
              <w:rPr>
                <w:rFonts w:hint="eastAsia"/>
                <w:lang w:val="en-US" w:eastAsia="zh-CN"/>
              </w:rPr>
              <w:t>75%</w:t>
            </w:r>
          </w:p>
        </w:tc>
        <w:tc>
          <w:tcPr>
            <w:tcW w:w="3544" w:type="dxa"/>
            <w:gridSpan w:val="2"/>
            <w:vAlign w:val="center"/>
          </w:tcPr>
          <w:p>
            <w:pPr>
              <w:pStyle w:val="14"/>
            </w:pPr>
            <w:r>
              <w:rPr>
                <w:rFonts w:hint="eastAsia"/>
                <w:lang w:val="en-US" w:eastAsia="zh-CN"/>
              </w:rPr>
              <w:t>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1.-段家楼文物保护劳务费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w:t>
            </w:r>
          </w:p>
        </w:tc>
        <w:tc>
          <w:tcPr>
            <w:tcW w:w="2268" w:type="dxa"/>
            <w:vAlign w:val="center"/>
          </w:tcPr>
          <w:p>
            <w:pPr>
              <w:pStyle w:val="13"/>
            </w:pPr>
            <w:r>
              <w:t>≥90%</w:t>
            </w:r>
          </w:p>
        </w:tc>
        <w:tc>
          <w:tcPr>
            <w:tcW w:w="1276" w:type="dxa"/>
            <w:vAlign w:val="center"/>
          </w:tcPr>
          <w:p>
            <w:pPr>
              <w:pStyle w:val="13"/>
            </w:pPr>
            <w:r>
              <w:t>参考2024年发放人数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工资发放率</w:t>
            </w:r>
          </w:p>
        </w:tc>
        <w:tc>
          <w:tcPr>
            <w:tcW w:w="2268" w:type="dxa"/>
            <w:vAlign w:val="center"/>
          </w:tcPr>
          <w:p>
            <w:pPr>
              <w:pStyle w:val="13"/>
            </w:pPr>
            <w:r>
              <w:t>≥90%</w:t>
            </w:r>
          </w:p>
        </w:tc>
        <w:tc>
          <w:tcPr>
            <w:tcW w:w="1276" w:type="dxa"/>
            <w:vAlign w:val="center"/>
          </w:tcPr>
          <w:p>
            <w:pPr>
              <w:pStyle w:val="13"/>
            </w:pPr>
            <w:r>
              <w:t>参考2024年发放人数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工资发放及时率和保险支付及时率</w:t>
            </w:r>
          </w:p>
        </w:tc>
        <w:tc>
          <w:tcPr>
            <w:tcW w:w="2268" w:type="dxa"/>
            <w:vAlign w:val="center"/>
          </w:tcPr>
          <w:p>
            <w:pPr>
              <w:pStyle w:val="13"/>
            </w:pPr>
            <w:r>
              <w:t>≥90%</w:t>
            </w:r>
          </w:p>
        </w:tc>
        <w:tc>
          <w:tcPr>
            <w:tcW w:w="1276" w:type="dxa"/>
            <w:vAlign w:val="center"/>
          </w:tcPr>
          <w:p>
            <w:pPr>
              <w:pStyle w:val="13"/>
            </w:pPr>
            <w:r>
              <w:t>参考2024年发放人数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≤35万</w:t>
            </w:r>
          </w:p>
        </w:tc>
        <w:tc>
          <w:tcPr>
            <w:tcW w:w="1276" w:type="dxa"/>
            <w:vAlign w:val="center"/>
          </w:tcPr>
          <w:p>
            <w:pPr>
              <w:pStyle w:val="13"/>
            </w:pPr>
            <w:r>
              <w:t>参考2024年发放人数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保障段家楼工作顺利开展</w:t>
            </w:r>
          </w:p>
        </w:tc>
        <w:tc>
          <w:tcPr>
            <w:tcW w:w="5386" w:type="dxa"/>
            <w:vAlign w:val="center"/>
          </w:tcPr>
          <w:p>
            <w:pPr>
              <w:pStyle w:val="13"/>
            </w:pPr>
            <w:r>
              <w:t>保障段家楼工作顺利开展</w:t>
            </w:r>
          </w:p>
        </w:tc>
        <w:tc>
          <w:tcPr>
            <w:tcW w:w="2268" w:type="dxa"/>
            <w:vAlign w:val="center"/>
          </w:tcPr>
          <w:p>
            <w:pPr>
              <w:pStyle w:val="13"/>
            </w:pPr>
            <w:r>
              <w:t>进一步保障</w:t>
            </w:r>
          </w:p>
        </w:tc>
        <w:tc>
          <w:tcPr>
            <w:tcW w:w="1276" w:type="dxa"/>
            <w:vAlign w:val="center"/>
          </w:tcPr>
          <w:p>
            <w:pPr>
              <w:pStyle w:val="13"/>
            </w:pPr>
            <w:r>
              <w:t>参考2024年发放人数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被发放对象满意度</w:t>
            </w:r>
          </w:p>
        </w:tc>
        <w:tc>
          <w:tcPr>
            <w:tcW w:w="5386" w:type="dxa"/>
            <w:vAlign w:val="center"/>
          </w:tcPr>
          <w:p>
            <w:pPr>
              <w:pStyle w:val="13"/>
            </w:pPr>
            <w:r>
              <w:t>被发放对象满意度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24、劳务派遣工资及社保费绩效目标表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13010725P00021010232E</w:t>
            </w:r>
          </w:p>
        </w:tc>
        <w:tc>
          <w:tcPr>
            <w:tcW w:w="2835" w:type="dxa"/>
            <w:vAlign w:val="center"/>
          </w:tcPr>
          <w:p>
            <w:pPr>
              <w:pStyle w:val="11"/>
            </w:pPr>
            <w:r>
              <w:t>项目名称</w:t>
            </w:r>
          </w:p>
        </w:tc>
        <w:tc>
          <w:tcPr>
            <w:tcW w:w="6095" w:type="dxa"/>
            <w:gridSpan w:val="3"/>
            <w:vAlign w:val="center"/>
          </w:tcPr>
          <w:p>
            <w:pPr>
              <w:pStyle w:val="13"/>
            </w:pPr>
            <w:r>
              <w:t>劳务派遣工资及社保费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劳务派遣工资及社保费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r>
              <w:rPr>
                <w:rFonts w:hint="eastAsia"/>
                <w:lang w:val="en-US" w:eastAsia="zh-CN"/>
              </w:rPr>
              <w:t>50%</w:t>
            </w:r>
          </w:p>
        </w:tc>
        <w:tc>
          <w:tcPr>
            <w:tcW w:w="2551" w:type="dxa"/>
            <w:vAlign w:val="center"/>
          </w:tcPr>
          <w:p>
            <w:pPr>
              <w:pStyle w:val="14"/>
              <w:rPr>
                <w:rFonts w:hint="eastAsia" w:eastAsia="方正书宋_GBK"/>
                <w:lang w:eastAsia="zh-CN"/>
              </w:rPr>
            </w:pPr>
          </w:p>
        </w:tc>
        <w:tc>
          <w:tcPr>
            <w:tcW w:w="3544" w:type="dxa"/>
            <w:gridSpan w:val="2"/>
            <w:vAlign w:val="center"/>
          </w:tcPr>
          <w:p>
            <w:pPr>
              <w:pStyle w:val="14"/>
              <w:rPr>
                <w:rFonts w:hint="eastAsia" w:eastAsia="方正书宋_GBK"/>
                <w:lang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1.劳务派遣工资及社保费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劳务派遣工资表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≥90%</w:t>
            </w:r>
          </w:p>
        </w:tc>
        <w:tc>
          <w:tcPr>
            <w:tcW w:w="1276" w:type="dxa"/>
            <w:vAlign w:val="center"/>
          </w:tcPr>
          <w:p>
            <w:pPr>
              <w:pStyle w:val="13"/>
            </w:pPr>
            <w:r>
              <w:t>劳务派遣工资表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w:t>
            </w:r>
          </w:p>
        </w:tc>
        <w:tc>
          <w:tcPr>
            <w:tcW w:w="1276" w:type="dxa"/>
            <w:vAlign w:val="center"/>
          </w:tcPr>
          <w:p>
            <w:pPr>
              <w:pStyle w:val="13"/>
            </w:pPr>
            <w:r>
              <w:t>劳务派遣工资表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≤22万</w:t>
            </w:r>
          </w:p>
        </w:tc>
        <w:tc>
          <w:tcPr>
            <w:tcW w:w="1276" w:type="dxa"/>
            <w:vAlign w:val="center"/>
          </w:tcPr>
          <w:p>
            <w:pPr>
              <w:pStyle w:val="13"/>
            </w:pPr>
            <w:r>
              <w:t>劳务派遣工资表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进一步推动</w:t>
            </w:r>
          </w:p>
        </w:tc>
        <w:tc>
          <w:tcPr>
            <w:tcW w:w="1276" w:type="dxa"/>
            <w:vAlign w:val="center"/>
          </w:tcPr>
          <w:p>
            <w:pPr>
              <w:pStyle w:val="13"/>
            </w:pPr>
            <w:r>
              <w:t>劳务派遣工资表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25、劳务派遣工资及社保费（免费开放）绩效目标表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13010725P000059100015</w:t>
            </w:r>
          </w:p>
        </w:tc>
        <w:tc>
          <w:tcPr>
            <w:tcW w:w="2835" w:type="dxa"/>
            <w:vAlign w:val="center"/>
          </w:tcPr>
          <w:p>
            <w:pPr>
              <w:pStyle w:val="11"/>
            </w:pPr>
            <w:r>
              <w:t>项目名称</w:t>
            </w:r>
          </w:p>
        </w:tc>
        <w:tc>
          <w:tcPr>
            <w:tcW w:w="6095" w:type="dxa"/>
            <w:gridSpan w:val="3"/>
            <w:vAlign w:val="center"/>
          </w:tcPr>
          <w:p>
            <w:pPr>
              <w:pStyle w:val="13"/>
            </w:pPr>
            <w:r>
              <w:t>劳务派遣工资及社保费（免费开放）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47.30</w:t>
            </w:r>
          </w:p>
        </w:tc>
        <w:tc>
          <w:tcPr>
            <w:tcW w:w="2835" w:type="dxa"/>
            <w:vAlign w:val="center"/>
          </w:tcPr>
          <w:p>
            <w:pPr>
              <w:pStyle w:val="11"/>
            </w:pPr>
            <w:r>
              <w:t>其中：财政    资金</w:t>
            </w:r>
          </w:p>
        </w:tc>
        <w:tc>
          <w:tcPr>
            <w:tcW w:w="2551" w:type="dxa"/>
            <w:vAlign w:val="center"/>
          </w:tcPr>
          <w:p>
            <w:pPr>
              <w:pStyle w:val="13"/>
              <w:rPr>
                <w:rFonts w:hint="eastAsia" w:eastAsia="方正书宋_GBK"/>
                <w:lang w:eastAsia="zh-CN"/>
              </w:rPr>
            </w:pPr>
            <w:r>
              <w:rPr>
                <w:rFonts w:hint="eastAsia"/>
                <w:lang w:val="en-US" w:eastAsia="zh-CN"/>
              </w:rPr>
              <w:t>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支付劳务派遣人员工资及社保费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p>
        </w:tc>
        <w:tc>
          <w:tcPr>
            <w:tcW w:w="2835" w:type="dxa"/>
            <w:textDirection w:val="lrTb"/>
            <w:vAlign w:val="center"/>
          </w:tcPr>
          <w:p>
            <w:pPr>
              <w:pStyle w:val="14"/>
              <w:ind w:firstLine="0" w:firstLineChars="0"/>
            </w:pPr>
            <w:r>
              <w:t xml:space="preserve"> </w:t>
            </w:r>
            <w:r>
              <w:rPr>
                <w:rFonts w:hint="eastAsia"/>
                <w:lang w:val="en-US" w:eastAsia="zh-CN"/>
              </w:rPr>
              <w:t>50%</w:t>
            </w:r>
          </w:p>
        </w:tc>
        <w:tc>
          <w:tcPr>
            <w:tcW w:w="2551" w:type="dxa"/>
            <w:textDirection w:val="lrTb"/>
            <w:vAlign w:val="center"/>
          </w:tcPr>
          <w:p>
            <w:pPr>
              <w:pStyle w:val="14"/>
              <w:ind w:firstLine="0" w:firstLineChars="0"/>
            </w:pPr>
          </w:p>
        </w:tc>
        <w:tc>
          <w:tcPr>
            <w:tcW w:w="3544" w:type="dxa"/>
            <w:gridSpan w:val="2"/>
            <w:textDirection w:val="lrTb"/>
            <w:vAlign w:val="center"/>
          </w:tcPr>
          <w:p>
            <w:pPr>
              <w:pStyle w:val="14"/>
              <w:ind w:firstLine="0" w:firstLineChars="0"/>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1.劳务派遣工资及社保费（免费开放）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w:t>
            </w:r>
          </w:p>
        </w:tc>
        <w:tc>
          <w:tcPr>
            <w:tcW w:w="2268" w:type="dxa"/>
            <w:vAlign w:val="center"/>
          </w:tcPr>
          <w:p>
            <w:pPr>
              <w:pStyle w:val="13"/>
            </w:pPr>
            <w:r>
              <w:t>≤15人</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工资发放率</w:t>
            </w:r>
          </w:p>
        </w:tc>
        <w:tc>
          <w:tcPr>
            <w:tcW w:w="2268" w:type="dxa"/>
            <w:vAlign w:val="center"/>
          </w:tcPr>
          <w:p>
            <w:pPr>
              <w:pStyle w:val="13"/>
            </w:pPr>
            <w:r>
              <w:t>≥90%</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工资发放及时率和保险支付及时率</w:t>
            </w:r>
          </w:p>
        </w:tc>
        <w:tc>
          <w:tcPr>
            <w:tcW w:w="2268" w:type="dxa"/>
            <w:vAlign w:val="center"/>
          </w:tcPr>
          <w:p>
            <w:pPr>
              <w:pStyle w:val="13"/>
            </w:pPr>
            <w:r>
              <w:t>≥90%</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w:t>
            </w:r>
            <w:r>
              <w:rPr>
                <w:rFonts w:hint="eastAsia"/>
                <w:lang w:val="en-US" w:eastAsia="zh-CN"/>
              </w:rPr>
              <w:t>25.3</w:t>
            </w:r>
            <w:r>
              <w:t>元</w:t>
            </w:r>
          </w:p>
        </w:tc>
        <w:tc>
          <w:tcPr>
            <w:tcW w:w="1276" w:type="dxa"/>
            <w:vAlign w:val="center"/>
          </w:tcPr>
          <w:p>
            <w:pPr>
              <w:pStyle w:val="13"/>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保障日常工作顺利开展</w:t>
            </w:r>
          </w:p>
        </w:tc>
        <w:tc>
          <w:tcPr>
            <w:tcW w:w="5386" w:type="dxa"/>
            <w:vAlign w:val="center"/>
          </w:tcPr>
          <w:p>
            <w:pPr>
              <w:pStyle w:val="13"/>
            </w:pPr>
            <w:r>
              <w:t>保障日常工作顺利开展</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被发放对象满意度</w:t>
            </w:r>
          </w:p>
        </w:tc>
        <w:tc>
          <w:tcPr>
            <w:tcW w:w="5386" w:type="dxa"/>
            <w:vAlign w:val="center"/>
          </w:tcPr>
          <w:p>
            <w:pPr>
              <w:pStyle w:val="13"/>
            </w:pPr>
            <w:r>
              <w:t>被发放对象满意度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26、图书证押金绩效目标表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13010725P00019610007E</w:t>
            </w:r>
          </w:p>
        </w:tc>
        <w:tc>
          <w:tcPr>
            <w:tcW w:w="2835" w:type="dxa"/>
            <w:vAlign w:val="center"/>
          </w:tcPr>
          <w:p>
            <w:pPr>
              <w:pStyle w:val="11"/>
            </w:pPr>
            <w:r>
              <w:t>项目名称</w:t>
            </w:r>
          </w:p>
        </w:tc>
        <w:tc>
          <w:tcPr>
            <w:tcW w:w="6095" w:type="dxa"/>
            <w:gridSpan w:val="3"/>
            <w:vAlign w:val="center"/>
          </w:tcPr>
          <w:p>
            <w:pPr>
              <w:pStyle w:val="13"/>
            </w:pPr>
            <w:r>
              <w:t>图书证押金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支付退证时退给读者个人图书证押金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p>
        </w:tc>
        <w:tc>
          <w:tcPr>
            <w:tcW w:w="2835" w:type="dxa"/>
            <w:textDirection w:val="lrTb"/>
            <w:vAlign w:val="center"/>
          </w:tcPr>
          <w:p>
            <w:pPr>
              <w:pStyle w:val="14"/>
              <w:ind w:firstLine="0" w:firstLineChars="0"/>
            </w:pPr>
            <w:r>
              <w:t xml:space="preserve"> </w:t>
            </w:r>
            <w:r>
              <w:rPr>
                <w:rFonts w:hint="eastAsia"/>
                <w:lang w:val="en-US" w:eastAsia="zh-CN"/>
              </w:rPr>
              <w:t>50%</w:t>
            </w:r>
          </w:p>
        </w:tc>
        <w:tc>
          <w:tcPr>
            <w:tcW w:w="2551" w:type="dxa"/>
            <w:textDirection w:val="lrTb"/>
            <w:vAlign w:val="center"/>
          </w:tcPr>
          <w:p>
            <w:pPr>
              <w:pStyle w:val="14"/>
              <w:ind w:firstLine="0" w:firstLineChars="0"/>
            </w:pPr>
          </w:p>
        </w:tc>
        <w:tc>
          <w:tcPr>
            <w:tcW w:w="3544" w:type="dxa"/>
            <w:gridSpan w:val="2"/>
            <w:textDirection w:val="lrTb"/>
            <w:vAlign w:val="center"/>
          </w:tcPr>
          <w:p>
            <w:pPr>
              <w:pStyle w:val="14"/>
              <w:ind w:firstLine="0" w:firstLineChars="0"/>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1.支付退证时退给读者个人图书证押金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退款数</w:t>
            </w:r>
          </w:p>
        </w:tc>
        <w:tc>
          <w:tcPr>
            <w:tcW w:w="5386" w:type="dxa"/>
            <w:vAlign w:val="center"/>
          </w:tcPr>
          <w:p>
            <w:pPr>
              <w:pStyle w:val="13"/>
            </w:pPr>
            <w:r>
              <w:t>退款数占应退款的比例</w:t>
            </w:r>
          </w:p>
        </w:tc>
        <w:tc>
          <w:tcPr>
            <w:tcW w:w="2268" w:type="dxa"/>
            <w:vAlign w:val="center"/>
          </w:tcPr>
          <w:p>
            <w:pPr>
              <w:pStyle w:val="13"/>
            </w:pPr>
            <w:r>
              <w:t>≥90%</w:t>
            </w:r>
          </w:p>
        </w:tc>
        <w:tc>
          <w:tcPr>
            <w:tcW w:w="1276" w:type="dxa"/>
            <w:vAlign w:val="center"/>
          </w:tcPr>
          <w:p>
            <w:pPr>
              <w:pStyle w:val="13"/>
            </w:pPr>
            <w:r>
              <w:t>实际退证情况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退款资金发放率</w:t>
            </w:r>
          </w:p>
        </w:tc>
        <w:tc>
          <w:tcPr>
            <w:tcW w:w="2268" w:type="dxa"/>
            <w:vAlign w:val="center"/>
          </w:tcPr>
          <w:p>
            <w:pPr>
              <w:pStyle w:val="13"/>
            </w:pPr>
            <w:r>
              <w:t>≥90%</w:t>
            </w:r>
          </w:p>
        </w:tc>
        <w:tc>
          <w:tcPr>
            <w:tcW w:w="1276" w:type="dxa"/>
            <w:vAlign w:val="center"/>
          </w:tcPr>
          <w:p>
            <w:pPr>
              <w:pStyle w:val="13"/>
            </w:pPr>
            <w:r>
              <w:t>实际退证情况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退款资金发放及时率</w:t>
            </w:r>
          </w:p>
        </w:tc>
        <w:tc>
          <w:tcPr>
            <w:tcW w:w="2268" w:type="dxa"/>
            <w:vAlign w:val="center"/>
          </w:tcPr>
          <w:p>
            <w:pPr>
              <w:pStyle w:val="13"/>
            </w:pPr>
            <w:r>
              <w:t>≥90%</w:t>
            </w:r>
          </w:p>
        </w:tc>
        <w:tc>
          <w:tcPr>
            <w:tcW w:w="1276" w:type="dxa"/>
            <w:vAlign w:val="center"/>
          </w:tcPr>
          <w:p>
            <w:pPr>
              <w:pStyle w:val="13"/>
            </w:pPr>
            <w:r>
              <w:t>实际退证情况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≤2万</w:t>
            </w:r>
          </w:p>
        </w:tc>
        <w:tc>
          <w:tcPr>
            <w:tcW w:w="1276" w:type="dxa"/>
            <w:vAlign w:val="center"/>
          </w:tcPr>
          <w:p>
            <w:pPr>
              <w:pStyle w:val="13"/>
            </w:pPr>
            <w:r>
              <w:t>实际退证情况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退证工作顺利开展</w:t>
            </w:r>
          </w:p>
        </w:tc>
        <w:tc>
          <w:tcPr>
            <w:tcW w:w="5386" w:type="dxa"/>
            <w:vAlign w:val="center"/>
          </w:tcPr>
          <w:p>
            <w:pPr>
              <w:pStyle w:val="13"/>
            </w:pPr>
            <w:r>
              <w:t>退证工作顺利开展</w:t>
            </w:r>
          </w:p>
        </w:tc>
        <w:tc>
          <w:tcPr>
            <w:tcW w:w="2268" w:type="dxa"/>
            <w:vAlign w:val="center"/>
          </w:tcPr>
          <w:p>
            <w:pPr>
              <w:pStyle w:val="13"/>
            </w:pPr>
            <w:r>
              <w:t>进一步保障</w:t>
            </w:r>
          </w:p>
          <w:p>
            <w:pPr>
              <w:pStyle w:val="13"/>
            </w:pPr>
          </w:p>
        </w:tc>
        <w:tc>
          <w:tcPr>
            <w:tcW w:w="1276" w:type="dxa"/>
            <w:vAlign w:val="center"/>
          </w:tcPr>
          <w:p>
            <w:pPr>
              <w:pStyle w:val="13"/>
            </w:pPr>
            <w:r>
              <w:t>实际退证情况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被退款对象满意度</w:t>
            </w:r>
          </w:p>
        </w:tc>
        <w:tc>
          <w:tcPr>
            <w:tcW w:w="5386" w:type="dxa"/>
            <w:vAlign w:val="center"/>
          </w:tcPr>
          <w:p>
            <w:pPr>
              <w:pStyle w:val="13"/>
            </w:pPr>
            <w:r>
              <w:t>被退款对象满意度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27、中央专项彩票公益金支持地方社会公益事业发展资金绩效目标表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13010724P00010810007A</w:t>
            </w:r>
          </w:p>
        </w:tc>
        <w:tc>
          <w:tcPr>
            <w:tcW w:w="2835" w:type="dxa"/>
            <w:vAlign w:val="center"/>
          </w:tcPr>
          <w:p>
            <w:pPr>
              <w:pStyle w:val="11"/>
            </w:pPr>
            <w:r>
              <w:t>项目名称</w:t>
            </w:r>
          </w:p>
        </w:tc>
        <w:tc>
          <w:tcPr>
            <w:tcW w:w="6095" w:type="dxa"/>
            <w:gridSpan w:val="3"/>
            <w:vAlign w:val="center"/>
          </w:tcPr>
          <w:p>
            <w:pPr>
              <w:pStyle w:val="13"/>
            </w:pPr>
            <w:r>
              <w:t>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337.00</w:t>
            </w:r>
          </w:p>
        </w:tc>
        <w:tc>
          <w:tcPr>
            <w:tcW w:w="2835" w:type="dxa"/>
            <w:vAlign w:val="center"/>
          </w:tcPr>
          <w:p>
            <w:pPr>
              <w:pStyle w:val="11"/>
            </w:pPr>
            <w:r>
              <w:t>其中：财政    资金</w:t>
            </w:r>
          </w:p>
        </w:tc>
        <w:tc>
          <w:tcPr>
            <w:tcW w:w="2551" w:type="dxa"/>
            <w:vAlign w:val="center"/>
          </w:tcPr>
          <w:p>
            <w:pPr>
              <w:pStyle w:val="13"/>
            </w:pPr>
            <w:r>
              <w:t>337.00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矿区群众文体活动中心建设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eastAsia" w:eastAsia="方正书宋_GBK"/>
                <w:lang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1.中央专项彩票公益金支持地方社会公益事业发展资金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≤337</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提高公共文化服务水平</w:t>
            </w:r>
          </w:p>
        </w:tc>
        <w:tc>
          <w:tcPr>
            <w:tcW w:w="5386" w:type="dxa"/>
            <w:vAlign w:val="center"/>
          </w:tcPr>
          <w:p>
            <w:pPr>
              <w:pStyle w:val="13"/>
            </w:pPr>
            <w:r>
              <w:t>工程完工后对项目起到的提升作用</w:t>
            </w:r>
          </w:p>
        </w:tc>
        <w:tc>
          <w:tcPr>
            <w:tcW w:w="2268" w:type="dxa"/>
            <w:vAlign w:val="center"/>
          </w:tcPr>
          <w:p>
            <w:pPr>
              <w:pStyle w:val="13"/>
            </w:pPr>
            <w:r>
              <w:t>进一步提升服务水平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石家庄市井陉矿区文化广电体育和旅游局（含所属单位）上年末固定资产金额为</w:t>
      </w:r>
      <w:r>
        <w:rPr>
          <w:rFonts w:hint="eastAsia" w:ascii="仿宋_GB2312" w:hAnsi="仿宋_GB2312" w:eastAsia="仿宋_GB2312" w:cs="仿宋_GB2312"/>
          <w:b w:val="0"/>
          <w:color w:val="000000"/>
          <w:sz w:val="32"/>
          <w:szCs w:val="32"/>
          <w:lang w:val="en-US" w:eastAsia="zh-CN"/>
        </w:rPr>
        <w:t>596.26</w:t>
      </w:r>
      <w:r>
        <w:rPr>
          <w:rFonts w:hint="eastAsia" w:ascii="仿宋_GB2312" w:hAnsi="仿宋_GB2312" w:eastAsia="仿宋_GB2312" w:cs="仿宋_GB2312"/>
          <w:b w:val="0"/>
          <w:color w:val="000000"/>
          <w:sz w:val="32"/>
          <w:szCs w:val="32"/>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eastAsia" w:eastAsia="方正书宋_GBK"/>
                <w:lang w:eastAsia="zh-CN"/>
              </w:rPr>
            </w:pPr>
            <w:r>
              <w:rPr>
                <w:rFonts w:hint="eastAsia"/>
                <w:lang w:val="en-US" w:eastAsia="zh-CN"/>
              </w:rPr>
              <w:t>596.26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6096</w:t>
            </w:r>
          </w:p>
        </w:tc>
        <w:tc>
          <w:tcPr>
            <w:tcW w:w="2835" w:type="dxa"/>
            <w:vAlign w:val="center"/>
          </w:tcPr>
          <w:p>
            <w:pPr>
              <w:pStyle w:val="12"/>
            </w:pPr>
            <w:r>
              <w:t>232.35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eastAsia" w:eastAsia="方正书宋_GBK"/>
                <w:lang w:val="en-US" w:eastAsia="zh-CN"/>
              </w:rPr>
            </w:pPr>
            <w:r>
              <w:rPr>
                <w:rFonts w:hint="eastAsia"/>
                <w:lang w:val="en-US" w:eastAsia="zh-CN"/>
              </w:rPr>
              <w:t>343.94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38904805">
    <w:nsid w:val="67A594E5"/>
    <w:multiLevelType w:val="singleLevel"/>
    <w:tmpl w:val="67A594E5"/>
    <w:lvl w:ilvl="0" w:tentative="1">
      <w:start w:val="6"/>
      <w:numFmt w:val="chineseCounting"/>
      <w:suff w:val="nothing"/>
      <w:lvlText w:val="%1、"/>
      <w:lvlJc w:val="left"/>
    </w:lvl>
  </w:abstractNum>
  <w:num w:numId="1">
    <w:abstractNumId w:val="173890480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7577B8"/>
    <w:rsid w:val="065B458F"/>
    <w:rsid w:val="317F6A54"/>
    <w:rsid w:val="6C2973AC"/>
    <w:rsid w:val="73E11606"/>
    <w:rsid w:val="7516347A"/>
    <w:rsid w:val="799D7B5B"/>
    <w:rsid w:val="7BE13F04"/>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2025-02-07T12:49:00Z</dcterms:created>
  <dc:creator>Administrator</dc:creator>
  <cp:lastModifiedBy>Administrator</cp:lastModifiedBy>
  <dcterms:modified xsi:type="dcterms:W3CDTF">2025-02-07T06:13:55Z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