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pPr/>
      <w:r>
        <w:fldChar w:fldCharType="end"/>
      </w:r>
    </w:p>
    <w:p>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542石家庄市井陉矿区信访局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243.80</w:t>
            </w:r>
          </w:p>
        </w:tc>
        <w:tc>
          <w:tcPr>
            <w:tcW w:w="4535" w:type="dxa"/>
            <w:vAlign w:val="center"/>
          </w:tcPr>
          <w:p>
            <w:pPr>
              <w:pStyle w:val="13"/>
            </w:pPr>
            <w:r>
              <w:t>一、一般公共服务支出</w:t>
            </w:r>
          </w:p>
        </w:tc>
        <w:tc>
          <w:tcPr>
            <w:tcW w:w="2126" w:type="dxa"/>
            <w:vAlign w:val="center"/>
          </w:tcPr>
          <w:p>
            <w:pPr>
              <w:pStyle w:val="12"/>
            </w:pPr>
            <w:r>
              <w:t>221.94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243.80</w:t>
            </w:r>
          </w:p>
        </w:tc>
        <w:tc>
          <w:tcPr>
            <w:tcW w:w="4535" w:type="dxa"/>
            <w:vAlign w:val="center"/>
          </w:tcPr>
          <w:p>
            <w:pPr>
              <w:pStyle w:val="15"/>
            </w:pPr>
            <w:r>
              <w:t>本年支出合计</w:t>
            </w:r>
          </w:p>
        </w:tc>
        <w:tc>
          <w:tcPr>
            <w:tcW w:w="2126" w:type="dxa"/>
            <w:vAlign w:val="center"/>
          </w:tcPr>
          <w:p>
            <w:pPr>
              <w:pStyle w:val="16"/>
            </w:pPr>
            <w:r>
              <w:t>243.80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243.80</w:t>
            </w:r>
          </w:p>
        </w:tc>
        <w:tc>
          <w:tcPr>
            <w:tcW w:w="4535" w:type="dxa"/>
            <w:vAlign w:val="center"/>
          </w:tcPr>
          <w:p>
            <w:pPr>
              <w:pStyle w:val="15"/>
            </w:pPr>
            <w:r>
              <w:t>支出总计</w:t>
            </w:r>
          </w:p>
        </w:tc>
        <w:tc>
          <w:tcPr>
            <w:tcW w:w="2126" w:type="dxa"/>
            <w:vAlign w:val="center"/>
          </w:tcPr>
          <w:p>
            <w:pPr>
              <w:pStyle w:val="16"/>
            </w:pPr>
            <w:r>
              <w:t>243.80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542石家庄市井陉矿区信访局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243.80</w:t>
            </w:r>
          </w:p>
        </w:tc>
        <w:tc>
          <w:tcPr>
            <w:tcW w:w="1134" w:type="dxa"/>
            <w:vAlign w:val="center"/>
          </w:tcPr>
          <w:p>
            <w:pPr>
              <w:pStyle w:val="16"/>
            </w:pPr>
            <w:r>
              <w:t>243.80</w:t>
            </w:r>
          </w:p>
        </w:tc>
        <w:tc>
          <w:tcPr>
            <w:tcW w:w="1134" w:type="dxa"/>
            <w:vAlign w:val="center"/>
          </w:tcPr>
          <w:p>
            <w:pPr>
              <w:pStyle w:val="16"/>
            </w:pPr>
            <w:r>
              <w:t>243.80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221.94</w:t>
            </w:r>
          </w:p>
        </w:tc>
        <w:tc>
          <w:tcPr>
            <w:tcW w:w="1134" w:type="dxa"/>
            <w:vAlign w:val="center"/>
          </w:tcPr>
          <w:p>
            <w:pPr>
              <w:pStyle w:val="12"/>
            </w:pPr>
            <w:r>
              <w:t>221.94</w:t>
            </w:r>
          </w:p>
        </w:tc>
        <w:tc>
          <w:tcPr>
            <w:tcW w:w="1134" w:type="dxa"/>
            <w:vAlign w:val="center"/>
          </w:tcPr>
          <w:p>
            <w:pPr>
              <w:pStyle w:val="12"/>
            </w:pPr>
            <w:r>
              <w:t>221.94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221.94</w:t>
            </w:r>
          </w:p>
        </w:tc>
        <w:tc>
          <w:tcPr>
            <w:tcW w:w="1134" w:type="dxa"/>
            <w:vAlign w:val="center"/>
          </w:tcPr>
          <w:p>
            <w:pPr>
              <w:pStyle w:val="12"/>
            </w:pPr>
            <w:r>
              <w:t>221.94</w:t>
            </w:r>
          </w:p>
        </w:tc>
        <w:tc>
          <w:tcPr>
            <w:tcW w:w="1134" w:type="dxa"/>
            <w:vAlign w:val="center"/>
          </w:tcPr>
          <w:p>
            <w:pPr>
              <w:pStyle w:val="12"/>
            </w:pPr>
            <w:r>
              <w:t>221.94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211.94</w:t>
            </w:r>
          </w:p>
        </w:tc>
        <w:tc>
          <w:tcPr>
            <w:tcW w:w="1134" w:type="dxa"/>
            <w:vAlign w:val="center"/>
          </w:tcPr>
          <w:p>
            <w:pPr>
              <w:pStyle w:val="12"/>
            </w:pPr>
            <w:r>
              <w:t>211.94</w:t>
            </w:r>
          </w:p>
        </w:tc>
        <w:tc>
          <w:tcPr>
            <w:tcW w:w="1134" w:type="dxa"/>
            <w:vAlign w:val="center"/>
          </w:tcPr>
          <w:p>
            <w:pPr>
              <w:pStyle w:val="12"/>
            </w:pPr>
            <w:r>
              <w:t>211.94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8.16</w:t>
            </w:r>
          </w:p>
        </w:tc>
        <w:tc>
          <w:tcPr>
            <w:tcW w:w="1134" w:type="dxa"/>
            <w:vAlign w:val="center"/>
          </w:tcPr>
          <w:p>
            <w:pPr>
              <w:pStyle w:val="12"/>
            </w:pPr>
            <w:r>
              <w:t>8.16</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7.72</w:t>
            </w:r>
          </w:p>
        </w:tc>
        <w:tc>
          <w:tcPr>
            <w:tcW w:w="1134" w:type="dxa"/>
            <w:vAlign w:val="center"/>
          </w:tcPr>
          <w:p>
            <w:pPr>
              <w:pStyle w:val="12"/>
            </w:pPr>
            <w:r>
              <w:t>7.72</w:t>
            </w:r>
          </w:p>
        </w:tc>
        <w:tc>
          <w:tcPr>
            <w:tcW w:w="1134" w:type="dxa"/>
            <w:vAlign w:val="center"/>
          </w:tcPr>
          <w:p>
            <w:pPr>
              <w:pStyle w:val="12"/>
            </w:pPr>
            <w:r>
              <w:t>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7.72</w:t>
            </w:r>
          </w:p>
        </w:tc>
        <w:tc>
          <w:tcPr>
            <w:tcW w:w="1134" w:type="dxa"/>
            <w:vAlign w:val="center"/>
          </w:tcPr>
          <w:p>
            <w:pPr>
              <w:pStyle w:val="12"/>
            </w:pPr>
            <w:r>
              <w:t>7.72</w:t>
            </w:r>
          </w:p>
        </w:tc>
        <w:tc>
          <w:tcPr>
            <w:tcW w:w="1134" w:type="dxa"/>
            <w:vAlign w:val="center"/>
          </w:tcPr>
          <w:p>
            <w:pPr>
              <w:pStyle w:val="12"/>
            </w:pPr>
            <w:r>
              <w:t>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0.44</w:t>
            </w:r>
          </w:p>
        </w:tc>
        <w:tc>
          <w:tcPr>
            <w:tcW w:w="1134" w:type="dxa"/>
            <w:vAlign w:val="center"/>
          </w:tcPr>
          <w:p>
            <w:pPr>
              <w:pStyle w:val="12"/>
            </w:pPr>
            <w:r>
              <w:t>0.44</w:t>
            </w:r>
          </w:p>
        </w:tc>
        <w:tc>
          <w:tcPr>
            <w:tcW w:w="1134" w:type="dxa"/>
            <w:vAlign w:val="center"/>
          </w:tcPr>
          <w:p>
            <w:pPr>
              <w:pStyle w:val="12"/>
            </w:pPr>
            <w:r>
              <w:t>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0.44</w:t>
            </w:r>
          </w:p>
        </w:tc>
        <w:tc>
          <w:tcPr>
            <w:tcW w:w="1134" w:type="dxa"/>
            <w:vAlign w:val="center"/>
          </w:tcPr>
          <w:p>
            <w:pPr>
              <w:pStyle w:val="12"/>
            </w:pPr>
            <w:r>
              <w:t>0.44</w:t>
            </w:r>
          </w:p>
        </w:tc>
        <w:tc>
          <w:tcPr>
            <w:tcW w:w="1134" w:type="dxa"/>
            <w:vAlign w:val="center"/>
          </w:tcPr>
          <w:p>
            <w:pPr>
              <w:pStyle w:val="12"/>
            </w:pPr>
            <w:r>
              <w:t>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7.30</w:t>
            </w:r>
          </w:p>
        </w:tc>
        <w:tc>
          <w:tcPr>
            <w:tcW w:w="1134" w:type="dxa"/>
            <w:vAlign w:val="center"/>
          </w:tcPr>
          <w:p>
            <w:pPr>
              <w:pStyle w:val="12"/>
            </w:pPr>
            <w:r>
              <w:t>7.30</w:t>
            </w:r>
          </w:p>
        </w:tc>
        <w:tc>
          <w:tcPr>
            <w:tcW w:w="1134" w:type="dxa"/>
            <w:vAlign w:val="center"/>
          </w:tcPr>
          <w:p>
            <w:pPr>
              <w:pStyle w:val="12"/>
            </w:pPr>
            <w:r>
              <w:t>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7.30</w:t>
            </w:r>
          </w:p>
        </w:tc>
        <w:tc>
          <w:tcPr>
            <w:tcW w:w="1134" w:type="dxa"/>
            <w:vAlign w:val="center"/>
          </w:tcPr>
          <w:p>
            <w:pPr>
              <w:pStyle w:val="12"/>
            </w:pPr>
            <w:r>
              <w:t>7.30</w:t>
            </w:r>
          </w:p>
        </w:tc>
        <w:tc>
          <w:tcPr>
            <w:tcW w:w="1134" w:type="dxa"/>
            <w:vAlign w:val="center"/>
          </w:tcPr>
          <w:p>
            <w:pPr>
              <w:pStyle w:val="12"/>
            </w:pPr>
            <w:r>
              <w:t>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4.10</w:t>
            </w:r>
          </w:p>
        </w:tc>
        <w:tc>
          <w:tcPr>
            <w:tcW w:w="1134" w:type="dxa"/>
            <w:vAlign w:val="center"/>
          </w:tcPr>
          <w:p>
            <w:pPr>
              <w:pStyle w:val="12"/>
            </w:pPr>
            <w:r>
              <w:t>4.10</w:t>
            </w:r>
          </w:p>
        </w:tc>
        <w:tc>
          <w:tcPr>
            <w:tcW w:w="1134" w:type="dxa"/>
            <w:vAlign w:val="center"/>
          </w:tcPr>
          <w:p>
            <w:pPr>
              <w:pStyle w:val="12"/>
            </w:pPr>
            <w:r>
              <w:t>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6.40</w:t>
            </w:r>
          </w:p>
        </w:tc>
        <w:tc>
          <w:tcPr>
            <w:tcW w:w="1134" w:type="dxa"/>
            <w:vAlign w:val="center"/>
          </w:tcPr>
          <w:p>
            <w:pPr>
              <w:pStyle w:val="12"/>
            </w:pPr>
            <w:r>
              <w:t>6.40</w:t>
            </w:r>
          </w:p>
        </w:tc>
        <w:tc>
          <w:tcPr>
            <w:tcW w:w="1134" w:type="dxa"/>
            <w:vAlign w:val="center"/>
          </w:tcPr>
          <w:p>
            <w:pPr>
              <w:pStyle w:val="12"/>
            </w:pPr>
            <w:r>
              <w:t>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6.40</w:t>
            </w:r>
          </w:p>
        </w:tc>
        <w:tc>
          <w:tcPr>
            <w:tcW w:w="1134" w:type="dxa"/>
            <w:vAlign w:val="center"/>
          </w:tcPr>
          <w:p>
            <w:pPr>
              <w:pStyle w:val="12"/>
            </w:pPr>
            <w:r>
              <w:t>6.40</w:t>
            </w:r>
          </w:p>
        </w:tc>
        <w:tc>
          <w:tcPr>
            <w:tcW w:w="1134" w:type="dxa"/>
            <w:vAlign w:val="center"/>
          </w:tcPr>
          <w:p>
            <w:pPr>
              <w:pStyle w:val="12"/>
            </w:pPr>
            <w:r>
              <w:t>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6.40</w:t>
            </w:r>
          </w:p>
        </w:tc>
        <w:tc>
          <w:tcPr>
            <w:tcW w:w="1134" w:type="dxa"/>
            <w:vAlign w:val="center"/>
          </w:tcPr>
          <w:p>
            <w:pPr>
              <w:pStyle w:val="12"/>
            </w:pPr>
            <w:r>
              <w:t>6.40</w:t>
            </w:r>
          </w:p>
        </w:tc>
        <w:tc>
          <w:tcPr>
            <w:tcW w:w="1134" w:type="dxa"/>
            <w:vAlign w:val="center"/>
          </w:tcPr>
          <w:p>
            <w:pPr>
              <w:pStyle w:val="12"/>
            </w:pPr>
            <w:r>
              <w:t>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542石家庄市井陉矿区信访局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243.80</w:t>
            </w:r>
          </w:p>
        </w:tc>
        <w:tc>
          <w:tcPr>
            <w:tcW w:w="1361" w:type="dxa"/>
            <w:vAlign w:val="center"/>
          </w:tcPr>
          <w:p>
            <w:pPr>
              <w:pStyle w:val="16"/>
            </w:pPr>
            <w:r>
              <w:t>96.64</w:t>
            </w:r>
          </w:p>
        </w:tc>
        <w:tc>
          <w:tcPr>
            <w:tcW w:w="1361" w:type="dxa"/>
            <w:vAlign w:val="center"/>
          </w:tcPr>
          <w:p>
            <w:pPr>
              <w:pStyle w:val="16"/>
            </w:pPr>
            <w:r>
              <w:t>147.16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6" w:type="dxa"/>
            <w:vAlign w:val="center"/>
          </w:tcPr>
          <w:p>
            <w:pPr>
              <w:pStyle w:val="13"/>
            </w:pPr>
            <w:r>
              <w:t>一般公共服务支出</w:t>
            </w:r>
          </w:p>
        </w:tc>
        <w:tc>
          <w:tcPr>
            <w:tcW w:w="1361" w:type="dxa"/>
            <w:vAlign w:val="center"/>
          </w:tcPr>
          <w:p>
            <w:pPr>
              <w:pStyle w:val="12"/>
            </w:pPr>
            <w:r>
              <w:t>221.94</w:t>
            </w:r>
          </w:p>
        </w:tc>
        <w:tc>
          <w:tcPr>
            <w:tcW w:w="1361" w:type="dxa"/>
            <w:vAlign w:val="center"/>
          </w:tcPr>
          <w:p>
            <w:pPr>
              <w:pStyle w:val="12"/>
            </w:pPr>
            <w:r>
              <w:t>74.78</w:t>
            </w:r>
          </w:p>
        </w:tc>
        <w:tc>
          <w:tcPr>
            <w:tcW w:w="1361" w:type="dxa"/>
            <w:vAlign w:val="center"/>
          </w:tcPr>
          <w:p>
            <w:pPr>
              <w:pStyle w:val="12"/>
            </w:pPr>
            <w:r>
              <w:t>147.16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6" w:type="dxa"/>
            <w:vAlign w:val="center"/>
          </w:tcPr>
          <w:p>
            <w:pPr>
              <w:pStyle w:val="13"/>
            </w:pPr>
            <w:r>
              <w:t>信访事务</w:t>
            </w:r>
          </w:p>
        </w:tc>
        <w:tc>
          <w:tcPr>
            <w:tcW w:w="1361" w:type="dxa"/>
            <w:vAlign w:val="center"/>
          </w:tcPr>
          <w:p>
            <w:pPr>
              <w:pStyle w:val="12"/>
            </w:pPr>
            <w:r>
              <w:t>221.94</w:t>
            </w:r>
          </w:p>
        </w:tc>
        <w:tc>
          <w:tcPr>
            <w:tcW w:w="1361" w:type="dxa"/>
            <w:vAlign w:val="center"/>
          </w:tcPr>
          <w:p>
            <w:pPr>
              <w:pStyle w:val="12"/>
            </w:pPr>
            <w:r>
              <w:t>74.78</w:t>
            </w:r>
          </w:p>
        </w:tc>
        <w:tc>
          <w:tcPr>
            <w:tcW w:w="1361" w:type="dxa"/>
            <w:vAlign w:val="center"/>
          </w:tcPr>
          <w:p>
            <w:pPr>
              <w:pStyle w:val="12"/>
            </w:pPr>
            <w:r>
              <w:t>147.16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6" w:type="dxa"/>
            <w:vAlign w:val="center"/>
          </w:tcPr>
          <w:p>
            <w:pPr>
              <w:pStyle w:val="13"/>
            </w:pPr>
            <w:r>
              <w:t>行政运行</w:t>
            </w:r>
          </w:p>
        </w:tc>
        <w:tc>
          <w:tcPr>
            <w:tcW w:w="1361" w:type="dxa"/>
            <w:vAlign w:val="center"/>
          </w:tcPr>
          <w:p>
            <w:pPr>
              <w:pStyle w:val="12"/>
            </w:pPr>
            <w:r>
              <w:t>211.94</w:t>
            </w:r>
          </w:p>
        </w:tc>
        <w:tc>
          <w:tcPr>
            <w:tcW w:w="1361" w:type="dxa"/>
            <w:vAlign w:val="center"/>
          </w:tcPr>
          <w:p>
            <w:pPr>
              <w:pStyle w:val="12"/>
            </w:pPr>
            <w:r>
              <w:t>74.78</w:t>
            </w:r>
          </w:p>
        </w:tc>
        <w:tc>
          <w:tcPr>
            <w:tcW w:w="1361" w:type="dxa"/>
            <w:vAlign w:val="center"/>
          </w:tcPr>
          <w:p>
            <w:pPr>
              <w:pStyle w:val="12"/>
            </w:pPr>
            <w:r>
              <w:t>137.16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2014004</w:t>
            </w:r>
          </w:p>
        </w:tc>
        <w:tc>
          <w:tcPr>
            <w:tcW w:w="4536" w:type="dxa"/>
            <w:vAlign w:val="center"/>
          </w:tcPr>
          <w:p>
            <w:pPr>
              <w:pStyle w:val="13"/>
            </w:pPr>
            <w:r>
              <w:t>信访业务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8.16</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7.72</w:t>
            </w:r>
          </w:p>
        </w:tc>
        <w:tc>
          <w:tcPr>
            <w:tcW w:w="1361" w:type="dxa"/>
            <w:vAlign w:val="center"/>
          </w:tcPr>
          <w:p>
            <w:pPr>
              <w:pStyle w:val="12"/>
            </w:pPr>
            <w:r>
              <w:t>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7.72</w:t>
            </w:r>
          </w:p>
        </w:tc>
        <w:tc>
          <w:tcPr>
            <w:tcW w:w="1361" w:type="dxa"/>
            <w:vAlign w:val="center"/>
          </w:tcPr>
          <w:p>
            <w:pPr>
              <w:pStyle w:val="12"/>
            </w:pPr>
            <w:r>
              <w:t>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6" w:type="dxa"/>
            <w:vAlign w:val="center"/>
          </w:tcPr>
          <w:p>
            <w:pPr>
              <w:pStyle w:val="13"/>
            </w:pPr>
            <w:r>
              <w:t>其他社会保障和就业支出</w:t>
            </w:r>
          </w:p>
        </w:tc>
        <w:tc>
          <w:tcPr>
            <w:tcW w:w="1361" w:type="dxa"/>
            <w:vAlign w:val="center"/>
          </w:tcPr>
          <w:p>
            <w:pPr>
              <w:pStyle w:val="12"/>
            </w:pPr>
            <w:r>
              <w:t>0.44</w:t>
            </w:r>
          </w:p>
        </w:tc>
        <w:tc>
          <w:tcPr>
            <w:tcW w:w="1361" w:type="dxa"/>
            <w:vAlign w:val="center"/>
          </w:tcPr>
          <w:p>
            <w:pPr>
              <w:pStyle w:val="12"/>
            </w:pPr>
            <w:r>
              <w:t>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6" w:type="dxa"/>
            <w:vAlign w:val="center"/>
          </w:tcPr>
          <w:p>
            <w:pPr>
              <w:pStyle w:val="13"/>
            </w:pPr>
            <w:r>
              <w:t>其他社会保障和就业支出</w:t>
            </w:r>
          </w:p>
        </w:tc>
        <w:tc>
          <w:tcPr>
            <w:tcW w:w="1361" w:type="dxa"/>
            <w:vAlign w:val="center"/>
          </w:tcPr>
          <w:p>
            <w:pPr>
              <w:pStyle w:val="12"/>
            </w:pPr>
            <w:r>
              <w:t>0.44</w:t>
            </w:r>
          </w:p>
        </w:tc>
        <w:tc>
          <w:tcPr>
            <w:tcW w:w="1361" w:type="dxa"/>
            <w:vAlign w:val="center"/>
          </w:tcPr>
          <w:p>
            <w:pPr>
              <w:pStyle w:val="12"/>
            </w:pPr>
            <w:r>
              <w:t>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7.30</w:t>
            </w:r>
          </w:p>
        </w:tc>
        <w:tc>
          <w:tcPr>
            <w:tcW w:w="1361" w:type="dxa"/>
            <w:vAlign w:val="center"/>
          </w:tcPr>
          <w:p>
            <w:pPr>
              <w:pStyle w:val="12"/>
            </w:pPr>
            <w:r>
              <w:t>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7.30</w:t>
            </w:r>
          </w:p>
        </w:tc>
        <w:tc>
          <w:tcPr>
            <w:tcW w:w="1361" w:type="dxa"/>
            <w:vAlign w:val="center"/>
          </w:tcPr>
          <w:p>
            <w:pPr>
              <w:pStyle w:val="12"/>
            </w:pPr>
            <w:r>
              <w:t>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4.10</w:t>
            </w:r>
          </w:p>
        </w:tc>
        <w:tc>
          <w:tcPr>
            <w:tcW w:w="1361" w:type="dxa"/>
            <w:vAlign w:val="center"/>
          </w:tcPr>
          <w:p>
            <w:pPr>
              <w:pStyle w:val="12"/>
            </w:pPr>
            <w:r>
              <w:t>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6" w:type="dxa"/>
            <w:vAlign w:val="center"/>
          </w:tcPr>
          <w:p>
            <w:pPr>
              <w:pStyle w:val="13"/>
            </w:pPr>
            <w:r>
              <w:t>公务员医疗补助</w:t>
            </w:r>
          </w:p>
        </w:tc>
        <w:tc>
          <w:tcPr>
            <w:tcW w:w="1361" w:type="dxa"/>
            <w:vAlign w:val="center"/>
          </w:tcPr>
          <w:p>
            <w:pPr>
              <w:pStyle w:val="12"/>
            </w:pPr>
            <w:r>
              <w:t>3.20</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6.40</w:t>
            </w:r>
          </w:p>
        </w:tc>
        <w:tc>
          <w:tcPr>
            <w:tcW w:w="1361" w:type="dxa"/>
            <w:vAlign w:val="center"/>
          </w:tcPr>
          <w:p>
            <w:pPr>
              <w:pStyle w:val="12"/>
            </w:pPr>
            <w:r>
              <w:t>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6.40</w:t>
            </w:r>
          </w:p>
        </w:tc>
        <w:tc>
          <w:tcPr>
            <w:tcW w:w="1361" w:type="dxa"/>
            <w:vAlign w:val="center"/>
          </w:tcPr>
          <w:p>
            <w:pPr>
              <w:pStyle w:val="12"/>
            </w:pPr>
            <w:r>
              <w:t>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6.40</w:t>
            </w:r>
          </w:p>
        </w:tc>
        <w:tc>
          <w:tcPr>
            <w:tcW w:w="1361" w:type="dxa"/>
            <w:vAlign w:val="center"/>
          </w:tcPr>
          <w:p>
            <w:pPr>
              <w:pStyle w:val="12"/>
            </w:pPr>
            <w:r>
              <w:t>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542石家庄市井陉矿区信访局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243.80</w:t>
            </w:r>
          </w:p>
        </w:tc>
        <w:tc>
          <w:tcPr>
            <w:tcW w:w="3402" w:type="dxa"/>
            <w:vAlign w:val="center"/>
          </w:tcPr>
          <w:p>
            <w:pPr>
              <w:pStyle w:val="13"/>
            </w:pPr>
            <w:r>
              <w:t>一、一般公共服务支出</w:t>
            </w:r>
          </w:p>
        </w:tc>
        <w:tc>
          <w:tcPr>
            <w:tcW w:w="1474" w:type="dxa"/>
            <w:vAlign w:val="center"/>
          </w:tcPr>
          <w:p>
            <w:pPr>
              <w:pStyle w:val="12"/>
            </w:pPr>
            <w:r>
              <w:t>221.94</w:t>
            </w:r>
          </w:p>
        </w:tc>
        <w:tc>
          <w:tcPr>
            <w:tcW w:w="1474" w:type="dxa"/>
            <w:vAlign w:val="center"/>
          </w:tcPr>
          <w:p>
            <w:pPr>
              <w:pStyle w:val="12"/>
            </w:pPr>
            <w:r>
              <w:t>221.94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8.16</w:t>
            </w:r>
          </w:p>
        </w:tc>
        <w:tc>
          <w:tcPr>
            <w:tcW w:w="1474" w:type="dxa"/>
            <w:vAlign w:val="center"/>
          </w:tcPr>
          <w:p>
            <w:pPr>
              <w:pStyle w:val="12"/>
            </w:pPr>
            <w:r>
              <w:t>8.16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7.30</w:t>
            </w:r>
          </w:p>
        </w:tc>
        <w:tc>
          <w:tcPr>
            <w:tcW w:w="1474" w:type="dxa"/>
            <w:vAlign w:val="center"/>
          </w:tcPr>
          <w:p>
            <w:pPr>
              <w:pStyle w:val="12"/>
            </w:pPr>
            <w:r>
              <w:t>7.30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6.40</w:t>
            </w:r>
          </w:p>
        </w:tc>
        <w:tc>
          <w:tcPr>
            <w:tcW w:w="1474" w:type="dxa"/>
            <w:vAlign w:val="center"/>
          </w:tcPr>
          <w:p>
            <w:pPr>
              <w:pStyle w:val="12"/>
            </w:pPr>
            <w:r>
              <w:t>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243.80</w:t>
            </w:r>
          </w:p>
        </w:tc>
        <w:tc>
          <w:tcPr>
            <w:tcW w:w="3402" w:type="dxa"/>
            <w:vAlign w:val="center"/>
          </w:tcPr>
          <w:p>
            <w:pPr>
              <w:pStyle w:val="15"/>
            </w:pPr>
            <w:r>
              <w:t>本年支出合计</w:t>
            </w:r>
          </w:p>
        </w:tc>
        <w:tc>
          <w:tcPr>
            <w:tcW w:w="1474" w:type="dxa"/>
            <w:vAlign w:val="center"/>
          </w:tcPr>
          <w:p>
            <w:pPr>
              <w:pStyle w:val="16"/>
            </w:pPr>
            <w:r>
              <w:t>243.80</w:t>
            </w:r>
          </w:p>
        </w:tc>
        <w:tc>
          <w:tcPr>
            <w:tcW w:w="1474" w:type="dxa"/>
            <w:vAlign w:val="center"/>
          </w:tcPr>
          <w:p>
            <w:pPr>
              <w:pStyle w:val="16"/>
            </w:pPr>
            <w:r>
              <w:t>243.80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243.80</w:t>
            </w:r>
          </w:p>
        </w:tc>
        <w:tc>
          <w:tcPr>
            <w:tcW w:w="3402" w:type="dxa"/>
            <w:vAlign w:val="center"/>
          </w:tcPr>
          <w:p>
            <w:pPr>
              <w:pStyle w:val="15"/>
            </w:pPr>
            <w:r>
              <w:t>支出总计</w:t>
            </w:r>
          </w:p>
        </w:tc>
        <w:tc>
          <w:tcPr>
            <w:tcW w:w="1474" w:type="dxa"/>
            <w:vAlign w:val="center"/>
          </w:tcPr>
          <w:p>
            <w:pPr>
              <w:pStyle w:val="16"/>
            </w:pPr>
            <w:r>
              <w:t>243.80</w:t>
            </w:r>
          </w:p>
        </w:tc>
        <w:tc>
          <w:tcPr>
            <w:tcW w:w="1474" w:type="dxa"/>
            <w:vAlign w:val="center"/>
          </w:tcPr>
          <w:p>
            <w:pPr>
              <w:pStyle w:val="16"/>
            </w:pPr>
            <w:r>
              <w:t>243.80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243.80</w:t>
            </w:r>
          </w:p>
        </w:tc>
        <w:tc>
          <w:tcPr>
            <w:tcW w:w="2551" w:type="dxa"/>
            <w:vAlign w:val="center"/>
          </w:tcPr>
          <w:p>
            <w:pPr>
              <w:pStyle w:val="16"/>
            </w:pPr>
            <w:r>
              <w:t>96.64</w:t>
            </w:r>
          </w:p>
        </w:tc>
        <w:tc>
          <w:tcPr>
            <w:tcW w:w="2551" w:type="dxa"/>
            <w:vAlign w:val="center"/>
          </w:tcPr>
          <w:p>
            <w:pPr>
              <w:pStyle w:val="16"/>
            </w:pPr>
            <w:r>
              <w:t>147.16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221.94</w:t>
            </w:r>
          </w:p>
        </w:tc>
        <w:tc>
          <w:tcPr>
            <w:tcW w:w="2551" w:type="dxa"/>
            <w:vAlign w:val="center"/>
          </w:tcPr>
          <w:p>
            <w:pPr>
              <w:pStyle w:val="12"/>
            </w:pPr>
            <w:r>
              <w:t>74.78</w:t>
            </w:r>
          </w:p>
        </w:tc>
        <w:tc>
          <w:tcPr>
            <w:tcW w:w="2551" w:type="dxa"/>
            <w:vAlign w:val="center"/>
          </w:tcPr>
          <w:p>
            <w:pPr>
              <w:pStyle w:val="12"/>
            </w:pPr>
            <w:r>
              <w:t>147.16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221.94</w:t>
            </w:r>
          </w:p>
        </w:tc>
        <w:tc>
          <w:tcPr>
            <w:tcW w:w="2551" w:type="dxa"/>
            <w:vAlign w:val="center"/>
          </w:tcPr>
          <w:p>
            <w:pPr>
              <w:pStyle w:val="12"/>
            </w:pPr>
            <w:r>
              <w:t>74.78</w:t>
            </w:r>
          </w:p>
        </w:tc>
        <w:tc>
          <w:tcPr>
            <w:tcW w:w="2551" w:type="dxa"/>
            <w:vAlign w:val="center"/>
          </w:tcPr>
          <w:p>
            <w:pPr>
              <w:pStyle w:val="12"/>
            </w:pPr>
            <w:r>
              <w:t>147.16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211.94</w:t>
            </w:r>
          </w:p>
        </w:tc>
        <w:tc>
          <w:tcPr>
            <w:tcW w:w="2551" w:type="dxa"/>
            <w:vAlign w:val="center"/>
          </w:tcPr>
          <w:p>
            <w:pPr>
              <w:pStyle w:val="12"/>
            </w:pPr>
            <w:r>
              <w:t>74.78</w:t>
            </w:r>
          </w:p>
        </w:tc>
        <w:tc>
          <w:tcPr>
            <w:tcW w:w="2551" w:type="dxa"/>
            <w:vAlign w:val="center"/>
          </w:tcPr>
          <w:p>
            <w:pPr>
              <w:pStyle w:val="12"/>
            </w:pPr>
            <w:r>
              <w:t>137.16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8.16</w:t>
            </w:r>
          </w:p>
        </w:tc>
        <w:tc>
          <w:tcPr>
            <w:tcW w:w="2551" w:type="dxa"/>
            <w:vAlign w:val="center"/>
          </w:tcPr>
          <w:p>
            <w:pPr>
              <w:pStyle w:val="12"/>
            </w:pPr>
            <w:r>
              <w:t>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7.72</w:t>
            </w:r>
          </w:p>
        </w:tc>
        <w:tc>
          <w:tcPr>
            <w:tcW w:w="2551" w:type="dxa"/>
            <w:vAlign w:val="center"/>
          </w:tcPr>
          <w:p>
            <w:pPr>
              <w:pStyle w:val="12"/>
            </w:pPr>
            <w:r>
              <w:t>7.72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7.72</w:t>
            </w:r>
          </w:p>
        </w:tc>
        <w:tc>
          <w:tcPr>
            <w:tcW w:w="2551" w:type="dxa"/>
            <w:vAlign w:val="center"/>
          </w:tcPr>
          <w:p>
            <w:pPr>
              <w:pStyle w:val="12"/>
            </w:pPr>
            <w:r>
              <w:t>7.72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0.44</w:t>
            </w:r>
          </w:p>
        </w:tc>
        <w:tc>
          <w:tcPr>
            <w:tcW w:w="2551" w:type="dxa"/>
            <w:vAlign w:val="center"/>
          </w:tcPr>
          <w:p>
            <w:pPr>
              <w:pStyle w:val="12"/>
            </w:pPr>
            <w:r>
              <w:t>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0.44</w:t>
            </w:r>
          </w:p>
        </w:tc>
        <w:tc>
          <w:tcPr>
            <w:tcW w:w="2551" w:type="dxa"/>
            <w:vAlign w:val="center"/>
          </w:tcPr>
          <w:p>
            <w:pPr>
              <w:pStyle w:val="12"/>
            </w:pPr>
            <w:r>
              <w:t>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7.30</w:t>
            </w:r>
          </w:p>
        </w:tc>
        <w:tc>
          <w:tcPr>
            <w:tcW w:w="2551" w:type="dxa"/>
            <w:vAlign w:val="center"/>
          </w:tcPr>
          <w:p>
            <w:pPr>
              <w:pStyle w:val="12"/>
            </w:pPr>
            <w:r>
              <w:t>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7.30</w:t>
            </w:r>
          </w:p>
        </w:tc>
        <w:tc>
          <w:tcPr>
            <w:tcW w:w="2551" w:type="dxa"/>
            <w:vAlign w:val="center"/>
          </w:tcPr>
          <w:p>
            <w:pPr>
              <w:pStyle w:val="12"/>
            </w:pPr>
            <w:r>
              <w:t>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4.10</w:t>
            </w:r>
          </w:p>
        </w:tc>
        <w:tc>
          <w:tcPr>
            <w:tcW w:w="2551" w:type="dxa"/>
            <w:vAlign w:val="center"/>
          </w:tcPr>
          <w:p>
            <w:pPr>
              <w:pStyle w:val="12"/>
            </w:pPr>
            <w:r>
              <w:t>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6.40</w:t>
            </w:r>
          </w:p>
        </w:tc>
        <w:tc>
          <w:tcPr>
            <w:tcW w:w="2551" w:type="dxa"/>
            <w:vAlign w:val="center"/>
          </w:tcPr>
          <w:p>
            <w:pPr>
              <w:pStyle w:val="12"/>
            </w:pPr>
            <w:r>
              <w:t>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6.40</w:t>
            </w:r>
          </w:p>
        </w:tc>
        <w:tc>
          <w:tcPr>
            <w:tcW w:w="2551" w:type="dxa"/>
            <w:vAlign w:val="center"/>
          </w:tcPr>
          <w:p>
            <w:pPr>
              <w:pStyle w:val="12"/>
            </w:pPr>
            <w:r>
              <w:t>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6.40</w:t>
            </w:r>
          </w:p>
        </w:tc>
        <w:tc>
          <w:tcPr>
            <w:tcW w:w="2551" w:type="dxa"/>
            <w:vAlign w:val="center"/>
          </w:tcPr>
          <w:p>
            <w:pPr>
              <w:pStyle w:val="12"/>
            </w:pPr>
            <w:r>
              <w:t>6.40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96.64</w:t>
            </w:r>
          </w:p>
        </w:tc>
        <w:tc>
          <w:tcPr>
            <w:tcW w:w="2551" w:type="dxa"/>
            <w:vAlign w:val="center"/>
          </w:tcPr>
          <w:p>
            <w:pPr>
              <w:pStyle w:val="16"/>
            </w:pPr>
            <w:r>
              <w:t>91.67</w:t>
            </w:r>
          </w:p>
        </w:tc>
        <w:tc>
          <w:tcPr>
            <w:tcW w:w="2552" w:type="dxa"/>
            <w:vAlign w:val="center"/>
          </w:tcPr>
          <w:p>
            <w:pPr>
              <w:pStyle w:val="16"/>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78.49</w:t>
            </w:r>
          </w:p>
        </w:tc>
        <w:tc>
          <w:tcPr>
            <w:tcW w:w="2551" w:type="dxa"/>
            <w:vAlign w:val="center"/>
          </w:tcPr>
          <w:p>
            <w:pPr>
              <w:pStyle w:val="12"/>
            </w:pPr>
            <w:r>
              <w:t>78.49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21.10</w:t>
            </w:r>
          </w:p>
        </w:tc>
        <w:tc>
          <w:tcPr>
            <w:tcW w:w="2551" w:type="dxa"/>
            <w:vAlign w:val="center"/>
          </w:tcPr>
          <w:p>
            <w:pPr>
              <w:pStyle w:val="12"/>
            </w:pPr>
            <w:r>
              <w:t>21.10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9.82</w:t>
            </w:r>
          </w:p>
        </w:tc>
        <w:tc>
          <w:tcPr>
            <w:tcW w:w="2551" w:type="dxa"/>
            <w:vAlign w:val="center"/>
          </w:tcPr>
          <w:p>
            <w:pPr>
              <w:pStyle w:val="12"/>
            </w:pPr>
            <w:r>
              <w:t>9.82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7.20</w:t>
            </w:r>
          </w:p>
        </w:tc>
        <w:tc>
          <w:tcPr>
            <w:tcW w:w="2551" w:type="dxa"/>
            <w:vAlign w:val="center"/>
          </w:tcPr>
          <w:p>
            <w:pPr>
              <w:pStyle w:val="12"/>
            </w:pPr>
            <w:r>
              <w:t>7.20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18.51</w:t>
            </w:r>
          </w:p>
        </w:tc>
        <w:tc>
          <w:tcPr>
            <w:tcW w:w="2551" w:type="dxa"/>
            <w:vAlign w:val="center"/>
          </w:tcPr>
          <w:p>
            <w:pPr>
              <w:pStyle w:val="12"/>
            </w:pPr>
            <w:r>
              <w:t>18.51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7.72</w:t>
            </w:r>
          </w:p>
        </w:tc>
        <w:tc>
          <w:tcPr>
            <w:tcW w:w="2551" w:type="dxa"/>
            <w:vAlign w:val="center"/>
          </w:tcPr>
          <w:p>
            <w:pPr>
              <w:pStyle w:val="12"/>
            </w:pPr>
            <w:r>
              <w:t>7.72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4.10</w:t>
            </w:r>
          </w:p>
        </w:tc>
        <w:tc>
          <w:tcPr>
            <w:tcW w:w="2551" w:type="dxa"/>
            <w:vAlign w:val="center"/>
          </w:tcPr>
          <w:p>
            <w:pPr>
              <w:pStyle w:val="12"/>
            </w:pPr>
            <w:r>
              <w:t>4.10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3.20</w:t>
            </w:r>
          </w:p>
        </w:tc>
        <w:tc>
          <w:tcPr>
            <w:tcW w:w="2551" w:type="dxa"/>
            <w:vAlign w:val="center"/>
          </w:tcPr>
          <w:p>
            <w:pPr>
              <w:pStyle w:val="12"/>
            </w:pPr>
            <w:r>
              <w:t>3.20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0.44</w:t>
            </w:r>
          </w:p>
        </w:tc>
        <w:tc>
          <w:tcPr>
            <w:tcW w:w="2551" w:type="dxa"/>
            <w:vAlign w:val="center"/>
          </w:tcPr>
          <w:p>
            <w:pPr>
              <w:pStyle w:val="12"/>
            </w:pPr>
            <w:r>
              <w:t>0.44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6.40</w:t>
            </w:r>
          </w:p>
        </w:tc>
        <w:tc>
          <w:tcPr>
            <w:tcW w:w="2551" w:type="dxa"/>
            <w:vAlign w:val="center"/>
          </w:tcPr>
          <w:p>
            <w:pPr>
              <w:pStyle w:val="12"/>
            </w:pPr>
            <w:r>
              <w:t>6.40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4.97</w:t>
            </w:r>
          </w:p>
        </w:tc>
        <w:tc>
          <w:tcPr>
            <w:tcW w:w="2551" w:type="dxa"/>
            <w:vAlign w:val="center"/>
          </w:tcPr>
          <w:p>
            <w:pPr>
              <w:pStyle w:val="12"/>
            </w:pPr>
          </w:p>
        </w:tc>
        <w:tc>
          <w:tcPr>
            <w:tcW w:w="2552" w:type="dxa"/>
            <w:vAlign w:val="center"/>
          </w:tcPr>
          <w:p>
            <w:pPr>
              <w:pStyle w:val="12"/>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0.25</w:t>
            </w:r>
          </w:p>
        </w:tc>
        <w:tc>
          <w:tcPr>
            <w:tcW w:w="2551" w:type="dxa"/>
            <w:vAlign w:val="center"/>
          </w:tcPr>
          <w:p>
            <w:pPr>
              <w:pStyle w:val="12"/>
            </w:pPr>
          </w:p>
        </w:tc>
        <w:tc>
          <w:tcPr>
            <w:tcW w:w="2552"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1.13</w:t>
            </w:r>
          </w:p>
        </w:tc>
        <w:tc>
          <w:tcPr>
            <w:tcW w:w="2551" w:type="dxa"/>
            <w:vAlign w:val="center"/>
          </w:tcPr>
          <w:p>
            <w:pPr>
              <w:pStyle w:val="12"/>
            </w:pPr>
          </w:p>
        </w:tc>
        <w:tc>
          <w:tcPr>
            <w:tcW w:w="2552" w:type="dxa"/>
            <w:vAlign w:val="center"/>
          </w:tcPr>
          <w:p>
            <w:pPr>
              <w:pStyle w:val="12"/>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0.03</w:t>
            </w:r>
          </w:p>
        </w:tc>
        <w:tc>
          <w:tcPr>
            <w:tcW w:w="2551" w:type="dxa"/>
            <w:vAlign w:val="center"/>
          </w:tcPr>
          <w:p>
            <w:pPr>
              <w:pStyle w:val="12"/>
            </w:pPr>
          </w:p>
        </w:tc>
        <w:tc>
          <w:tcPr>
            <w:tcW w:w="2552"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1.56</w:t>
            </w:r>
          </w:p>
        </w:tc>
        <w:tc>
          <w:tcPr>
            <w:tcW w:w="2551" w:type="dxa"/>
            <w:vAlign w:val="center"/>
          </w:tcPr>
          <w:p>
            <w:pPr>
              <w:pStyle w:val="12"/>
            </w:pPr>
          </w:p>
        </w:tc>
        <w:tc>
          <w:tcPr>
            <w:tcW w:w="2552" w:type="dxa"/>
            <w:vAlign w:val="center"/>
          </w:tcPr>
          <w:p>
            <w:pPr>
              <w:pStyle w:val="12"/>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13.18</w:t>
            </w:r>
          </w:p>
        </w:tc>
        <w:tc>
          <w:tcPr>
            <w:tcW w:w="2551" w:type="dxa"/>
            <w:vAlign w:val="center"/>
          </w:tcPr>
          <w:p>
            <w:pPr>
              <w:pStyle w:val="12"/>
            </w:pPr>
            <w:r>
              <w:t>13.18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10.73</w:t>
            </w:r>
          </w:p>
        </w:tc>
        <w:tc>
          <w:tcPr>
            <w:tcW w:w="2551" w:type="dxa"/>
            <w:vAlign w:val="center"/>
          </w:tcPr>
          <w:p>
            <w:pPr>
              <w:pStyle w:val="12"/>
            </w:pPr>
            <w:r>
              <w:t>10.73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2.45</w:t>
            </w:r>
          </w:p>
        </w:tc>
        <w:tc>
          <w:tcPr>
            <w:tcW w:w="2551" w:type="dxa"/>
            <w:vAlign w:val="center"/>
          </w:tcPr>
          <w:p>
            <w:pPr>
              <w:pStyle w:val="12"/>
            </w:pPr>
            <w:r>
              <w:t>2.45</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542石家庄市井陉矿区信访局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542石家庄市井陉矿区信访局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2.03</w:t>
            </w:r>
          </w:p>
        </w:tc>
        <w:tc>
          <w:tcPr>
            <w:tcW w:w="2381" w:type="dxa"/>
            <w:vAlign w:val="center"/>
          </w:tcPr>
          <w:p>
            <w:pPr>
              <w:pStyle w:val="16"/>
            </w:pPr>
            <w:r>
              <w:t>2.03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r>
              <w:t>2.03</w:t>
            </w:r>
          </w:p>
        </w:tc>
        <w:tc>
          <w:tcPr>
            <w:tcW w:w="2381" w:type="dxa"/>
            <w:vAlign w:val="center"/>
          </w:tcPr>
          <w:p>
            <w:pPr>
              <w:pStyle w:val="12"/>
            </w:pPr>
            <w:r>
              <w:t>2.03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r>
              <w:t>0.03</w:t>
            </w:r>
          </w:p>
        </w:tc>
        <w:tc>
          <w:tcPr>
            <w:tcW w:w="2381" w:type="dxa"/>
            <w:vAlign w:val="center"/>
          </w:tcPr>
          <w:p>
            <w:pPr>
              <w:pStyle w:val="12"/>
            </w:pPr>
            <w:r>
              <w:t>0.03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石家庄市井陉矿区信访局2024年部门预算信息公开情况说明</w:t>
      </w:r>
    </w:p>
    <w:p>
      <w:pPr>
        <w:jc w:val="center"/>
      </w:pPr>
      <w:r>
        <w:rPr>
          <w:rFonts w:ascii="方正小标宋_GBK" w:hAnsi="方正小标宋_GBK" w:eastAsia="方正小标宋_GBK" w:cs="方正小标宋_GBK"/>
          <w:color w:val="000000"/>
          <w:sz w:val="44"/>
        </w:rPr>
        <w:t>石家庄市井陉矿区信访局2024年部门预算信息公开情况说明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按照《中华人民共和国预算法》、《地方预决算公开操作规程》和《关于进一步推进预算公开工作的实施意见》规定，现将石家庄市井陉矿区信访局2024年部门预算公开如下：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研究提出全区信访工作思路，贯彻落实中央和省市信访工作法规、规章，研究起草信访工作地方性规章制度；办理人民群众来信，接待群众来访，受理群众网上投诉，查办信访案件，承办区领导电子信箱日常工作，负责人民群众建议征集工作；调查研究和综合分析全区信访形势及信访工作状况，总结推广各地各部门信访工作经验，提出改进和加强信访工作的意见和建议；参与组织、协调、指导全区社会治安综合治理和维护社会政治稳定工作，协助保障国家、省、市、区重大政治活动顺利进行，参与处理影响社会政治稳定的突发性、群体性事件；督促检查和指导各乡镇（街道）、区直部门的信访工作。对各乡镇（街道）党委、政府和区直有关部门信访工作年度责任目标进行考核，对全区社会治安综合治理和维护社会政治稳定年度责任目标中有关信访工作进行考核；协助国家、省、市信访局处理井陉矿区群众进京、赴省市上访工作，综合协调处理跨地区、跨部门、跨行业的重要信访问题，协助公安机关维护区委、区政府机关正常工作秩序；负责省、市、区领导公开接访和包联案件的组织协调工作；承担井陉矿区信访工作联席会议的日常工作，督促落实联席会议决定的事项；完成区委、区政府以及国家、省、市信访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石家庄市井陉矿区信访局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按照预算管理有关规定，目前部门预算的编制实行综合预算管理，即全部收入和支出都反映在预算中。石家庄市井陉矿区信访局机关及所属事业单位的收支包含在部门预算中。</w:t>
      </w:r>
    </w:p>
    <w:p>
      <w:pPr>
        <w:pStyle w:val="19"/>
      </w:pPr>
      <w:r>
        <w:t>1、收入说明</w:t>
      </w:r>
    </w:p>
    <w:p>
      <w:pPr>
        <w:pStyle w:val="19"/>
      </w:pPr>
      <w:r>
        <w:t>反映本部门当年全部收入。2024年预算收入243.80万元，其中：一般公共预算收入243.80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信访局年度部门预算中支出预算的总体情况。2024年支出预算243.80万元，其中基本支出96.64万元，包括人员经费91.67万元和日常公用经费4.97万元；项目支出147.16万元，主要为信访工作经费支出100万元，多元化解中心经费支出3万元，劳务派遣支出27.35万元，保安经费1.78万元，党建工作经费支出0.03万元；政务外网网经费支出5万元，2023年市级解决特殊疑难信访问题补助资金10万元，其他支出0万元。</w:t>
      </w:r>
    </w:p>
    <w:p>
      <w:pPr>
        <w:pStyle w:val="19"/>
      </w:pPr>
      <w:r>
        <w:t>3、比上年增减情况</w:t>
      </w:r>
    </w:p>
    <w:p>
      <w:pPr>
        <w:pStyle w:val="19"/>
      </w:pPr>
      <w:r>
        <w:t>2024年预算收支安排243.80万元，较2023年预算增加62.61万元，其中：基本支出减少2.21万元，主要为人员经费支出增加1.27万元和日常公用经费支出减少3.48万元；项目支出增加64.82万元；其他支出无增减变化。项目支出增加64.82万元，主要为省市对信访工作提出了新的要求，形势更加严峻，任务更加艰巨，增加信访工作经费。</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eastAsia="宋体"/>
          <w:lang w:val="en-US" w:eastAsia="zh-CN"/>
        </w:rPr>
        <w:t>4</w:t>
      </w:r>
      <w:r>
        <w:t>年，我单位机关运行经费共计安排</w:t>
      </w:r>
      <w:r>
        <w:rPr>
          <w:rFonts w:hint="eastAsia"/>
          <w:lang w:val="en-US" w:eastAsia="zh-CN"/>
        </w:rPr>
        <w:t>4.97</w:t>
      </w:r>
      <w:r>
        <w:t>万元，主要用于保证机关正常运转的办公、公务车运行维护费、公务交通补贴、公务移动通讯费补贴、临时聘用人员费用等支出。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2.03万元，其中因公出国（境）费0.00万元；公务用车购置及运维费2.00万元（其中：公务用车购置费为0.00万元，公务用车运维费2.00万元)；公务接待费0.03万元。与2023年相比增加2.03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rPr>
          <w:rFonts w:hint="eastAsia"/>
          <w:lang w:val="en-US" w:eastAsia="zh-CN"/>
        </w:rPr>
        <w:t xml:space="preserve"> </w:t>
      </w:r>
      <w:r>
        <w:t>202</w:t>
      </w:r>
      <w:r>
        <w:rPr>
          <w:rFonts w:hint="eastAsia"/>
          <w:lang w:val="en-US" w:eastAsia="zh-CN"/>
        </w:rPr>
        <w:t>4</w:t>
      </w:r>
      <w:r>
        <w:t>年信访工作将继续以开展“全国信访工作示范县（市、区）”创建和“信访工作质效提升年”两项活动为抓手，抓实源头治理、信访攻坚、重要时期维稳、网上信访、制度建设和队伍建设六项重点任务，推动信访问题依法及时就地解决，努力从源头上预防和减少进京赴省市越级信访，实现“北京不去、河北不聚、外省不串、网上不炒”，为当好首都政治“护城河”作出矿区贡献，为努力推动我区经济社会高质量发展，奋力开创建成“科技特钢城、品质新矿区”新局面创造和谐稳定的社会环境。一是加强源头治理，扎实做好隐患排查。继续实行“日报告、周调度、月通报”制度，督导区直部门和各乡镇（街道）、各社区落实日排查，每周调度未化解信访案件，每月对各部门、乡镇（街道）和社区信访情况进行通报排队，将压力传导至末端，力争将矛盾隐患发现在萌芽、化解在基层，避免“爆冷门”。二是深化解决问题，持续开展信访攻坚。以长期未解决的历史积案和重复信访为重点，持续开展信访攻坚行动，定期调度并加强跟踪督办，对每一起案件按照“三到位一处理”标准把关和验收，确保诉求合理的信访事项及时妥善化解，新问题随有随交随化解。三是周密安排部署，做好重要时期信访工作。针对</w:t>
      </w:r>
      <w:r>
        <w:rPr>
          <w:rFonts w:hint="eastAsia"/>
          <w:lang w:eastAsia="zh-CN"/>
        </w:rPr>
        <w:t>全国两会</w:t>
      </w:r>
      <w:r>
        <w:t>、中央全会等重要时期，提前周密安排，制定工作方案，启动应急工作机制和各道防线，以做好重点人稳控为重点，落实“五包一”稳控责任和稳控措施，确保重要时期信访维稳任务顺利完成。四是提升办案质量，加强网上信访工作。以初访案件为重点，以“解决问题、息诉罢访”为标准，进一步规范程序、严格标准，加强指导、培训和督导，对网上信访事项提速办理，进一步提高群众满意率。五是定期分析研判，完善信访工作制度。定期对全区信访形势和多元化解中心运行情况分析研判，及时发现问题和不足，完善信访工作制度，进一步延伸工作触角，传导工作压力，促进责任落实。对信访问题突出的领域和信访量大的部门、乡镇（街道）和社区提出改进工作建议，进行“点对点”督导。六是提升综合素质，加强信访队伍建设。定期组织开展针对信访干部思想认识和业务工作的培训，进一步将广大信访干部的思想统一到中央和省市区关于信访工作的安排部署上，提高政治站位和思想觉悟，提升工作水平和综合素质，打造一支与形势任务相适应的年轻化、现代化信访铁军队伍。</w:t>
      </w:r>
    </w:p>
    <w:p>
      <w:pPr>
        <w:pStyle w:val="22"/>
      </w:pPr>
    </w:p>
    <w:p>
      <w:pPr>
        <w:spacing w:line="500" w:lineRule="exact"/>
        <w:ind w:firstLine="560"/>
      </w:pPr>
      <w:r>
        <w:rPr>
          <w:rFonts w:eastAsia="方正仿宋_GBK"/>
          <w:color w:val="000000"/>
          <w:sz w:val="28"/>
        </w:rPr>
        <w:t>（二）分项绩效目标</w:t>
      </w:r>
    </w:p>
    <w:p>
      <w:pPr>
        <w:pStyle w:val="23"/>
      </w:pPr>
      <w:r>
        <w:t>全力做好重要时期信访稳定工作</w:t>
      </w:r>
    </w:p>
    <w:p>
      <w:pPr>
        <w:pStyle w:val="23"/>
      </w:pPr>
      <w:r>
        <w:t>绩效目标：针对</w:t>
      </w:r>
      <w:r>
        <w:rPr>
          <w:rFonts w:hint="eastAsia"/>
          <w:lang w:eastAsia="zh-CN"/>
        </w:rPr>
        <w:t>全国两会</w:t>
      </w:r>
      <w:r>
        <w:t>、中央全会等重要时期，提前周密安排，制定工作方案，启动应急工作机制和各道防线，以做好重点人稳控为重点，落实“五包一”稳控责任和稳控措施，确保重要时期信访维稳任务顺利完成。</w:t>
      </w:r>
    </w:p>
    <w:p>
      <w:pPr>
        <w:pStyle w:val="23"/>
      </w:pPr>
      <w:r>
        <w:t>绩效指标：做到“大事不出、小事也不出”，坚决完成重要时期信访安保任务。</w:t>
      </w:r>
    </w:p>
    <w:p>
      <w:pPr>
        <w:pStyle w:val="23"/>
      </w:pPr>
      <w:r>
        <w:t>信访隐患排查工作</w:t>
      </w:r>
    </w:p>
    <w:p>
      <w:pPr>
        <w:pStyle w:val="23"/>
      </w:pPr>
      <w:r>
        <w:t>绩效目标：继续实行“日报告、周调度、月通报”制度，督导区直部门和各乡镇（街道）、各社区落实日排查，每周调度未化解信访案件，每月对各部门、乡镇（街道）和社区信访情况进行通报排队，将压力传导至末端，力争将矛盾隐患发现在萌芽、化解在基层，避免“爆冷门”。</w:t>
      </w:r>
    </w:p>
    <w:p>
      <w:pPr>
        <w:pStyle w:val="23"/>
      </w:pPr>
      <w:r>
        <w:t>绩效指标：坚持日排查、周调度制度，切实将群众吸附在本地。</w:t>
      </w:r>
    </w:p>
    <w:p>
      <w:pPr>
        <w:pStyle w:val="23"/>
      </w:pPr>
      <w:r>
        <w:t>多元化解中心工作</w:t>
      </w:r>
    </w:p>
    <w:p>
      <w:pPr>
        <w:pStyle w:val="23"/>
      </w:pPr>
      <w:r>
        <w:t>绩效目标：定期对全区信访形势和多元化解中心运行情况分析研判，及时发现问题和不足，完善信访工作制度，进一步延伸工作触角，传导工作压力，促进责任落实。对信访问题突出的领域和信访量大的部门、乡镇（街道）和社区提出改进工作建议，进行“点对点”督导。</w:t>
      </w:r>
    </w:p>
    <w:p>
      <w:pPr>
        <w:pStyle w:val="23"/>
      </w:pPr>
      <w:r>
        <w:t>绩效指标：以初访案件为重点，以“解决问题、息诉罢访”为标准，进一步规范程序、严格标准，加强指导、培训和督导，对网上信访事项提速办理，进一步提高群众满意率。</w:t>
      </w:r>
    </w:p>
    <w:p>
      <w:pPr>
        <w:pStyle w:val="23"/>
      </w:pPr>
    </w:p>
    <w:p>
      <w:pPr>
        <w:spacing w:line="500" w:lineRule="exact"/>
        <w:ind w:firstLine="560"/>
      </w:pPr>
      <w:r>
        <w:rPr>
          <w:rFonts w:eastAsia="方正仿宋_GBK"/>
          <w:color w:val="000000"/>
          <w:sz w:val="28"/>
        </w:rPr>
        <w:t>（三）工作保障措施</w:t>
      </w:r>
    </w:p>
    <w:p>
      <w:pPr>
        <w:pStyle w:val="24"/>
      </w:pPr>
      <w:r>
        <w:t>（一）加强制度建设。认真贯彻省、市、区有关财经方针、政策，根据预算绩效管理相关要求，修订和完善各项制度和办法，202</w:t>
      </w:r>
      <w:r>
        <w:rPr>
          <w:rFonts w:hint="eastAsia"/>
          <w:lang w:val="en-US" w:eastAsia="zh-CN"/>
        </w:rPr>
        <w:t>4</w:t>
      </w:r>
      <w:bookmarkStart w:id="20" w:name="_GoBack"/>
      <w:bookmarkEnd w:id="20"/>
      <w:r>
        <w:t>年制定完善机关资金管理、绩效管理办法，为绩效目标的实现奠定制度基础。</w:t>
      </w:r>
    </w:p>
    <w:p>
      <w:pPr>
        <w:pStyle w:val="24"/>
      </w:pPr>
      <w:r>
        <w:t>（二）加快支出管理。加强内部的协调沟通，由办公室督导、协调各业务科室加快进度执行。对月底达不到计划要求的，在会议上予以通报并提请主管局领导专门督导。确保从3月起每月支出进度达到要求。</w:t>
      </w:r>
    </w:p>
    <w:p>
      <w:pPr>
        <w:pStyle w:val="24"/>
      </w:pPr>
      <w:r>
        <w:t>（三）提高政府采购效率。在预算批复后及早进入政府采购程序，力求提高各类政府采购效率，确保按时支付。</w:t>
      </w:r>
    </w:p>
    <w:p>
      <w:pPr>
        <w:pStyle w:val="24"/>
      </w:pPr>
      <w:r>
        <w:t>（四）加强内部控制。全面推进财务管理工作的开展，进一步加强内部控制制度的管理，规范财会基础工作，提高财会工作质量，积极适应新形势。</w:t>
      </w:r>
    </w:p>
    <w:p>
      <w:pPr>
        <w:pStyle w:val="24"/>
      </w:pPr>
      <w:r>
        <w:t>（五）规范财务管理。高度重视财务工作的制度保障、制度执行和流程管理，建立健全财务管理制度，严格审批程序，并加强财务人员的业务培训，提高业务素质，确保财政资金使用合法合规。</w:t>
      </w:r>
    </w:p>
    <w:p>
      <w:pPr>
        <w:pStyle w:val="24"/>
      </w:pPr>
      <w:r>
        <w:t>（六）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pPr>
        <w:pStyle w:val="24"/>
      </w:pPr>
      <w:r>
        <w:t>（七）加强内部监督。加强内部监督制度建设，对绩效运行情况、重大支出决策、资产处置及其他重要事项的决策和执行进行督导，对会计资料进行内部审计，并配合做好审计、财政监督等外部监督工作，对巡查、审计、财政监督等方面提出的问题，认真研究整改落实，确保财政资金安全有效。同时，组织相关人员认真学习相关政策文件，强化思想认识，提高政策水平，并加强管理，坚决杜绝问题发生。</w:t>
      </w:r>
    </w:p>
    <w:p>
      <w:pPr>
        <w:pStyle w:val="24"/>
      </w:pPr>
      <w:r>
        <w:t>（八）加强绩效运行监控。按要求开展绩效运行监控，每月按要求对部门整体绩效目标和预算项目绩效目标实现情况和预算执行进度进行监控，发现问题及时采取措施，确保绩效目标如期保质实现。</w:t>
      </w:r>
    </w:p>
    <w:p>
      <w:pPr>
        <w:pStyle w:val="24"/>
      </w:pPr>
      <w:r>
        <w:t>（九）做好绩效自评。按要求开展上年度部门预算绩效自评和重点评价工作，对评价中发现的问题及时整改，调整优化支出结构，提高财政资金使用效益。</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outlineLvl w:val="2"/>
        <w:rPr>
          <w:rFonts w:ascii="黑体" w:hAnsi="黑体" w:eastAsia="黑体" w:cs="黑体"/>
          <w:color w:val="000000"/>
          <w:sz w:val="32"/>
        </w:rPr>
      </w:pPr>
    </w:p>
    <w:p>
      <w:pPr>
        <w:numPr>
          <w:ilvl w:val="0"/>
          <w:numId w:val="0"/>
        </w:numPr>
        <w:spacing w:before="10" w:after="10" w:line="360" w:lineRule="auto"/>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1、保安经费绩效目标表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13010724P00011310006H</w:t>
            </w:r>
          </w:p>
        </w:tc>
        <w:tc>
          <w:tcPr>
            <w:tcW w:w="2835" w:type="dxa"/>
            <w:vAlign w:val="center"/>
          </w:tcPr>
          <w:p>
            <w:pPr>
              <w:pStyle w:val="11"/>
            </w:pPr>
            <w:r>
              <w:t>项目名称</w:t>
            </w:r>
          </w:p>
        </w:tc>
        <w:tc>
          <w:tcPr>
            <w:tcW w:w="6095" w:type="dxa"/>
            <w:gridSpan w:val="3"/>
            <w:vAlign w:val="center"/>
          </w:tcPr>
          <w:p>
            <w:pPr>
              <w:pStyle w:val="13"/>
            </w:pPr>
            <w:r>
              <w:t>保安经费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w:t>
            </w:r>
          </w:p>
        </w:tc>
        <w:tc>
          <w:tcPr>
            <w:tcW w:w="2835" w:type="dxa"/>
            <w:vAlign w:val="center"/>
          </w:tcPr>
          <w:p>
            <w:pPr>
              <w:pStyle w:val="11"/>
            </w:pPr>
            <w:r>
              <w:t>其中：财政    资金</w:t>
            </w:r>
          </w:p>
        </w:tc>
        <w:tc>
          <w:tcPr>
            <w:tcW w:w="2551" w:type="dxa"/>
            <w:vAlign w:val="center"/>
          </w:tcPr>
          <w:p>
            <w:pPr>
              <w:pStyle w:val="13"/>
            </w:pPr>
            <w:r>
              <w:t>1.78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保安劳务费用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0.45</w:t>
            </w:r>
          </w:p>
        </w:tc>
        <w:tc>
          <w:tcPr>
            <w:tcW w:w="2835" w:type="dxa"/>
            <w:vAlign w:val="center"/>
          </w:tcPr>
          <w:p>
            <w:pPr>
              <w:pStyle w:val="14"/>
            </w:pPr>
            <w:r>
              <w:t>0.90</w:t>
            </w:r>
          </w:p>
        </w:tc>
        <w:tc>
          <w:tcPr>
            <w:tcW w:w="2551" w:type="dxa"/>
            <w:vAlign w:val="center"/>
          </w:tcPr>
          <w:p>
            <w:pPr>
              <w:pStyle w:val="14"/>
            </w:pPr>
            <w:r>
              <w:t>1.35</w:t>
            </w:r>
          </w:p>
        </w:tc>
        <w:tc>
          <w:tcPr>
            <w:tcW w:w="3544" w:type="dxa"/>
            <w:gridSpan w:val="2"/>
            <w:vAlign w:val="center"/>
          </w:tcPr>
          <w:p>
            <w:pPr>
              <w:pStyle w:val="14"/>
            </w:pPr>
            <w:r>
              <w:t>1.78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1.通过聘用保安人员确保中心人员安全及基础工作正常开展。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聘请保安人数</w:t>
            </w:r>
          </w:p>
        </w:tc>
        <w:tc>
          <w:tcPr>
            <w:tcW w:w="5386" w:type="dxa"/>
            <w:vAlign w:val="center"/>
          </w:tcPr>
          <w:p>
            <w:pPr>
              <w:pStyle w:val="13"/>
            </w:pPr>
            <w:r>
              <w:t>聘请保安人数</w:t>
            </w:r>
          </w:p>
        </w:tc>
        <w:tc>
          <w:tcPr>
            <w:tcW w:w="2268" w:type="dxa"/>
            <w:vAlign w:val="center"/>
          </w:tcPr>
          <w:p>
            <w:pPr>
              <w:pStyle w:val="13"/>
            </w:pPr>
            <w:r>
              <w:t>≥6人</w:t>
            </w:r>
          </w:p>
        </w:tc>
        <w:tc>
          <w:tcPr>
            <w:tcW w:w="1276" w:type="dxa"/>
            <w:vAlign w:val="center"/>
          </w:tcPr>
          <w:p>
            <w:pPr>
              <w:pStyle w:val="13"/>
            </w:pPr>
            <w:r>
              <w:t>2024年信访局工作计划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工作合格率</w:t>
            </w:r>
          </w:p>
        </w:tc>
        <w:tc>
          <w:tcPr>
            <w:tcW w:w="5386" w:type="dxa"/>
            <w:vAlign w:val="center"/>
          </w:tcPr>
          <w:p>
            <w:pPr>
              <w:pStyle w:val="13"/>
            </w:pPr>
            <w:r>
              <w:t>工作人员工作合格率</w:t>
            </w:r>
          </w:p>
        </w:tc>
        <w:tc>
          <w:tcPr>
            <w:tcW w:w="2268" w:type="dxa"/>
            <w:vAlign w:val="center"/>
          </w:tcPr>
          <w:p>
            <w:pPr>
              <w:pStyle w:val="13"/>
            </w:pPr>
            <w:r>
              <w:t>≥95%</w:t>
            </w:r>
          </w:p>
        </w:tc>
        <w:tc>
          <w:tcPr>
            <w:tcW w:w="1276" w:type="dxa"/>
            <w:vAlign w:val="center"/>
          </w:tcPr>
          <w:p>
            <w:pPr>
              <w:pStyle w:val="13"/>
            </w:pPr>
            <w:r>
              <w:t>2024年信访局工作计划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工作时间</w:t>
            </w:r>
          </w:p>
        </w:tc>
        <w:tc>
          <w:tcPr>
            <w:tcW w:w="5386" w:type="dxa"/>
            <w:vAlign w:val="center"/>
          </w:tcPr>
          <w:p>
            <w:pPr>
              <w:pStyle w:val="13"/>
            </w:pPr>
            <w:r>
              <w:t>工作人员工作时间</w:t>
            </w:r>
          </w:p>
        </w:tc>
        <w:tc>
          <w:tcPr>
            <w:tcW w:w="2268" w:type="dxa"/>
            <w:vAlign w:val="center"/>
          </w:tcPr>
          <w:p>
            <w:pPr>
              <w:pStyle w:val="13"/>
            </w:pPr>
            <w:r>
              <w:t>≤12月</w:t>
            </w:r>
          </w:p>
        </w:tc>
        <w:tc>
          <w:tcPr>
            <w:tcW w:w="1276" w:type="dxa"/>
            <w:vAlign w:val="center"/>
          </w:tcPr>
          <w:p>
            <w:pPr>
              <w:pStyle w:val="13"/>
            </w:pPr>
            <w:r>
              <w:t>2024年信访局工作计划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人均发放标准</w:t>
            </w:r>
          </w:p>
        </w:tc>
        <w:tc>
          <w:tcPr>
            <w:tcW w:w="5386" w:type="dxa"/>
            <w:vAlign w:val="center"/>
          </w:tcPr>
          <w:p>
            <w:pPr>
              <w:pStyle w:val="13"/>
            </w:pPr>
            <w:r>
              <w:t>工作人员人均发放标准</w:t>
            </w:r>
          </w:p>
        </w:tc>
        <w:tc>
          <w:tcPr>
            <w:tcW w:w="2268" w:type="dxa"/>
            <w:vAlign w:val="center"/>
          </w:tcPr>
          <w:p>
            <w:pPr>
              <w:pStyle w:val="13"/>
            </w:pPr>
            <w:r>
              <w:t>≤1480元/人/月</w:t>
            </w:r>
          </w:p>
        </w:tc>
        <w:tc>
          <w:tcPr>
            <w:tcW w:w="1276" w:type="dxa"/>
            <w:vAlign w:val="center"/>
          </w:tcPr>
          <w:p>
            <w:pPr>
              <w:pStyle w:val="13"/>
            </w:pPr>
            <w:r>
              <w:t>2024年信访局预算测算数</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持续保障中心安保工作</w:t>
            </w:r>
          </w:p>
        </w:tc>
        <w:tc>
          <w:tcPr>
            <w:tcW w:w="5386" w:type="dxa"/>
            <w:vAlign w:val="center"/>
          </w:tcPr>
          <w:p>
            <w:pPr>
              <w:pStyle w:val="13"/>
            </w:pPr>
            <w:r>
              <w:t>全年聘用安保人员开展安保工作，持续开展安保工作</w:t>
            </w:r>
          </w:p>
        </w:tc>
        <w:tc>
          <w:tcPr>
            <w:tcW w:w="2268" w:type="dxa"/>
            <w:vAlign w:val="center"/>
          </w:tcPr>
          <w:p>
            <w:pPr>
              <w:pStyle w:val="13"/>
            </w:pPr>
            <w:r>
              <w:t>≥95%</w:t>
            </w:r>
          </w:p>
        </w:tc>
        <w:tc>
          <w:tcPr>
            <w:tcW w:w="1276" w:type="dxa"/>
            <w:vAlign w:val="center"/>
          </w:tcPr>
          <w:p>
            <w:pPr>
              <w:pStyle w:val="13"/>
            </w:pPr>
            <w:r>
              <w:t>2024年信访局工作计划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劳务人员满意率</w:t>
            </w:r>
          </w:p>
        </w:tc>
        <w:tc>
          <w:tcPr>
            <w:tcW w:w="5386" w:type="dxa"/>
            <w:vAlign w:val="center"/>
          </w:tcPr>
          <w:p>
            <w:pPr>
              <w:pStyle w:val="13"/>
            </w:pPr>
            <w:r>
              <w:t>劳务工作人员满意率人员占总人数比例</w:t>
            </w:r>
          </w:p>
        </w:tc>
        <w:tc>
          <w:tcPr>
            <w:tcW w:w="2268" w:type="dxa"/>
            <w:vAlign w:val="center"/>
          </w:tcPr>
          <w:p>
            <w:pPr>
              <w:pStyle w:val="13"/>
            </w:pPr>
            <w:r>
              <w:t>≥95%</w:t>
            </w:r>
          </w:p>
        </w:tc>
        <w:tc>
          <w:tcPr>
            <w:tcW w:w="1276" w:type="dxa"/>
            <w:vAlign w:val="center"/>
          </w:tcPr>
          <w:p>
            <w:pPr>
              <w:pStyle w:val="13"/>
            </w:pPr>
            <w:r>
              <w:t>回访调查问卷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2、劳务派遣劳务费绩效目标表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13010724P00011310005X</w:t>
            </w:r>
          </w:p>
        </w:tc>
        <w:tc>
          <w:tcPr>
            <w:tcW w:w="2835" w:type="dxa"/>
            <w:vAlign w:val="center"/>
          </w:tcPr>
          <w:p>
            <w:pPr>
              <w:pStyle w:val="11"/>
            </w:pPr>
            <w:r>
              <w:t>项目名称</w:t>
            </w:r>
          </w:p>
        </w:tc>
        <w:tc>
          <w:tcPr>
            <w:tcW w:w="6095" w:type="dxa"/>
            <w:gridSpan w:val="3"/>
            <w:vAlign w:val="center"/>
          </w:tcPr>
          <w:p>
            <w:pPr>
              <w:pStyle w:val="13"/>
            </w:pPr>
            <w:r>
              <w:t>劳务派遣劳务费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27.35</w:t>
            </w:r>
          </w:p>
        </w:tc>
        <w:tc>
          <w:tcPr>
            <w:tcW w:w="2835" w:type="dxa"/>
            <w:vAlign w:val="center"/>
          </w:tcPr>
          <w:p>
            <w:pPr>
              <w:pStyle w:val="11"/>
            </w:pPr>
            <w:r>
              <w:t>其中：财政    资金</w:t>
            </w:r>
          </w:p>
        </w:tc>
        <w:tc>
          <w:tcPr>
            <w:tcW w:w="2551" w:type="dxa"/>
            <w:vAlign w:val="center"/>
          </w:tcPr>
          <w:p>
            <w:pPr>
              <w:pStyle w:val="13"/>
            </w:pPr>
            <w:r>
              <w:t>27.35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劳务派遣人员8名劳务费，保障人员工资。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6.80</w:t>
            </w:r>
          </w:p>
        </w:tc>
        <w:tc>
          <w:tcPr>
            <w:tcW w:w="2835" w:type="dxa"/>
            <w:vAlign w:val="center"/>
          </w:tcPr>
          <w:p>
            <w:pPr>
              <w:pStyle w:val="14"/>
            </w:pPr>
            <w:r>
              <w:t>13.60</w:t>
            </w:r>
          </w:p>
        </w:tc>
        <w:tc>
          <w:tcPr>
            <w:tcW w:w="2551" w:type="dxa"/>
            <w:vAlign w:val="center"/>
          </w:tcPr>
          <w:p>
            <w:pPr>
              <w:pStyle w:val="14"/>
            </w:pPr>
            <w:r>
              <w:t>20.40</w:t>
            </w:r>
          </w:p>
        </w:tc>
        <w:tc>
          <w:tcPr>
            <w:tcW w:w="3544" w:type="dxa"/>
            <w:gridSpan w:val="2"/>
            <w:vAlign w:val="center"/>
          </w:tcPr>
          <w:p>
            <w:pPr>
              <w:pStyle w:val="14"/>
            </w:pPr>
            <w:r>
              <w:t>27.35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1.劳务派遣人员8名劳务费用，保障中心安全和工作正常开展。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聘请劳务派遣人数</w:t>
            </w:r>
          </w:p>
        </w:tc>
        <w:tc>
          <w:tcPr>
            <w:tcW w:w="5386" w:type="dxa"/>
            <w:vAlign w:val="center"/>
          </w:tcPr>
          <w:p>
            <w:pPr>
              <w:pStyle w:val="13"/>
            </w:pPr>
            <w:r>
              <w:t>聘请劳务外包人员人数及劳务派遣人数</w:t>
            </w:r>
          </w:p>
        </w:tc>
        <w:tc>
          <w:tcPr>
            <w:tcW w:w="2268" w:type="dxa"/>
            <w:vAlign w:val="center"/>
          </w:tcPr>
          <w:p>
            <w:pPr>
              <w:pStyle w:val="13"/>
            </w:pPr>
            <w:r>
              <w:t>≥8人</w:t>
            </w:r>
          </w:p>
        </w:tc>
        <w:tc>
          <w:tcPr>
            <w:tcW w:w="1276" w:type="dxa"/>
            <w:vAlign w:val="center"/>
          </w:tcPr>
          <w:p>
            <w:pPr>
              <w:pStyle w:val="13"/>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工作合格率</w:t>
            </w:r>
          </w:p>
        </w:tc>
        <w:tc>
          <w:tcPr>
            <w:tcW w:w="5386" w:type="dxa"/>
            <w:vAlign w:val="center"/>
          </w:tcPr>
          <w:p>
            <w:pPr>
              <w:pStyle w:val="13"/>
            </w:pPr>
            <w:r>
              <w:t>工作人员工作合格率</w:t>
            </w:r>
          </w:p>
        </w:tc>
        <w:tc>
          <w:tcPr>
            <w:tcW w:w="2268" w:type="dxa"/>
            <w:vAlign w:val="center"/>
          </w:tcPr>
          <w:p>
            <w:pPr>
              <w:pStyle w:val="13"/>
            </w:pPr>
            <w:r>
              <w:t>≥95%</w:t>
            </w:r>
          </w:p>
        </w:tc>
        <w:tc>
          <w:tcPr>
            <w:tcW w:w="1276" w:type="dxa"/>
            <w:vAlign w:val="center"/>
          </w:tcPr>
          <w:p>
            <w:pPr>
              <w:pStyle w:val="13"/>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工作时间</w:t>
            </w:r>
          </w:p>
        </w:tc>
        <w:tc>
          <w:tcPr>
            <w:tcW w:w="5386" w:type="dxa"/>
            <w:vAlign w:val="center"/>
          </w:tcPr>
          <w:p>
            <w:pPr>
              <w:pStyle w:val="13"/>
            </w:pPr>
            <w:r>
              <w:t>工作人员工作时间</w:t>
            </w:r>
          </w:p>
        </w:tc>
        <w:tc>
          <w:tcPr>
            <w:tcW w:w="2268" w:type="dxa"/>
            <w:vAlign w:val="center"/>
          </w:tcPr>
          <w:p>
            <w:pPr>
              <w:pStyle w:val="13"/>
            </w:pPr>
            <w:r>
              <w:t>12月</w:t>
            </w:r>
          </w:p>
        </w:tc>
        <w:tc>
          <w:tcPr>
            <w:tcW w:w="1276" w:type="dxa"/>
            <w:vAlign w:val="center"/>
          </w:tcPr>
          <w:p>
            <w:pPr>
              <w:pStyle w:val="13"/>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人均发放标准</w:t>
            </w:r>
          </w:p>
        </w:tc>
        <w:tc>
          <w:tcPr>
            <w:tcW w:w="5386" w:type="dxa"/>
            <w:vAlign w:val="center"/>
          </w:tcPr>
          <w:p>
            <w:pPr>
              <w:pStyle w:val="13"/>
            </w:pPr>
            <w:r>
              <w:t>工作人员人均发放标准</w:t>
            </w:r>
          </w:p>
        </w:tc>
        <w:tc>
          <w:tcPr>
            <w:tcW w:w="2268" w:type="dxa"/>
            <w:vAlign w:val="center"/>
          </w:tcPr>
          <w:p>
            <w:pPr>
              <w:pStyle w:val="13"/>
            </w:pPr>
            <w:r>
              <w:t>≤2881元/人/月</w:t>
            </w:r>
          </w:p>
        </w:tc>
        <w:tc>
          <w:tcPr>
            <w:tcW w:w="1276" w:type="dxa"/>
            <w:vAlign w:val="center"/>
          </w:tcPr>
          <w:p>
            <w:pPr>
              <w:pStyle w:val="13"/>
            </w:pPr>
            <w:r>
              <w:t>2024年信访局预算测算数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聘用劳务派遣人员及劳务外包人员确保中心基础工作正常开展</w:t>
            </w:r>
          </w:p>
        </w:tc>
        <w:tc>
          <w:tcPr>
            <w:tcW w:w="2268" w:type="dxa"/>
            <w:vAlign w:val="center"/>
          </w:tcPr>
          <w:p>
            <w:pPr>
              <w:pStyle w:val="13"/>
            </w:pPr>
            <w:r>
              <w:t>100%</w:t>
            </w:r>
          </w:p>
        </w:tc>
        <w:tc>
          <w:tcPr>
            <w:tcW w:w="1276" w:type="dxa"/>
            <w:vAlign w:val="center"/>
          </w:tcPr>
          <w:p>
            <w:pPr>
              <w:pStyle w:val="13"/>
            </w:pPr>
            <w:r>
              <w:t>2024年信访局工作计划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劳务人员满意率</w:t>
            </w:r>
          </w:p>
        </w:tc>
        <w:tc>
          <w:tcPr>
            <w:tcW w:w="5386" w:type="dxa"/>
            <w:vAlign w:val="center"/>
          </w:tcPr>
          <w:p>
            <w:pPr>
              <w:pStyle w:val="13"/>
            </w:pPr>
            <w:r>
              <w:t>劳务工作人员满意率人员占总人数比例</w:t>
            </w:r>
          </w:p>
        </w:tc>
        <w:tc>
          <w:tcPr>
            <w:tcW w:w="2268" w:type="dxa"/>
            <w:vAlign w:val="center"/>
          </w:tcPr>
          <w:p>
            <w:pPr>
              <w:pStyle w:val="13"/>
            </w:pPr>
            <w:r>
              <w:t>≥95%</w:t>
            </w:r>
          </w:p>
        </w:tc>
        <w:tc>
          <w:tcPr>
            <w:tcW w:w="1276" w:type="dxa"/>
            <w:vAlign w:val="center"/>
          </w:tcPr>
          <w:p>
            <w:pPr>
              <w:pStyle w:val="13"/>
            </w:pPr>
            <w:r>
              <w:t>回访调查问卷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3、2023年中央及市级解决特殊疑难信访问题资金绩效目标表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13010724P000112102020</w:t>
            </w:r>
          </w:p>
        </w:tc>
        <w:tc>
          <w:tcPr>
            <w:tcW w:w="2835" w:type="dxa"/>
            <w:vAlign w:val="center"/>
          </w:tcPr>
          <w:p>
            <w:pPr>
              <w:pStyle w:val="11"/>
            </w:pPr>
            <w:r>
              <w:t>项目名称</w:t>
            </w:r>
          </w:p>
        </w:tc>
        <w:tc>
          <w:tcPr>
            <w:tcW w:w="6095" w:type="dxa"/>
            <w:gridSpan w:val="3"/>
            <w:vAlign w:val="center"/>
          </w:tcPr>
          <w:p>
            <w:pPr>
              <w:pStyle w:val="13"/>
            </w:pPr>
            <w:r>
              <w:t>2023年中央及市级解决特殊疑难信访问题资金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解决特殊疑难信访问题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1.解决特殊疑难信访问题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解决特殊疑难疑难信访案件</w:t>
            </w:r>
          </w:p>
        </w:tc>
        <w:tc>
          <w:tcPr>
            <w:tcW w:w="5386" w:type="dxa"/>
            <w:vAlign w:val="center"/>
          </w:tcPr>
          <w:p>
            <w:pPr>
              <w:pStyle w:val="13"/>
            </w:pPr>
            <w:r>
              <w:t>解决特殊疑难疑难信访案件</w:t>
            </w:r>
          </w:p>
        </w:tc>
        <w:tc>
          <w:tcPr>
            <w:tcW w:w="2268" w:type="dxa"/>
            <w:vAlign w:val="center"/>
          </w:tcPr>
          <w:p>
            <w:pPr>
              <w:pStyle w:val="13"/>
            </w:pPr>
            <w:r>
              <w:t>≥5件</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息诉罢访率(%)</w:t>
            </w:r>
          </w:p>
        </w:tc>
        <w:tc>
          <w:tcPr>
            <w:tcW w:w="5386" w:type="dxa"/>
            <w:vAlign w:val="center"/>
          </w:tcPr>
          <w:p>
            <w:pPr>
              <w:pStyle w:val="13"/>
            </w:pPr>
            <w:r>
              <w:t>息诉罢访率(%)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控制成本</w:t>
            </w:r>
          </w:p>
        </w:tc>
        <w:tc>
          <w:tcPr>
            <w:tcW w:w="2268" w:type="dxa"/>
            <w:vAlign w:val="center"/>
          </w:tcPr>
          <w:p>
            <w:pPr>
              <w:pStyle w:val="13"/>
            </w:pPr>
            <w:r>
              <w:t>≥10万元</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化解矛盾率(%)</w:t>
            </w:r>
          </w:p>
        </w:tc>
        <w:tc>
          <w:tcPr>
            <w:tcW w:w="5386" w:type="dxa"/>
            <w:vAlign w:val="center"/>
          </w:tcPr>
          <w:p>
            <w:pPr>
              <w:pStyle w:val="13"/>
            </w:pPr>
            <w:r>
              <w:t>化解矛盾率(%)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4、党建工作经费绩效目标表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13010724P00011210081Q</w:t>
            </w:r>
          </w:p>
        </w:tc>
        <w:tc>
          <w:tcPr>
            <w:tcW w:w="2835" w:type="dxa"/>
            <w:vAlign w:val="center"/>
          </w:tcPr>
          <w:p>
            <w:pPr>
              <w:pStyle w:val="11"/>
            </w:pPr>
            <w:r>
              <w:t>项目名称</w:t>
            </w:r>
          </w:p>
        </w:tc>
        <w:tc>
          <w:tcPr>
            <w:tcW w:w="6095" w:type="dxa"/>
            <w:gridSpan w:val="3"/>
            <w:vAlign w:val="center"/>
          </w:tcPr>
          <w:p>
            <w:pPr>
              <w:pStyle w:val="13"/>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0.03</w:t>
            </w:r>
          </w:p>
        </w:tc>
        <w:tc>
          <w:tcPr>
            <w:tcW w:w="2835" w:type="dxa"/>
            <w:vAlign w:val="center"/>
          </w:tcPr>
          <w:p>
            <w:pPr>
              <w:pStyle w:val="11"/>
            </w:pPr>
            <w:r>
              <w:t>其中：财政    资金</w:t>
            </w:r>
          </w:p>
        </w:tc>
        <w:tc>
          <w:tcPr>
            <w:tcW w:w="2551" w:type="dxa"/>
            <w:vAlign w:val="center"/>
          </w:tcPr>
          <w:p>
            <w:pPr>
              <w:pStyle w:val="13"/>
            </w:pPr>
            <w:r>
              <w:t>0.03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党建工作经费0.03万元，开展党员购买学习资料。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0.01</w:t>
            </w:r>
          </w:p>
        </w:tc>
        <w:tc>
          <w:tcPr>
            <w:tcW w:w="2835" w:type="dxa"/>
            <w:vAlign w:val="center"/>
          </w:tcPr>
          <w:p>
            <w:pPr>
              <w:pStyle w:val="14"/>
            </w:pPr>
            <w:r>
              <w:t>0.02</w:t>
            </w:r>
          </w:p>
        </w:tc>
        <w:tc>
          <w:tcPr>
            <w:tcW w:w="2551" w:type="dxa"/>
            <w:vAlign w:val="center"/>
          </w:tcPr>
          <w:p>
            <w:pPr>
              <w:pStyle w:val="14"/>
            </w:pPr>
            <w:r>
              <w:t>0.02</w:t>
            </w:r>
          </w:p>
        </w:tc>
        <w:tc>
          <w:tcPr>
            <w:tcW w:w="3544" w:type="dxa"/>
            <w:gridSpan w:val="2"/>
            <w:vAlign w:val="center"/>
          </w:tcPr>
          <w:p>
            <w:pPr>
              <w:pStyle w:val="14"/>
            </w:pPr>
            <w:r>
              <w:t>0.03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1.开展12次党员培训，不断提高全局党员队伍建设，不断提升基层常务工作者能力素质和水平。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购置资料数量</w:t>
            </w:r>
          </w:p>
        </w:tc>
        <w:tc>
          <w:tcPr>
            <w:tcW w:w="5386" w:type="dxa"/>
            <w:vAlign w:val="center"/>
          </w:tcPr>
          <w:p>
            <w:pPr>
              <w:pStyle w:val="13"/>
            </w:pPr>
            <w:r>
              <w:t>购置数量</w:t>
            </w:r>
          </w:p>
        </w:tc>
        <w:tc>
          <w:tcPr>
            <w:tcW w:w="2268" w:type="dxa"/>
            <w:vAlign w:val="center"/>
          </w:tcPr>
          <w:p>
            <w:pPr>
              <w:pStyle w:val="13"/>
            </w:pPr>
            <w:r>
              <w:t>≥5本</w:t>
            </w:r>
          </w:p>
        </w:tc>
        <w:tc>
          <w:tcPr>
            <w:tcW w:w="1276" w:type="dxa"/>
            <w:vAlign w:val="center"/>
          </w:tcPr>
          <w:p>
            <w:pPr>
              <w:pStyle w:val="13"/>
            </w:pPr>
            <w:r>
              <w:t>2024年信访工作计划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数量指标</w:t>
            </w:r>
          </w:p>
        </w:tc>
        <w:tc>
          <w:tcPr>
            <w:tcW w:w="2835" w:type="dxa"/>
            <w:vAlign w:val="center"/>
          </w:tcPr>
          <w:p>
            <w:pPr>
              <w:pStyle w:val="13"/>
            </w:pPr>
            <w:r>
              <w:t>培训人员数</w:t>
            </w:r>
          </w:p>
        </w:tc>
        <w:tc>
          <w:tcPr>
            <w:tcW w:w="5386" w:type="dxa"/>
            <w:vAlign w:val="center"/>
          </w:tcPr>
          <w:p>
            <w:pPr>
              <w:pStyle w:val="13"/>
            </w:pPr>
            <w:r>
              <w:t>参加党员培训人员数</w:t>
            </w:r>
          </w:p>
        </w:tc>
        <w:tc>
          <w:tcPr>
            <w:tcW w:w="2268" w:type="dxa"/>
            <w:vAlign w:val="center"/>
          </w:tcPr>
          <w:p>
            <w:pPr>
              <w:pStyle w:val="13"/>
            </w:pPr>
            <w:r>
              <w:t>5人</w:t>
            </w:r>
          </w:p>
        </w:tc>
        <w:tc>
          <w:tcPr>
            <w:tcW w:w="1276" w:type="dxa"/>
            <w:vAlign w:val="center"/>
          </w:tcPr>
          <w:p>
            <w:pPr>
              <w:pStyle w:val="13"/>
            </w:pPr>
            <w:r>
              <w:t>党员人数5人</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培训工作达标率</w:t>
            </w:r>
          </w:p>
        </w:tc>
        <w:tc>
          <w:tcPr>
            <w:tcW w:w="5386" w:type="dxa"/>
            <w:vAlign w:val="center"/>
          </w:tcPr>
          <w:p>
            <w:pPr>
              <w:pStyle w:val="13"/>
            </w:pPr>
            <w:r>
              <w:t>党员培训工作达标率</w:t>
            </w:r>
          </w:p>
        </w:tc>
        <w:tc>
          <w:tcPr>
            <w:tcW w:w="2268" w:type="dxa"/>
            <w:vAlign w:val="center"/>
          </w:tcPr>
          <w:p>
            <w:pPr>
              <w:pStyle w:val="13"/>
            </w:pPr>
            <w:r>
              <w:t>≥95%</w:t>
            </w:r>
          </w:p>
        </w:tc>
        <w:tc>
          <w:tcPr>
            <w:tcW w:w="1276" w:type="dxa"/>
            <w:vAlign w:val="center"/>
          </w:tcPr>
          <w:p>
            <w:pPr>
              <w:pStyle w:val="13"/>
            </w:pPr>
            <w:r>
              <w:t>2024年信访工作计划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培训和资料购置等工作完成率</w:t>
            </w:r>
          </w:p>
        </w:tc>
        <w:tc>
          <w:tcPr>
            <w:tcW w:w="5386" w:type="dxa"/>
            <w:vAlign w:val="center"/>
          </w:tcPr>
          <w:p>
            <w:pPr>
              <w:pStyle w:val="13"/>
            </w:pPr>
            <w:r>
              <w:t>购置党员学习资料完成时间</w:t>
            </w:r>
          </w:p>
        </w:tc>
        <w:tc>
          <w:tcPr>
            <w:tcW w:w="2268" w:type="dxa"/>
            <w:vAlign w:val="center"/>
          </w:tcPr>
          <w:p>
            <w:pPr>
              <w:pStyle w:val="13"/>
            </w:pPr>
            <w:r>
              <w:t>≤8月</w:t>
            </w:r>
          </w:p>
        </w:tc>
        <w:tc>
          <w:tcPr>
            <w:tcW w:w="1276" w:type="dxa"/>
            <w:vAlign w:val="center"/>
          </w:tcPr>
          <w:p>
            <w:pPr>
              <w:pStyle w:val="13"/>
            </w:pPr>
            <w:r>
              <w:t>2024年信访工作计划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购买平均费用</w:t>
            </w:r>
          </w:p>
        </w:tc>
        <w:tc>
          <w:tcPr>
            <w:tcW w:w="5386" w:type="dxa"/>
            <w:vAlign w:val="center"/>
          </w:tcPr>
          <w:p>
            <w:pPr>
              <w:pStyle w:val="13"/>
            </w:pPr>
            <w:r>
              <w:t>购置党员学习资料平均费用</w:t>
            </w:r>
          </w:p>
        </w:tc>
        <w:tc>
          <w:tcPr>
            <w:tcW w:w="2268" w:type="dxa"/>
            <w:vAlign w:val="center"/>
          </w:tcPr>
          <w:p>
            <w:pPr>
              <w:pStyle w:val="13"/>
            </w:pPr>
            <w:r>
              <w:t>≤30元/本</w:t>
            </w:r>
          </w:p>
        </w:tc>
        <w:tc>
          <w:tcPr>
            <w:tcW w:w="1276" w:type="dxa"/>
            <w:vAlign w:val="center"/>
          </w:tcPr>
          <w:p>
            <w:pPr>
              <w:pStyle w:val="13"/>
            </w:pPr>
            <w:r>
              <w:t>2024年信访工作计划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党建费用</w:t>
            </w:r>
          </w:p>
        </w:tc>
        <w:tc>
          <w:tcPr>
            <w:tcW w:w="5386" w:type="dxa"/>
            <w:vAlign w:val="center"/>
          </w:tcPr>
          <w:p>
            <w:pPr>
              <w:pStyle w:val="13"/>
            </w:pPr>
            <w:r>
              <w:t>党建费用</w:t>
            </w:r>
          </w:p>
        </w:tc>
        <w:tc>
          <w:tcPr>
            <w:tcW w:w="2268" w:type="dxa"/>
            <w:vAlign w:val="center"/>
          </w:tcPr>
          <w:p>
            <w:pPr>
              <w:pStyle w:val="13"/>
            </w:pPr>
            <w:r>
              <w:t>≤0.03万元</w:t>
            </w:r>
          </w:p>
        </w:tc>
        <w:tc>
          <w:tcPr>
            <w:tcW w:w="1276" w:type="dxa"/>
            <w:vAlign w:val="center"/>
          </w:tcPr>
          <w:p>
            <w:pPr>
              <w:pStyle w:val="13"/>
            </w:pPr>
            <w:r>
              <w:t>2024年信访局预算测算</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政治素养提升率</w:t>
            </w:r>
          </w:p>
        </w:tc>
        <w:tc>
          <w:tcPr>
            <w:tcW w:w="5386" w:type="dxa"/>
            <w:vAlign w:val="center"/>
          </w:tcPr>
          <w:p>
            <w:pPr>
              <w:pStyle w:val="13"/>
            </w:pPr>
            <w:r>
              <w:t>基层党务工作者能力素质和水平政治素养提升，不断提高全局党员队伍建设</w:t>
            </w:r>
          </w:p>
        </w:tc>
        <w:tc>
          <w:tcPr>
            <w:tcW w:w="2268" w:type="dxa"/>
            <w:vAlign w:val="center"/>
          </w:tcPr>
          <w:p>
            <w:pPr>
              <w:pStyle w:val="13"/>
            </w:pPr>
            <w:r>
              <w:t>通过基层党务工作学习提升党员队伍建设</w:t>
            </w:r>
          </w:p>
        </w:tc>
        <w:tc>
          <w:tcPr>
            <w:tcW w:w="1276" w:type="dxa"/>
            <w:vAlign w:val="center"/>
          </w:tcPr>
          <w:p>
            <w:pPr>
              <w:pStyle w:val="13"/>
            </w:pPr>
            <w:r>
              <w:t>2024年信访工作计划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党员满意率</w:t>
            </w:r>
          </w:p>
        </w:tc>
        <w:tc>
          <w:tcPr>
            <w:tcW w:w="5386" w:type="dxa"/>
            <w:vAlign w:val="center"/>
          </w:tcPr>
          <w:p>
            <w:pPr>
              <w:pStyle w:val="13"/>
            </w:pPr>
            <w:r>
              <w:t>党员满意人员占总人数比例</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5、多元化解中心运行经费绩效目标表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13010724P000112100830</w:t>
            </w:r>
          </w:p>
        </w:tc>
        <w:tc>
          <w:tcPr>
            <w:tcW w:w="2835" w:type="dxa"/>
            <w:vAlign w:val="center"/>
          </w:tcPr>
          <w:p>
            <w:pPr>
              <w:pStyle w:val="11"/>
            </w:pPr>
            <w:r>
              <w:t>项目名称</w:t>
            </w:r>
          </w:p>
        </w:tc>
        <w:tc>
          <w:tcPr>
            <w:tcW w:w="6095" w:type="dxa"/>
            <w:gridSpan w:val="3"/>
            <w:vAlign w:val="center"/>
          </w:tcPr>
          <w:p>
            <w:pPr>
              <w:pStyle w:val="13"/>
            </w:pPr>
            <w:r>
              <w:t>多元化解中心运行经费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多元化解中心运行经费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0.75</w:t>
            </w:r>
          </w:p>
        </w:tc>
        <w:tc>
          <w:tcPr>
            <w:tcW w:w="2835" w:type="dxa"/>
            <w:vAlign w:val="center"/>
          </w:tcPr>
          <w:p>
            <w:pPr>
              <w:pStyle w:val="14"/>
            </w:pPr>
            <w:r>
              <w:t>1.50</w:t>
            </w:r>
          </w:p>
        </w:tc>
        <w:tc>
          <w:tcPr>
            <w:tcW w:w="2551" w:type="dxa"/>
            <w:vAlign w:val="center"/>
          </w:tcPr>
          <w:p>
            <w:pPr>
              <w:pStyle w:val="14"/>
            </w:pPr>
            <w:r>
              <w:t>2.25</w:t>
            </w:r>
          </w:p>
        </w:tc>
        <w:tc>
          <w:tcPr>
            <w:tcW w:w="3544"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1.多元化解中心办公需求，保障中心接访工作、化解信访案件，维护社会稳定。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办公经费覆盖率</w:t>
            </w:r>
          </w:p>
        </w:tc>
        <w:tc>
          <w:tcPr>
            <w:tcW w:w="5386" w:type="dxa"/>
            <w:vAlign w:val="center"/>
          </w:tcPr>
          <w:p>
            <w:pPr>
              <w:pStyle w:val="13"/>
            </w:pPr>
            <w:r>
              <w:t>覆盖化解中心全部办公费用</w:t>
            </w:r>
          </w:p>
        </w:tc>
        <w:tc>
          <w:tcPr>
            <w:tcW w:w="2268" w:type="dxa"/>
            <w:vAlign w:val="center"/>
          </w:tcPr>
          <w:p>
            <w:pPr>
              <w:pStyle w:val="13"/>
            </w:pPr>
            <w:r>
              <w:t>100%</w:t>
            </w:r>
          </w:p>
        </w:tc>
        <w:tc>
          <w:tcPr>
            <w:tcW w:w="1276" w:type="dxa"/>
            <w:vAlign w:val="center"/>
          </w:tcPr>
          <w:p>
            <w:pPr>
              <w:pStyle w:val="13"/>
            </w:pPr>
            <w:r>
              <w:t>2024年信访局工作计划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群众来访接待率</w:t>
            </w:r>
          </w:p>
        </w:tc>
        <w:tc>
          <w:tcPr>
            <w:tcW w:w="5386" w:type="dxa"/>
            <w:vAlign w:val="center"/>
          </w:tcPr>
          <w:p>
            <w:pPr>
              <w:pStyle w:val="13"/>
            </w:pPr>
            <w:r>
              <w:t>多元化解中心群众来访接待率</w:t>
            </w:r>
          </w:p>
        </w:tc>
        <w:tc>
          <w:tcPr>
            <w:tcW w:w="2268" w:type="dxa"/>
            <w:vAlign w:val="center"/>
          </w:tcPr>
          <w:p>
            <w:pPr>
              <w:pStyle w:val="13"/>
            </w:pPr>
            <w:r>
              <w:t>≥98%</w:t>
            </w:r>
          </w:p>
        </w:tc>
        <w:tc>
          <w:tcPr>
            <w:tcW w:w="1276" w:type="dxa"/>
            <w:vAlign w:val="center"/>
          </w:tcPr>
          <w:p>
            <w:pPr>
              <w:pStyle w:val="13"/>
            </w:pPr>
            <w:r>
              <w:t>2024年信访局工作计划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保障工作时间</w:t>
            </w:r>
          </w:p>
        </w:tc>
        <w:tc>
          <w:tcPr>
            <w:tcW w:w="5386" w:type="dxa"/>
            <w:vAlign w:val="center"/>
          </w:tcPr>
          <w:p>
            <w:pPr>
              <w:pStyle w:val="13"/>
            </w:pPr>
            <w:r>
              <w:t>办公经费保障各项任务时间</w:t>
            </w:r>
          </w:p>
        </w:tc>
        <w:tc>
          <w:tcPr>
            <w:tcW w:w="2268" w:type="dxa"/>
            <w:vAlign w:val="center"/>
          </w:tcPr>
          <w:p>
            <w:pPr>
              <w:pStyle w:val="13"/>
            </w:pPr>
            <w:r>
              <w:t>1年</w:t>
            </w:r>
          </w:p>
        </w:tc>
        <w:tc>
          <w:tcPr>
            <w:tcW w:w="1276" w:type="dxa"/>
            <w:vAlign w:val="center"/>
          </w:tcPr>
          <w:p>
            <w:pPr>
              <w:pStyle w:val="13"/>
            </w:pPr>
            <w:r>
              <w:t>2024年信访局工作计划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季度平均费用</w:t>
            </w:r>
          </w:p>
        </w:tc>
        <w:tc>
          <w:tcPr>
            <w:tcW w:w="5386" w:type="dxa"/>
            <w:vAlign w:val="center"/>
          </w:tcPr>
          <w:p>
            <w:pPr>
              <w:pStyle w:val="13"/>
            </w:pPr>
            <w:r>
              <w:t>整合中心平均运行经费</w:t>
            </w:r>
          </w:p>
        </w:tc>
        <w:tc>
          <w:tcPr>
            <w:tcW w:w="2268" w:type="dxa"/>
            <w:vAlign w:val="center"/>
          </w:tcPr>
          <w:p>
            <w:pPr>
              <w:pStyle w:val="13"/>
            </w:pPr>
            <w:r>
              <w:t>≤0.75万元/季度</w:t>
            </w:r>
          </w:p>
        </w:tc>
        <w:tc>
          <w:tcPr>
            <w:tcW w:w="1276" w:type="dxa"/>
            <w:vAlign w:val="center"/>
          </w:tcPr>
          <w:p>
            <w:pPr>
              <w:pStyle w:val="13"/>
            </w:pPr>
            <w:r>
              <w:t>2024年信访局预算测算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化解中心运行稳定率</w:t>
            </w:r>
          </w:p>
        </w:tc>
        <w:tc>
          <w:tcPr>
            <w:tcW w:w="5386" w:type="dxa"/>
            <w:vAlign w:val="center"/>
          </w:tcPr>
          <w:p>
            <w:pPr>
              <w:pStyle w:val="13"/>
            </w:pPr>
            <w:r>
              <w:t>化解中心全年正常运行</w:t>
            </w:r>
          </w:p>
        </w:tc>
        <w:tc>
          <w:tcPr>
            <w:tcW w:w="2268" w:type="dxa"/>
            <w:vAlign w:val="center"/>
          </w:tcPr>
          <w:p>
            <w:pPr>
              <w:pStyle w:val="13"/>
            </w:pPr>
            <w:r>
              <w:t>100%</w:t>
            </w:r>
          </w:p>
        </w:tc>
        <w:tc>
          <w:tcPr>
            <w:tcW w:w="1276" w:type="dxa"/>
            <w:vAlign w:val="center"/>
          </w:tcPr>
          <w:p>
            <w:pPr>
              <w:pStyle w:val="13"/>
            </w:pPr>
            <w:r>
              <w:t>参考2023年历史经验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接待来访群众，完成接访工作、化解信访案件、维护社会稳定</w:t>
            </w:r>
          </w:p>
        </w:tc>
        <w:tc>
          <w:tcPr>
            <w:tcW w:w="2268" w:type="dxa"/>
            <w:vAlign w:val="center"/>
          </w:tcPr>
          <w:p>
            <w:pPr>
              <w:pStyle w:val="13"/>
            </w:pPr>
            <w:r>
              <w:t>化解信访案件，维护社会稳定减少信访案件</w:t>
            </w:r>
          </w:p>
        </w:tc>
        <w:tc>
          <w:tcPr>
            <w:tcW w:w="1276" w:type="dxa"/>
            <w:vAlign w:val="center"/>
          </w:tcPr>
          <w:p>
            <w:pPr>
              <w:pStyle w:val="13"/>
            </w:pPr>
            <w:r>
              <w:t>参考2023年历史经验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信访群众多元化解中心满意度</w:t>
            </w:r>
          </w:p>
        </w:tc>
        <w:tc>
          <w:tcPr>
            <w:tcW w:w="2268" w:type="dxa"/>
            <w:vAlign w:val="center"/>
          </w:tcPr>
          <w:p>
            <w:pPr>
              <w:pStyle w:val="13"/>
            </w:pPr>
            <w:r>
              <w:t>≥98%</w:t>
            </w:r>
          </w:p>
        </w:tc>
        <w:tc>
          <w:tcPr>
            <w:tcW w:w="1276" w:type="dxa"/>
            <w:vAlign w:val="center"/>
          </w:tcPr>
          <w:p>
            <w:pPr>
              <w:pStyle w:val="13"/>
            </w:pPr>
            <w:r>
              <w:t>满意度问卷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6、信访工作经费绩效目标表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13010724P00011210084K</w:t>
            </w:r>
          </w:p>
        </w:tc>
        <w:tc>
          <w:tcPr>
            <w:tcW w:w="2835" w:type="dxa"/>
            <w:vAlign w:val="center"/>
          </w:tcPr>
          <w:p>
            <w:pPr>
              <w:pStyle w:val="11"/>
            </w:pPr>
            <w:r>
              <w:t>项目名称</w:t>
            </w:r>
          </w:p>
        </w:tc>
        <w:tc>
          <w:tcPr>
            <w:tcW w:w="6095" w:type="dxa"/>
            <w:gridSpan w:val="3"/>
            <w:vAlign w:val="center"/>
          </w:tcPr>
          <w:p>
            <w:pPr>
              <w:pStyle w:val="13"/>
            </w:pPr>
            <w:r>
              <w:t>信访工作经费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进京、赴省市值班费100万元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1.保障3-4名工作人员进京、赴省市值班费用，确保我区发生越级访能够及时有效处置，保障社会和谐稳定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信访值班人员数量</w:t>
            </w:r>
          </w:p>
        </w:tc>
        <w:tc>
          <w:tcPr>
            <w:tcW w:w="5386" w:type="dxa"/>
            <w:vAlign w:val="center"/>
          </w:tcPr>
          <w:p>
            <w:pPr>
              <w:pStyle w:val="13"/>
            </w:pPr>
            <w:r>
              <w:t>进京赴省值班信访值班人数量</w:t>
            </w:r>
          </w:p>
        </w:tc>
        <w:tc>
          <w:tcPr>
            <w:tcW w:w="2268" w:type="dxa"/>
            <w:vAlign w:val="center"/>
          </w:tcPr>
          <w:p>
            <w:pPr>
              <w:pStyle w:val="13"/>
            </w:pPr>
            <w:r>
              <w:t>≥5人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事件成功处置率</w:t>
            </w:r>
          </w:p>
        </w:tc>
        <w:tc>
          <w:tcPr>
            <w:tcW w:w="5386" w:type="dxa"/>
            <w:vAlign w:val="center"/>
          </w:tcPr>
          <w:p>
            <w:pPr>
              <w:pStyle w:val="13"/>
            </w:pPr>
            <w:r>
              <w:t>群体性事件成功处置率</w:t>
            </w:r>
          </w:p>
        </w:tc>
        <w:tc>
          <w:tcPr>
            <w:tcW w:w="2268" w:type="dxa"/>
            <w:vAlign w:val="center"/>
          </w:tcPr>
          <w:p>
            <w:pPr>
              <w:pStyle w:val="13"/>
            </w:pPr>
            <w:r>
              <w:t>≥98%</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工作时间</w:t>
            </w:r>
          </w:p>
        </w:tc>
        <w:tc>
          <w:tcPr>
            <w:tcW w:w="5386" w:type="dxa"/>
            <w:vAlign w:val="center"/>
          </w:tcPr>
          <w:p>
            <w:pPr>
              <w:pStyle w:val="13"/>
            </w:pPr>
            <w:r>
              <w:t>信访值班工作完成时间</w:t>
            </w:r>
          </w:p>
        </w:tc>
        <w:tc>
          <w:tcPr>
            <w:tcW w:w="2268" w:type="dxa"/>
            <w:vAlign w:val="center"/>
          </w:tcPr>
          <w:p>
            <w:pPr>
              <w:pStyle w:val="13"/>
            </w:pPr>
            <w:r>
              <w:t>2024年12月底</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人均费用</w:t>
            </w:r>
          </w:p>
        </w:tc>
        <w:tc>
          <w:tcPr>
            <w:tcW w:w="5386" w:type="dxa"/>
            <w:vAlign w:val="center"/>
          </w:tcPr>
          <w:p>
            <w:pPr>
              <w:pStyle w:val="13"/>
            </w:pPr>
            <w:r>
              <w:t>值班人员人均费用</w:t>
            </w:r>
          </w:p>
        </w:tc>
        <w:tc>
          <w:tcPr>
            <w:tcW w:w="2268" w:type="dxa"/>
            <w:vAlign w:val="center"/>
          </w:tcPr>
          <w:p>
            <w:pPr>
              <w:pStyle w:val="13"/>
            </w:pPr>
            <w:r>
              <w:t>≤20万元/人</w:t>
            </w:r>
          </w:p>
        </w:tc>
        <w:tc>
          <w:tcPr>
            <w:tcW w:w="1276" w:type="dxa"/>
            <w:vAlign w:val="center"/>
          </w:tcPr>
          <w:p>
            <w:pPr>
              <w:pStyle w:val="13"/>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投诉下降率</w:t>
            </w:r>
          </w:p>
        </w:tc>
        <w:tc>
          <w:tcPr>
            <w:tcW w:w="5386" w:type="dxa"/>
            <w:vAlign w:val="center"/>
          </w:tcPr>
          <w:p>
            <w:pPr>
              <w:pStyle w:val="13"/>
            </w:pPr>
            <w:r>
              <w:t>群众控诉下降率</w:t>
            </w:r>
          </w:p>
        </w:tc>
        <w:tc>
          <w:tcPr>
            <w:tcW w:w="2268" w:type="dxa"/>
            <w:vAlign w:val="center"/>
          </w:tcPr>
          <w:p>
            <w:pPr>
              <w:pStyle w:val="13"/>
            </w:pPr>
            <w:r>
              <w:t>≥5%</w:t>
            </w:r>
          </w:p>
        </w:tc>
        <w:tc>
          <w:tcPr>
            <w:tcW w:w="1276" w:type="dxa"/>
            <w:vAlign w:val="center"/>
          </w:tcPr>
          <w:p>
            <w:pPr>
              <w:pStyle w:val="13"/>
            </w:pPr>
            <w:r>
              <w:t>2024年工作计划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7、政务外网经费绩效目标表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13010724P00011210082C</w:t>
            </w:r>
          </w:p>
        </w:tc>
        <w:tc>
          <w:tcPr>
            <w:tcW w:w="2835" w:type="dxa"/>
            <w:vAlign w:val="center"/>
          </w:tcPr>
          <w:p>
            <w:pPr>
              <w:pStyle w:val="11"/>
            </w:pPr>
            <w:r>
              <w:t>项目名称</w:t>
            </w:r>
          </w:p>
        </w:tc>
        <w:tc>
          <w:tcPr>
            <w:tcW w:w="6095" w:type="dxa"/>
            <w:gridSpan w:val="3"/>
            <w:vAlign w:val="center"/>
          </w:tcPr>
          <w:p>
            <w:pPr>
              <w:pStyle w:val="13"/>
            </w:pPr>
            <w:r>
              <w:t>政务外网经费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政务外网网络费5万元，支付网络费。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1.通过租用网络并开展维护确保网络运行畅通。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网络数量</w:t>
            </w:r>
          </w:p>
        </w:tc>
        <w:tc>
          <w:tcPr>
            <w:tcW w:w="5386" w:type="dxa"/>
            <w:vAlign w:val="center"/>
          </w:tcPr>
          <w:p>
            <w:pPr>
              <w:pStyle w:val="13"/>
            </w:pPr>
            <w:r>
              <w:t>政务外网网络数量</w:t>
            </w:r>
          </w:p>
        </w:tc>
        <w:tc>
          <w:tcPr>
            <w:tcW w:w="2268" w:type="dxa"/>
            <w:vAlign w:val="center"/>
          </w:tcPr>
          <w:p>
            <w:pPr>
              <w:pStyle w:val="13"/>
            </w:pPr>
            <w:r>
              <w:t>≥23个</w:t>
            </w:r>
          </w:p>
        </w:tc>
        <w:tc>
          <w:tcPr>
            <w:tcW w:w="1276" w:type="dxa"/>
            <w:vAlign w:val="center"/>
          </w:tcPr>
          <w:p>
            <w:pPr>
              <w:pStyle w:val="13"/>
            </w:pPr>
            <w:r>
              <w:t>2024年作计划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维护覆盖率</w:t>
            </w:r>
          </w:p>
        </w:tc>
        <w:tc>
          <w:tcPr>
            <w:tcW w:w="5386" w:type="dxa"/>
            <w:vAlign w:val="center"/>
          </w:tcPr>
          <w:p>
            <w:pPr>
              <w:pStyle w:val="13"/>
            </w:pPr>
            <w:r>
              <w:t>网络维护覆盖率</w:t>
            </w:r>
          </w:p>
        </w:tc>
        <w:tc>
          <w:tcPr>
            <w:tcW w:w="2268" w:type="dxa"/>
            <w:vAlign w:val="center"/>
          </w:tcPr>
          <w:p>
            <w:pPr>
              <w:pStyle w:val="13"/>
            </w:pPr>
            <w:r>
              <w:t>≥98%</w:t>
            </w:r>
          </w:p>
        </w:tc>
        <w:tc>
          <w:tcPr>
            <w:tcW w:w="1276" w:type="dxa"/>
            <w:vAlign w:val="center"/>
          </w:tcPr>
          <w:p>
            <w:pPr>
              <w:pStyle w:val="13"/>
            </w:pPr>
            <w:r>
              <w:t>2024年作计划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保障工作时间</w:t>
            </w:r>
          </w:p>
        </w:tc>
        <w:tc>
          <w:tcPr>
            <w:tcW w:w="5386" w:type="dxa"/>
            <w:vAlign w:val="center"/>
          </w:tcPr>
          <w:p>
            <w:pPr>
              <w:pStyle w:val="13"/>
            </w:pPr>
            <w:r>
              <w:t>保障网络运行时间</w:t>
            </w:r>
          </w:p>
        </w:tc>
        <w:tc>
          <w:tcPr>
            <w:tcW w:w="2268" w:type="dxa"/>
            <w:vAlign w:val="center"/>
          </w:tcPr>
          <w:p>
            <w:pPr>
              <w:pStyle w:val="13"/>
            </w:pPr>
            <w:r>
              <w:t>1年</w:t>
            </w:r>
          </w:p>
        </w:tc>
        <w:tc>
          <w:tcPr>
            <w:tcW w:w="1276" w:type="dxa"/>
            <w:vAlign w:val="center"/>
          </w:tcPr>
          <w:p>
            <w:pPr>
              <w:pStyle w:val="13"/>
            </w:pPr>
            <w:r>
              <w:t>2024年作计划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支出控制额</w:t>
            </w:r>
          </w:p>
        </w:tc>
        <w:tc>
          <w:tcPr>
            <w:tcW w:w="5386" w:type="dxa"/>
            <w:vAlign w:val="center"/>
          </w:tcPr>
          <w:p>
            <w:pPr>
              <w:pStyle w:val="13"/>
            </w:pPr>
            <w:r>
              <w:t>政务外网网络经费</w:t>
            </w:r>
          </w:p>
        </w:tc>
        <w:tc>
          <w:tcPr>
            <w:tcW w:w="2268" w:type="dxa"/>
            <w:vAlign w:val="center"/>
          </w:tcPr>
          <w:p>
            <w:pPr>
              <w:pStyle w:val="13"/>
            </w:pPr>
            <w:r>
              <w:t>≤5万元</w:t>
            </w:r>
          </w:p>
        </w:tc>
        <w:tc>
          <w:tcPr>
            <w:tcW w:w="1276" w:type="dxa"/>
            <w:vAlign w:val="center"/>
          </w:tcPr>
          <w:p>
            <w:pPr>
              <w:pStyle w:val="13"/>
            </w:pPr>
            <w:r>
              <w:t>2024年作计划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网络平均费用</w:t>
            </w:r>
          </w:p>
        </w:tc>
        <w:tc>
          <w:tcPr>
            <w:tcW w:w="5386" w:type="dxa"/>
            <w:vAlign w:val="center"/>
          </w:tcPr>
          <w:p>
            <w:pPr>
              <w:pStyle w:val="13"/>
            </w:pPr>
            <w:r>
              <w:t>政务外网网络平均费用</w:t>
            </w:r>
          </w:p>
        </w:tc>
        <w:tc>
          <w:tcPr>
            <w:tcW w:w="2268" w:type="dxa"/>
            <w:vAlign w:val="center"/>
          </w:tcPr>
          <w:p>
            <w:pPr>
              <w:pStyle w:val="13"/>
            </w:pPr>
            <w:r>
              <w:t>≤0.2万元</w:t>
            </w:r>
          </w:p>
        </w:tc>
        <w:tc>
          <w:tcPr>
            <w:tcW w:w="1276"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网络畅通率</w:t>
            </w:r>
          </w:p>
        </w:tc>
        <w:tc>
          <w:tcPr>
            <w:tcW w:w="5386" w:type="dxa"/>
            <w:vAlign w:val="center"/>
          </w:tcPr>
          <w:p>
            <w:pPr>
              <w:pStyle w:val="13"/>
            </w:pPr>
            <w:r>
              <w:t>政务外网网络畅通率</w:t>
            </w:r>
          </w:p>
        </w:tc>
        <w:tc>
          <w:tcPr>
            <w:tcW w:w="2268" w:type="dxa"/>
            <w:vAlign w:val="center"/>
          </w:tcPr>
          <w:p>
            <w:pPr>
              <w:pStyle w:val="13"/>
            </w:pPr>
            <w:r>
              <w:t>≥98%</w:t>
            </w:r>
          </w:p>
        </w:tc>
        <w:tc>
          <w:tcPr>
            <w:tcW w:w="1276" w:type="dxa"/>
            <w:vAlign w:val="center"/>
          </w:tcPr>
          <w:p>
            <w:pPr>
              <w:pStyle w:val="13"/>
            </w:pPr>
            <w:r>
              <w:t>2024年作计划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工作人员对网络畅通满意度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542石家庄市井陉矿区信访局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石家庄市井陉矿区信访局（含所属单位）上年末固定资产金额为75.35万元（详见下表）。本年度拟购置固定资产总额为0.00万元，已按要求列入政府采购预算，详见政府采购预算表。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542石家庄市井陉矿区信访局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251</w:t>
            </w:r>
          </w:p>
        </w:tc>
        <w:tc>
          <w:tcPr>
            <w:tcW w:w="2835" w:type="dxa"/>
            <w:vAlign w:val="center"/>
          </w:tcPr>
          <w:p>
            <w:pPr>
              <w:pStyle w:val="12"/>
            </w:pPr>
            <w:r>
              <w:t>56.04</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方正仿宋_GBK">
    <w:altName w:val="宋体"/>
    <w:panose1 w:val="00000000000000000000"/>
    <w:charset w:val="86"/>
    <w:family w:val="swiss"/>
    <w:pitch w:val="default"/>
    <w:sig w:usb0="00000000" w:usb1="00000000" w:usb2="00000000" w:usb3="00000000" w:csb0="00000000" w:csb1="00000000"/>
  </w:font>
  <w:font w:name="方正小标宋_GBK">
    <w:altName w:val="宋体"/>
    <w:panose1 w:val="00000000000000000000"/>
    <w:charset w:val="86"/>
    <w:family w:val="swiss"/>
    <w:pitch w:val="default"/>
    <w:sig w:usb0="00000000" w:usb1="00000000" w:usb2="00000000" w:usb3="00000000" w:csb0="00000000" w:csb1="00000000"/>
  </w:font>
  <w:font w:name="方正书宋_GBK">
    <w:altName w:val="宋体"/>
    <w:panose1 w:val="00000000000000000000"/>
    <w:charset w:val="86"/>
    <w:family w:val="swiss"/>
    <w:pitch w:val="default"/>
    <w:sig w:usb0="00000000" w:usb1="00000000" w:usb2="00000000" w:usb3="00000000" w:csb0="00000000" w:csb1="00000000"/>
  </w:font>
  <w:font w:name="方正楷体_GBK">
    <w:altName w:val="宋体"/>
    <w:panose1 w:val="00000000000000000000"/>
    <w:charset w:val="86"/>
    <w:family w:val="swiss"/>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06757393">
    <w:nsid w:val="65BB0D11"/>
    <w:multiLevelType w:val="singleLevel"/>
    <w:tmpl w:val="65BB0D11"/>
    <w:lvl w:ilvl="0" w:tentative="1">
      <w:start w:val="6"/>
      <w:numFmt w:val="chineseCounting"/>
      <w:suff w:val="nothing"/>
      <w:lvlText w:val="%1、"/>
      <w:lvlJc w:val="left"/>
    </w:lvl>
  </w:abstractNum>
  <w:num w:numId="1">
    <w:abstractNumId w:val="170675739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EF4"/>
    <w:rsid w:val="00253EF4"/>
    <w:rsid w:val="00473FE6"/>
    <w:rsid w:val="009A763A"/>
    <w:rsid w:val="0FF35B12"/>
    <w:rsid w:val="3E744A86"/>
    <w:rsid w:val="46C15FD3"/>
    <w:rsid w:val="477F0E18"/>
    <w:rsid w:val="7FD05396"/>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2024-02-01T10:28:43Z</dcterms:created>
  <dcterms:modified xsi:type="dcterms:W3CDTF">2024-02-01T02:28:43Z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2024-02-01T10:28:45Z</dcterms:created>
  <dcterms:modified xsi:type="dcterms:W3CDTF">2024-02-01T02:28:45Z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2024-02-01T10:28:42Z</dcterms:created>
  <dcterms:modified xsi:type="dcterms:W3CDTF">2024-02-01T02:28:42Z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2024-02-01T10:28:44Z</dcterms:created>
  <dcterms:modified xsi:type="dcterms:W3CDTF">2024-02-01T02:28:44Z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2024-02-01T10:28:44Z</dcterms:created>
  <dcterms:modified xsi:type="dcterms:W3CDTF">2024-02-01T02:28:44Z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2024-02-01T10:28:44Z</dcterms:created>
  <dcterms:modified xsi:type="dcterms:W3CDTF">2024-02-01T02:28:44Z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2024-02-01T10:28:42Z</dcterms:created>
  <dcterms:modified xsi:type="dcterms:W3CDTF">2024-02-01T02:28:41Z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2024-02-01T10:28:43Z</dcterms:created>
  <dcterms:modified xsi:type="dcterms:W3CDTF">2024-02-01T02:28:43Z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2024-02-01T10:28:45Z</dcterms:created>
  <dcterms:modified xsi:type="dcterms:W3CDTF">2024-02-01T02:28:45Z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2024-02-01T10:28:42Z</dcterms:created>
  <dcterms:modified xsi:type="dcterms:W3CDTF">2024-02-01T02:28:42Z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2024-02-01T10:28:46Z</dcterms:created>
  <dcterms:modified xsi:type="dcterms:W3CDTF">2024-02-01T02:28:46Z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4AAFF49-04E0-4163-A69E-03B6BBDA4D31}">
  <ds:schemaRefs/>
</ds:datastoreItem>
</file>

<file path=customXml/itemProps11.xml><?xml version="1.0" encoding="utf-8"?>
<ds:datastoreItem xmlns:ds="http://schemas.openxmlformats.org/officeDocument/2006/customXml" ds:itemID="{88AFE503-6C25-41B4-879F-F4421B94FAAE}">
  <ds:schemaRefs/>
</ds:datastoreItem>
</file>

<file path=customXml/itemProps12.xml><?xml version="1.0" encoding="utf-8"?>
<ds:datastoreItem xmlns:ds="http://schemas.openxmlformats.org/officeDocument/2006/customXml" ds:itemID="{9E1A52DF-7A61-4FD8-9FCF-12B932D0A89D}">
  <ds:schemaRefs/>
</ds:datastoreItem>
</file>

<file path=customXml/itemProps13.xml><?xml version="1.0" encoding="utf-8"?>
<ds:datastoreItem xmlns:ds="http://schemas.openxmlformats.org/officeDocument/2006/customXml" ds:itemID="{5AAD4FB9-404B-4619-969A-FB35D6D874D1}">
  <ds:schemaRefs/>
</ds:datastoreItem>
</file>

<file path=customXml/itemProps14.xml><?xml version="1.0" encoding="utf-8"?>
<ds:datastoreItem xmlns:ds="http://schemas.openxmlformats.org/officeDocument/2006/customXml" ds:itemID="{77A15F51-D8B0-4348-967D-5794B4D14617}">
  <ds:schemaRefs/>
</ds:datastoreItem>
</file>

<file path=customXml/itemProps15.xml><?xml version="1.0" encoding="utf-8"?>
<ds:datastoreItem xmlns:ds="http://schemas.openxmlformats.org/officeDocument/2006/customXml" ds:itemID="{B18D78DC-D3AB-4D28-99B5-4AF33478E3E0}">
  <ds:schemaRefs/>
</ds:datastoreItem>
</file>

<file path=customXml/itemProps16.xml><?xml version="1.0" encoding="utf-8"?>
<ds:datastoreItem xmlns:ds="http://schemas.openxmlformats.org/officeDocument/2006/customXml" ds:itemID="{DAC6C29F-24CD-47D5-9B71-9DACE54A1E93}">
  <ds:schemaRefs/>
</ds:datastoreItem>
</file>

<file path=customXml/itemProps17.xml><?xml version="1.0" encoding="utf-8"?>
<ds:datastoreItem xmlns:ds="http://schemas.openxmlformats.org/officeDocument/2006/customXml" ds:itemID="{D0535B6E-39BD-442E-A331-326F2EBA5158}">
  <ds:schemaRefs/>
</ds:datastoreItem>
</file>

<file path=customXml/itemProps18.xml><?xml version="1.0" encoding="utf-8"?>
<ds:datastoreItem xmlns:ds="http://schemas.openxmlformats.org/officeDocument/2006/customXml" ds:itemID="{A5C64E43-424A-4BF7-BF9F-BEAC08621BE7}">
  <ds:schemaRefs/>
</ds:datastoreItem>
</file>

<file path=customXml/itemProps19.xml><?xml version="1.0" encoding="utf-8"?>
<ds:datastoreItem xmlns:ds="http://schemas.openxmlformats.org/officeDocument/2006/customXml" ds:itemID="{61E8BF57-64DA-4A5B-90B8-6B416E22FE45}">
  <ds:schemaRefs/>
</ds:datastoreItem>
</file>

<file path=customXml/itemProps2.xml><?xml version="1.0" encoding="utf-8"?>
<ds:datastoreItem xmlns:ds="http://schemas.openxmlformats.org/officeDocument/2006/customXml" ds:itemID="{B150755C-353F-4A58-97D4-D77798593379}">
  <ds:schemaRefs/>
</ds:datastoreItem>
</file>

<file path=customXml/itemProps20.xml><?xml version="1.0" encoding="utf-8"?>
<ds:datastoreItem xmlns:ds="http://schemas.openxmlformats.org/officeDocument/2006/customXml" ds:itemID="{D472852E-3FD2-4ECD-AE69-FD3A0AB447B3}">
  <ds:schemaRefs/>
</ds:datastoreItem>
</file>

<file path=customXml/itemProps21.xml><?xml version="1.0" encoding="utf-8"?>
<ds:datastoreItem xmlns:ds="http://schemas.openxmlformats.org/officeDocument/2006/customXml" ds:itemID="{40B36A40-84D8-4892-BEA8-012207BE8943}">
  <ds:schemaRefs/>
</ds:datastoreItem>
</file>

<file path=customXml/itemProps22.xml><?xml version="1.0" encoding="utf-8"?>
<ds:datastoreItem xmlns:ds="http://schemas.openxmlformats.org/officeDocument/2006/customXml" ds:itemID="{80B743A4-5ABB-4B6D-8BA6-987FCF1C0C8A}">
  <ds:schemaRefs/>
</ds:datastoreItem>
</file>

<file path=customXml/itemProps23.xml><?xml version="1.0" encoding="utf-8"?>
<ds:datastoreItem xmlns:ds="http://schemas.openxmlformats.org/officeDocument/2006/customXml" ds:itemID="{52C30B9D-D2C6-4D26-8563-B63557D28795}">
  <ds:schemaRefs/>
</ds:datastoreItem>
</file>

<file path=customXml/itemProps3.xml><?xml version="1.0" encoding="utf-8"?>
<ds:datastoreItem xmlns:ds="http://schemas.openxmlformats.org/officeDocument/2006/customXml" ds:itemID="{AFED90D9-2A30-45A1-A113-8F2D897604F7}">
  <ds:schemaRefs/>
</ds:datastoreItem>
</file>

<file path=customXml/itemProps4.xml><?xml version="1.0" encoding="utf-8"?>
<ds:datastoreItem xmlns:ds="http://schemas.openxmlformats.org/officeDocument/2006/customXml" ds:itemID="{11922D72-5752-43A7-8D30-8A5E9471AB1B}">
  <ds:schemaRefs/>
</ds:datastoreItem>
</file>

<file path=customXml/itemProps5.xml><?xml version="1.0" encoding="utf-8"?>
<ds:datastoreItem xmlns:ds="http://schemas.openxmlformats.org/officeDocument/2006/customXml" ds:itemID="{48526A48-14E6-47FB-AD5B-5F1139BAF995}">
  <ds:schemaRefs/>
</ds:datastoreItem>
</file>

<file path=customXml/itemProps6.xml><?xml version="1.0" encoding="utf-8"?>
<ds:datastoreItem xmlns:ds="http://schemas.openxmlformats.org/officeDocument/2006/customXml" ds:itemID="{17A91ACF-6FA4-4487-BC84-038E64EE40F8}">
  <ds:schemaRefs/>
</ds:datastoreItem>
</file>

<file path=customXml/itemProps7.xml><?xml version="1.0" encoding="utf-8"?>
<ds:datastoreItem xmlns:ds="http://schemas.openxmlformats.org/officeDocument/2006/customXml" ds:itemID="{751B99A8-D811-444E-9CD7-C37C9023D5FE}">
  <ds:schemaRefs/>
</ds:datastoreItem>
</file>

<file path=customXml/itemProps8.xml><?xml version="1.0" encoding="utf-8"?>
<ds:datastoreItem xmlns:ds="http://schemas.openxmlformats.org/officeDocument/2006/customXml" ds:itemID="{67CAC98D-F2EF-465E-90DF-F8D7E85FF924}">
  <ds:schemaRefs/>
</ds:datastoreItem>
</file>

<file path=customXml/itemProps9.xml><?xml version="1.0" encoding="utf-8"?>
<ds:datastoreItem xmlns:ds="http://schemas.openxmlformats.org/officeDocument/2006/customXml" ds:itemID="{CF97C113-0A3C-4DE3-B048-53C27C0F899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4212</Words>
  <Characters>5477</Characters>
  <Lines>118</Lines>
  <Paragraphs>33</Paragraphs>
  <ScaleCrop>false</ScaleCrop>
  <LinksUpToDate>false</LinksUpToDate>
  <CharactersWithSpaces>5620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2024-02-08T02:20:00Z</dcterms:created>
  <dc:creator>Administrator</dc:creator>
  <cp:lastModifiedBy>mei</cp:lastModifiedBy>
  <dcterms:modified xsi:type="dcterms:W3CDTF">2025-09-09T08:27:47Z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596063FF032147BFBB81AC964EAF48CF_13</vt:lpwstr>
  </property>
</Properties>
</file>