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一、石家庄市井陉矿区信访局收支预算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一、石家庄市井陉矿区信访局收支预算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542001石家庄市井陉矿区信访局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243.80</w:t>
            </w:r>
          </w:p>
        </w:tc>
        <w:tc>
          <w:tcPr>
            <w:tcW w:w="4535" w:type="dxa"/>
            <w:vAlign w:val="center"/>
          </w:tcPr>
          <w:p>
            <w:pPr>
              <w:pStyle w:val="12"/>
            </w:pPr>
            <w:r>
              <w:t>一、一般公共服务支出</w:t>
            </w:r>
          </w:p>
        </w:tc>
        <w:tc>
          <w:tcPr>
            <w:tcW w:w="2126" w:type="dxa"/>
            <w:vAlign w:val="center"/>
          </w:tcPr>
          <w:p>
            <w:pPr>
              <w:pStyle w:val="11"/>
            </w:pPr>
            <w:r>
              <w:t>221.94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243.80</w:t>
            </w:r>
          </w:p>
        </w:tc>
        <w:tc>
          <w:tcPr>
            <w:tcW w:w="4535" w:type="dxa"/>
            <w:vAlign w:val="center"/>
          </w:tcPr>
          <w:p>
            <w:pPr>
              <w:pStyle w:val="14"/>
            </w:pPr>
            <w:r>
              <w:t>本年支出合计</w:t>
            </w:r>
          </w:p>
        </w:tc>
        <w:tc>
          <w:tcPr>
            <w:tcW w:w="2126" w:type="dxa"/>
            <w:vAlign w:val="center"/>
          </w:tcPr>
          <w:p>
            <w:pPr>
              <w:pStyle w:val="15"/>
            </w:pPr>
            <w:r>
              <w:t>243.80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243.80</w:t>
            </w:r>
          </w:p>
        </w:tc>
        <w:tc>
          <w:tcPr>
            <w:tcW w:w="4535" w:type="dxa"/>
            <w:vAlign w:val="center"/>
          </w:tcPr>
          <w:p>
            <w:pPr>
              <w:pStyle w:val="14"/>
            </w:pPr>
            <w:r>
              <w:t>支出总计</w:t>
            </w:r>
          </w:p>
        </w:tc>
        <w:tc>
          <w:tcPr>
            <w:tcW w:w="2126" w:type="dxa"/>
            <w:vAlign w:val="center"/>
          </w:tcPr>
          <w:p>
            <w:pPr>
              <w:pStyle w:val="15"/>
            </w:pPr>
            <w:r>
              <w:t>243.80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542001石家庄市井陉矿区信访局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243.80</w:t>
            </w:r>
          </w:p>
        </w:tc>
        <w:tc>
          <w:tcPr>
            <w:tcW w:w="1134" w:type="dxa"/>
            <w:vAlign w:val="center"/>
          </w:tcPr>
          <w:p>
            <w:pPr>
              <w:pStyle w:val="15"/>
            </w:pPr>
            <w:r>
              <w:t>243.80</w:t>
            </w:r>
          </w:p>
        </w:tc>
        <w:tc>
          <w:tcPr>
            <w:tcW w:w="1134" w:type="dxa"/>
            <w:vAlign w:val="center"/>
          </w:tcPr>
          <w:p>
            <w:pPr>
              <w:pStyle w:val="15"/>
            </w:pPr>
            <w:r>
              <w:t>243.80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221.94</w:t>
            </w:r>
          </w:p>
        </w:tc>
        <w:tc>
          <w:tcPr>
            <w:tcW w:w="1134" w:type="dxa"/>
            <w:vAlign w:val="center"/>
          </w:tcPr>
          <w:p>
            <w:pPr>
              <w:pStyle w:val="11"/>
            </w:pPr>
            <w:r>
              <w:t>221.94</w:t>
            </w:r>
          </w:p>
        </w:tc>
        <w:tc>
          <w:tcPr>
            <w:tcW w:w="1134" w:type="dxa"/>
            <w:vAlign w:val="center"/>
          </w:tcPr>
          <w:p>
            <w:pPr>
              <w:pStyle w:val="11"/>
            </w:pPr>
            <w:r>
              <w:t>221.94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221.94</w:t>
            </w:r>
          </w:p>
        </w:tc>
        <w:tc>
          <w:tcPr>
            <w:tcW w:w="1134" w:type="dxa"/>
            <w:vAlign w:val="center"/>
          </w:tcPr>
          <w:p>
            <w:pPr>
              <w:pStyle w:val="11"/>
            </w:pPr>
            <w:r>
              <w:t>221.94</w:t>
            </w:r>
          </w:p>
        </w:tc>
        <w:tc>
          <w:tcPr>
            <w:tcW w:w="1134" w:type="dxa"/>
            <w:vAlign w:val="center"/>
          </w:tcPr>
          <w:p>
            <w:pPr>
              <w:pStyle w:val="11"/>
            </w:pPr>
            <w:r>
              <w:t>221.94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211.94</w:t>
            </w:r>
          </w:p>
        </w:tc>
        <w:tc>
          <w:tcPr>
            <w:tcW w:w="1134" w:type="dxa"/>
            <w:vAlign w:val="center"/>
          </w:tcPr>
          <w:p>
            <w:pPr>
              <w:pStyle w:val="11"/>
            </w:pPr>
            <w:r>
              <w:t>211.94</w:t>
            </w:r>
          </w:p>
        </w:tc>
        <w:tc>
          <w:tcPr>
            <w:tcW w:w="1134" w:type="dxa"/>
            <w:vAlign w:val="center"/>
          </w:tcPr>
          <w:p>
            <w:pPr>
              <w:pStyle w:val="11"/>
            </w:pPr>
            <w:r>
              <w:t>211.94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8.16</w:t>
            </w:r>
          </w:p>
        </w:tc>
        <w:tc>
          <w:tcPr>
            <w:tcW w:w="1134" w:type="dxa"/>
            <w:vAlign w:val="center"/>
          </w:tcPr>
          <w:p>
            <w:pPr>
              <w:pStyle w:val="11"/>
            </w:pPr>
            <w:r>
              <w:t>8.16</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7.72</w:t>
            </w:r>
          </w:p>
        </w:tc>
        <w:tc>
          <w:tcPr>
            <w:tcW w:w="1134" w:type="dxa"/>
            <w:vAlign w:val="center"/>
          </w:tcPr>
          <w:p>
            <w:pPr>
              <w:pStyle w:val="11"/>
            </w:pPr>
            <w:r>
              <w:t>7.72</w:t>
            </w:r>
          </w:p>
        </w:tc>
        <w:tc>
          <w:tcPr>
            <w:tcW w:w="1134" w:type="dxa"/>
            <w:vAlign w:val="center"/>
          </w:tcPr>
          <w:p>
            <w:pPr>
              <w:pStyle w:val="11"/>
            </w:pPr>
            <w:r>
              <w:t>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7.72</w:t>
            </w:r>
          </w:p>
        </w:tc>
        <w:tc>
          <w:tcPr>
            <w:tcW w:w="1134" w:type="dxa"/>
            <w:vAlign w:val="center"/>
          </w:tcPr>
          <w:p>
            <w:pPr>
              <w:pStyle w:val="11"/>
            </w:pPr>
            <w:r>
              <w:t>7.72</w:t>
            </w:r>
          </w:p>
        </w:tc>
        <w:tc>
          <w:tcPr>
            <w:tcW w:w="1134" w:type="dxa"/>
            <w:vAlign w:val="center"/>
          </w:tcPr>
          <w:p>
            <w:pPr>
              <w:pStyle w:val="11"/>
            </w:pPr>
            <w:r>
              <w:t>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0.44</w:t>
            </w:r>
          </w:p>
        </w:tc>
        <w:tc>
          <w:tcPr>
            <w:tcW w:w="1134" w:type="dxa"/>
            <w:vAlign w:val="center"/>
          </w:tcPr>
          <w:p>
            <w:pPr>
              <w:pStyle w:val="11"/>
            </w:pPr>
            <w:r>
              <w:t>0.44</w:t>
            </w:r>
          </w:p>
        </w:tc>
        <w:tc>
          <w:tcPr>
            <w:tcW w:w="1134" w:type="dxa"/>
            <w:vAlign w:val="center"/>
          </w:tcPr>
          <w:p>
            <w:pPr>
              <w:pStyle w:val="11"/>
            </w:pPr>
            <w:r>
              <w:t>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0.44</w:t>
            </w:r>
          </w:p>
        </w:tc>
        <w:tc>
          <w:tcPr>
            <w:tcW w:w="1134" w:type="dxa"/>
            <w:vAlign w:val="center"/>
          </w:tcPr>
          <w:p>
            <w:pPr>
              <w:pStyle w:val="11"/>
            </w:pPr>
            <w:r>
              <w:t>0.44</w:t>
            </w:r>
          </w:p>
        </w:tc>
        <w:tc>
          <w:tcPr>
            <w:tcW w:w="1134" w:type="dxa"/>
            <w:vAlign w:val="center"/>
          </w:tcPr>
          <w:p>
            <w:pPr>
              <w:pStyle w:val="11"/>
            </w:pPr>
            <w:r>
              <w:t>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7.30</w:t>
            </w:r>
          </w:p>
        </w:tc>
        <w:tc>
          <w:tcPr>
            <w:tcW w:w="1134" w:type="dxa"/>
            <w:vAlign w:val="center"/>
          </w:tcPr>
          <w:p>
            <w:pPr>
              <w:pStyle w:val="11"/>
            </w:pPr>
            <w:r>
              <w:t>7.30</w:t>
            </w:r>
          </w:p>
        </w:tc>
        <w:tc>
          <w:tcPr>
            <w:tcW w:w="1134" w:type="dxa"/>
            <w:vAlign w:val="center"/>
          </w:tcPr>
          <w:p>
            <w:pPr>
              <w:pStyle w:val="11"/>
            </w:pPr>
            <w:r>
              <w:t>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7.30</w:t>
            </w:r>
          </w:p>
        </w:tc>
        <w:tc>
          <w:tcPr>
            <w:tcW w:w="1134" w:type="dxa"/>
            <w:vAlign w:val="center"/>
          </w:tcPr>
          <w:p>
            <w:pPr>
              <w:pStyle w:val="11"/>
            </w:pPr>
            <w:r>
              <w:t>7.30</w:t>
            </w:r>
          </w:p>
        </w:tc>
        <w:tc>
          <w:tcPr>
            <w:tcW w:w="1134" w:type="dxa"/>
            <w:vAlign w:val="center"/>
          </w:tcPr>
          <w:p>
            <w:pPr>
              <w:pStyle w:val="11"/>
            </w:pPr>
            <w:r>
              <w:t>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243.80</w:t>
            </w:r>
          </w:p>
        </w:tc>
        <w:tc>
          <w:tcPr>
            <w:tcW w:w="1361" w:type="dxa"/>
            <w:vAlign w:val="center"/>
          </w:tcPr>
          <w:p>
            <w:pPr>
              <w:pStyle w:val="15"/>
            </w:pPr>
            <w:r>
              <w:t>96.64</w:t>
            </w:r>
          </w:p>
        </w:tc>
        <w:tc>
          <w:tcPr>
            <w:tcW w:w="1361" w:type="dxa"/>
            <w:vAlign w:val="center"/>
          </w:tcPr>
          <w:p>
            <w:pPr>
              <w:pStyle w:val="15"/>
            </w:pPr>
            <w:r>
              <w:t>147.16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221.94</w:t>
            </w:r>
          </w:p>
        </w:tc>
        <w:tc>
          <w:tcPr>
            <w:tcW w:w="1361" w:type="dxa"/>
            <w:vAlign w:val="center"/>
          </w:tcPr>
          <w:p>
            <w:pPr>
              <w:pStyle w:val="11"/>
            </w:pPr>
            <w:r>
              <w:t>74.78</w:t>
            </w:r>
          </w:p>
        </w:tc>
        <w:tc>
          <w:tcPr>
            <w:tcW w:w="1361" w:type="dxa"/>
            <w:vAlign w:val="center"/>
          </w:tcPr>
          <w:p>
            <w:pPr>
              <w:pStyle w:val="11"/>
            </w:pPr>
            <w:r>
              <w:t>147.16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6" w:type="dxa"/>
            <w:vAlign w:val="center"/>
          </w:tcPr>
          <w:p>
            <w:pPr>
              <w:pStyle w:val="12"/>
            </w:pPr>
            <w:r>
              <w:t>信访事务</w:t>
            </w:r>
          </w:p>
        </w:tc>
        <w:tc>
          <w:tcPr>
            <w:tcW w:w="1361" w:type="dxa"/>
            <w:vAlign w:val="center"/>
          </w:tcPr>
          <w:p>
            <w:pPr>
              <w:pStyle w:val="11"/>
            </w:pPr>
            <w:r>
              <w:t>221.94</w:t>
            </w:r>
          </w:p>
        </w:tc>
        <w:tc>
          <w:tcPr>
            <w:tcW w:w="1361" w:type="dxa"/>
            <w:vAlign w:val="center"/>
          </w:tcPr>
          <w:p>
            <w:pPr>
              <w:pStyle w:val="11"/>
            </w:pPr>
            <w:r>
              <w:t>74.78</w:t>
            </w:r>
          </w:p>
        </w:tc>
        <w:tc>
          <w:tcPr>
            <w:tcW w:w="1361" w:type="dxa"/>
            <w:vAlign w:val="center"/>
          </w:tcPr>
          <w:p>
            <w:pPr>
              <w:pStyle w:val="11"/>
            </w:pPr>
            <w:r>
              <w:t>147.16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6" w:type="dxa"/>
            <w:vAlign w:val="center"/>
          </w:tcPr>
          <w:p>
            <w:pPr>
              <w:pStyle w:val="12"/>
            </w:pPr>
            <w:r>
              <w:t>行政运行</w:t>
            </w:r>
          </w:p>
        </w:tc>
        <w:tc>
          <w:tcPr>
            <w:tcW w:w="1361" w:type="dxa"/>
            <w:vAlign w:val="center"/>
          </w:tcPr>
          <w:p>
            <w:pPr>
              <w:pStyle w:val="11"/>
            </w:pPr>
            <w:r>
              <w:t>211.94</w:t>
            </w:r>
          </w:p>
        </w:tc>
        <w:tc>
          <w:tcPr>
            <w:tcW w:w="1361" w:type="dxa"/>
            <w:vAlign w:val="center"/>
          </w:tcPr>
          <w:p>
            <w:pPr>
              <w:pStyle w:val="11"/>
            </w:pPr>
            <w:r>
              <w:t>74.78</w:t>
            </w:r>
          </w:p>
        </w:tc>
        <w:tc>
          <w:tcPr>
            <w:tcW w:w="1361" w:type="dxa"/>
            <w:vAlign w:val="center"/>
          </w:tcPr>
          <w:p>
            <w:pPr>
              <w:pStyle w:val="11"/>
            </w:pPr>
            <w:r>
              <w:t>137.16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6" w:type="dxa"/>
            <w:vAlign w:val="center"/>
          </w:tcPr>
          <w:p>
            <w:pPr>
              <w:pStyle w:val="12"/>
            </w:pPr>
            <w:r>
              <w:t>信访业务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8.16</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7.72</w:t>
            </w:r>
          </w:p>
        </w:tc>
        <w:tc>
          <w:tcPr>
            <w:tcW w:w="1361" w:type="dxa"/>
            <w:vAlign w:val="center"/>
          </w:tcPr>
          <w:p>
            <w:pPr>
              <w:pStyle w:val="11"/>
            </w:pPr>
            <w:r>
              <w:t>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7.72</w:t>
            </w:r>
          </w:p>
        </w:tc>
        <w:tc>
          <w:tcPr>
            <w:tcW w:w="1361" w:type="dxa"/>
            <w:vAlign w:val="center"/>
          </w:tcPr>
          <w:p>
            <w:pPr>
              <w:pStyle w:val="11"/>
            </w:pPr>
            <w:r>
              <w:t>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center"/>
          </w:tcPr>
          <w:p>
            <w:pPr>
              <w:pStyle w:val="11"/>
            </w:pPr>
            <w:r>
              <w:t>0.44</w:t>
            </w:r>
          </w:p>
        </w:tc>
        <w:tc>
          <w:tcPr>
            <w:tcW w:w="1361" w:type="dxa"/>
            <w:vAlign w:val="center"/>
          </w:tcPr>
          <w:p>
            <w:pPr>
              <w:pStyle w:val="11"/>
            </w:pPr>
            <w:r>
              <w:t>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center"/>
          </w:tcPr>
          <w:p>
            <w:pPr>
              <w:pStyle w:val="11"/>
            </w:pPr>
            <w:r>
              <w:t>0.44</w:t>
            </w:r>
          </w:p>
        </w:tc>
        <w:tc>
          <w:tcPr>
            <w:tcW w:w="1361" w:type="dxa"/>
            <w:vAlign w:val="center"/>
          </w:tcPr>
          <w:p>
            <w:pPr>
              <w:pStyle w:val="11"/>
            </w:pPr>
            <w:r>
              <w:t>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7.30</w:t>
            </w:r>
          </w:p>
        </w:tc>
        <w:tc>
          <w:tcPr>
            <w:tcW w:w="1361" w:type="dxa"/>
            <w:vAlign w:val="center"/>
          </w:tcPr>
          <w:p>
            <w:pPr>
              <w:pStyle w:val="11"/>
            </w:pPr>
            <w:r>
              <w:t>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7.30</w:t>
            </w:r>
          </w:p>
        </w:tc>
        <w:tc>
          <w:tcPr>
            <w:tcW w:w="1361" w:type="dxa"/>
            <w:vAlign w:val="center"/>
          </w:tcPr>
          <w:p>
            <w:pPr>
              <w:pStyle w:val="11"/>
            </w:pPr>
            <w:r>
              <w:t>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4.10</w:t>
            </w:r>
          </w:p>
        </w:tc>
        <w:tc>
          <w:tcPr>
            <w:tcW w:w="1361" w:type="dxa"/>
            <w:vAlign w:val="center"/>
          </w:tcPr>
          <w:p>
            <w:pPr>
              <w:pStyle w:val="11"/>
            </w:pPr>
            <w:r>
              <w:t>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6" w:type="dxa"/>
            <w:vAlign w:val="center"/>
          </w:tcPr>
          <w:p>
            <w:pPr>
              <w:pStyle w:val="12"/>
            </w:pPr>
            <w:r>
              <w:t>公务员医疗补助</w:t>
            </w:r>
          </w:p>
        </w:tc>
        <w:tc>
          <w:tcPr>
            <w:tcW w:w="1361" w:type="dxa"/>
            <w:vAlign w:val="center"/>
          </w:tcPr>
          <w:p>
            <w:pPr>
              <w:pStyle w:val="11"/>
            </w:pPr>
            <w:r>
              <w:t>3.20</w:t>
            </w:r>
          </w:p>
        </w:tc>
        <w:tc>
          <w:tcPr>
            <w:tcW w:w="1361" w:type="dxa"/>
            <w:vAlign w:val="center"/>
          </w:tcPr>
          <w:p>
            <w:pPr>
              <w:pStyle w:val="11"/>
            </w:pPr>
            <w:r>
              <w:t>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243.80</w:t>
            </w:r>
          </w:p>
        </w:tc>
        <w:tc>
          <w:tcPr>
            <w:tcW w:w="3402" w:type="dxa"/>
            <w:vAlign w:val="center"/>
          </w:tcPr>
          <w:p>
            <w:pPr>
              <w:pStyle w:val="12"/>
            </w:pPr>
            <w:r>
              <w:t>一、一般公共服务支出</w:t>
            </w:r>
          </w:p>
        </w:tc>
        <w:tc>
          <w:tcPr>
            <w:tcW w:w="1474" w:type="dxa"/>
            <w:vAlign w:val="center"/>
          </w:tcPr>
          <w:p>
            <w:pPr>
              <w:pStyle w:val="11"/>
            </w:pPr>
            <w:r>
              <w:t>221.94</w:t>
            </w:r>
          </w:p>
        </w:tc>
        <w:tc>
          <w:tcPr>
            <w:tcW w:w="1474" w:type="dxa"/>
            <w:vAlign w:val="center"/>
          </w:tcPr>
          <w:p>
            <w:pPr>
              <w:pStyle w:val="11"/>
            </w:pPr>
            <w:r>
              <w:t>221.94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8.16</w:t>
            </w:r>
          </w:p>
        </w:tc>
        <w:tc>
          <w:tcPr>
            <w:tcW w:w="1474" w:type="dxa"/>
            <w:vAlign w:val="center"/>
          </w:tcPr>
          <w:p>
            <w:pPr>
              <w:pStyle w:val="11"/>
            </w:pPr>
            <w:r>
              <w:t>8.16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7.30</w:t>
            </w:r>
          </w:p>
        </w:tc>
        <w:tc>
          <w:tcPr>
            <w:tcW w:w="1474" w:type="dxa"/>
            <w:vAlign w:val="center"/>
          </w:tcPr>
          <w:p>
            <w:pPr>
              <w:pStyle w:val="11"/>
            </w:pPr>
            <w:r>
              <w:t>7.30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6.40</w:t>
            </w:r>
          </w:p>
        </w:tc>
        <w:tc>
          <w:tcPr>
            <w:tcW w:w="1474" w:type="dxa"/>
            <w:vAlign w:val="center"/>
          </w:tcPr>
          <w:p>
            <w:pPr>
              <w:pStyle w:val="11"/>
            </w:pPr>
            <w:r>
              <w:t>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243.80</w:t>
            </w:r>
          </w:p>
        </w:tc>
        <w:tc>
          <w:tcPr>
            <w:tcW w:w="3402" w:type="dxa"/>
            <w:vAlign w:val="center"/>
          </w:tcPr>
          <w:p>
            <w:pPr>
              <w:pStyle w:val="14"/>
            </w:pPr>
            <w:r>
              <w:t>本年支出合计</w:t>
            </w:r>
          </w:p>
        </w:tc>
        <w:tc>
          <w:tcPr>
            <w:tcW w:w="1474" w:type="dxa"/>
            <w:vAlign w:val="center"/>
          </w:tcPr>
          <w:p>
            <w:pPr>
              <w:pStyle w:val="15"/>
            </w:pPr>
            <w:r>
              <w:t>243.80</w:t>
            </w:r>
          </w:p>
        </w:tc>
        <w:tc>
          <w:tcPr>
            <w:tcW w:w="1474" w:type="dxa"/>
            <w:vAlign w:val="center"/>
          </w:tcPr>
          <w:p>
            <w:pPr>
              <w:pStyle w:val="15"/>
            </w:pPr>
            <w:r>
              <w:t>243.80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243.80</w:t>
            </w:r>
          </w:p>
        </w:tc>
        <w:tc>
          <w:tcPr>
            <w:tcW w:w="3402" w:type="dxa"/>
            <w:vAlign w:val="center"/>
          </w:tcPr>
          <w:p>
            <w:pPr>
              <w:pStyle w:val="14"/>
            </w:pPr>
            <w:r>
              <w:t>支出总计</w:t>
            </w:r>
          </w:p>
        </w:tc>
        <w:tc>
          <w:tcPr>
            <w:tcW w:w="1474" w:type="dxa"/>
            <w:vAlign w:val="center"/>
          </w:tcPr>
          <w:p>
            <w:pPr>
              <w:pStyle w:val="15"/>
            </w:pPr>
            <w:r>
              <w:t>243.80</w:t>
            </w:r>
          </w:p>
        </w:tc>
        <w:tc>
          <w:tcPr>
            <w:tcW w:w="1474" w:type="dxa"/>
            <w:vAlign w:val="center"/>
          </w:tcPr>
          <w:p>
            <w:pPr>
              <w:pStyle w:val="15"/>
            </w:pPr>
            <w:r>
              <w:t>243.80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243.80</w:t>
            </w:r>
          </w:p>
        </w:tc>
        <w:tc>
          <w:tcPr>
            <w:tcW w:w="2551" w:type="dxa"/>
            <w:vAlign w:val="center"/>
          </w:tcPr>
          <w:p>
            <w:pPr>
              <w:pStyle w:val="15"/>
            </w:pPr>
            <w:r>
              <w:t>96.64</w:t>
            </w:r>
          </w:p>
        </w:tc>
        <w:tc>
          <w:tcPr>
            <w:tcW w:w="2551" w:type="dxa"/>
            <w:vAlign w:val="center"/>
          </w:tcPr>
          <w:p>
            <w:pPr>
              <w:pStyle w:val="15"/>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221.94</w:t>
            </w:r>
          </w:p>
        </w:tc>
        <w:tc>
          <w:tcPr>
            <w:tcW w:w="2551" w:type="dxa"/>
            <w:vAlign w:val="center"/>
          </w:tcPr>
          <w:p>
            <w:pPr>
              <w:pStyle w:val="11"/>
            </w:pPr>
            <w:r>
              <w:t>74.78</w:t>
            </w:r>
          </w:p>
        </w:tc>
        <w:tc>
          <w:tcPr>
            <w:tcW w:w="2551" w:type="dxa"/>
            <w:vAlign w:val="center"/>
          </w:tcPr>
          <w:p>
            <w:pPr>
              <w:pStyle w:val="11"/>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221.94</w:t>
            </w:r>
          </w:p>
        </w:tc>
        <w:tc>
          <w:tcPr>
            <w:tcW w:w="2551" w:type="dxa"/>
            <w:vAlign w:val="center"/>
          </w:tcPr>
          <w:p>
            <w:pPr>
              <w:pStyle w:val="11"/>
            </w:pPr>
            <w:r>
              <w:t>74.78</w:t>
            </w:r>
          </w:p>
        </w:tc>
        <w:tc>
          <w:tcPr>
            <w:tcW w:w="2551" w:type="dxa"/>
            <w:vAlign w:val="center"/>
          </w:tcPr>
          <w:p>
            <w:pPr>
              <w:pStyle w:val="11"/>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211.94</w:t>
            </w:r>
          </w:p>
        </w:tc>
        <w:tc>
          <w:tcPr>
            <w:tcW w:w="2551" w:type="dxa"/>
            <w:vAlign w:val="center"/>
          </w:tcPr>
          <w:p>
            <w:pPr>
              <w:pStyle w:val="11"/>
            </w:pPr>
            <w:r>
              <w:t>74.78</w:t>
            </w:r>
          </w:p>
        </w:tc>
        <w:tc>
          <w:tcPr>
            <w:tcW w:w="2551" w:type="dxa"/>
            <w:vAlign w:val="center"/>
          </w:tcPr>
          <w:p>
            <w:pPr>
              <w:pStyle w:val="11"/>
            </w:pPr>
            <w:r>
              <w:t>137.16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8.16</w:t>
            </w:r>
          </w:p>
        </w:tc>
        <w:tc>
          <w:tcPr>
            <w:tcW w:w="2551" w:type="dxa"/>
            <w:vAlign w:val="center"/>
          </w:tcPr>
          <w:p>
            <w:pPr>
              <w:pStyle w:val="11"/>
            </w:pPr>
            <w:r>
              <w:t>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7.72</w:t>
            </w:r>
          </w:p>
        </w:tc>
        <w:tc>
          <w:tcPr>
            <w:tcW w:w="2551" w:type="dxa"/>
            <w:vAlign w:val="center"/>
          </w:tcPr>
          <w:p>
            <w:pPr>
              <w:pStyle w:val="11"/>
            </w:pPr>
            <w:r>
              <w:t>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7.72</w:t>
            </w:r>
          </w:p>
        </w:tc>
        <w:tc>
          <w:tcPr>
            <w:tcW w:w="2551" w:type="dxa"/>
            <w:vAlign w:val="center"/>
          </w:tcPr>
          <w:p>
            <w:pPr>
              <w:pStyle w:val="11"/>
            </w:pPr>
            <w:r>
              <w:t>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0.44</w:t>
            </w:r>
          </w:p>
        </w:tc>
        <w:tc>
          <w:tcPr>
            <w:tcW w:w="2551" w:type="dxa"/>
            <w:vAlign w:val="center"/>
          </w:tcPr>
          <w:p>
            <w:pPr>
              <w:pStyle w:val="11"/>
            </w:pPr>
            <w:r>
              <w:t>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0.44</w:t>
            </w:r>
          </w:p>
        </w:tc>
        <w:tc>
          <w:tcPr>
            <w:tcW w:w="2551" w:type="dxa"/>
            <w:vAlign w:val="center"/>
          </w:tcPr>
          <w:p>
            <w:pPr>
              <w:pStyle w:val="11"/>
            </w:pPr>
            <w:r>
              <w:t>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7.30</w:t>
            </w:r>
          </w:p>
        </w:tc>
        <w:tc>
          <w:tcPr>
            <w:tcW w:w="2551" w:type="dxa"/>
            <w:vAlign w:val="center"/>
          </w:tcPr>
          <w:p>
            <w:pPr>
              <w:pStyle w:val="11"/>
            </w:pPr>
            <w:r>
              <w:t>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7.30</w:t>
            </w:r>
          </w:p>
        </w:tc>
        <w:tc>
          <w:tcPr>
            <w:tcW w:w="2551" w:type="dxa"/>
            <w:vAlign w:val="center"/>
          </w:tcPr>
          <w:p>
            <w:pPr>
              <w:pStyle w:val="11"/>
            </w:pPr>
            <w:r>
              <w:t>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96.64</w:t>
            </w:r>
          </w:p>
        </w:tc>
        <w:tc>
          <w:tcPr>
            <w:tcW w:w="2551" w:type="dxa"/>
            <w:vAlign w:val="center"/>
          </w:tcPr>
          <w:p>
            <w:pPr>
              <w:pStyle w:val="15"/>
            </w:pPr>
            <w:r>
              <w:t>91.67</w:t>
            </w:r>
          </w:p>
        </w:tc>
        <w:tc>
          <w:tcPr>
            <w:tcW w:w="2552" w:type="dxa"/>
            <w:vAlign w:val="center"/>
          </w:tcPr>
          <w:p>
            <w:pPr>
              <w:pStyle w:val="15"/>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78.49</w:t>
            </w:r>
          </w:p>
        </w:tc>
        <w:tc>
          <w:tcPr>
            <w:tcW w:w="2551" w:type="dxa"/>
            <w:vAlign w:val="center"/>
          </w:tcPr>
          <w:p>
            <w:pPr>
              <w:pStyle w:val="11"/>
            </w:pPr>
            <w:r>
              <w:t>78.49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21.10</w:t>
            </w:r>
          </w:p>
        </w:tc>
        <w:tc>
          <w:tcPr>
            <w:tcW w:w="2551" w:type="dxa"/>
            <w:vAlign w:val="center"/>
          </w:tcPr>
          <w:p>
            <w:pPr>
              <w:pStyle w:val="11"/>
            </w:pPr>
            <w:r>
              <w:t>21.10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9.82</w:t>
            </w:r>
          </w:p>
        </w:tc>
        <w:tc>
          <w:tcPr>
            <w:tcW w:w="2551" w:type="dxa"/>
            <w:vAlign w:val="center"/>
          </w:tcPr>
          <w:p>
            <w:pPr>
              <w:pStyle w:val="11"/>
            </w:pPr>
            <w:r>
              <w:t>9.82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w:t>
            </w:r>
          </w:p>
        </w:tc>
        <w:tc>
          <w:tcPr>
            <w:tcW w:w="2551" w:type="dxa"/>
            <w:vAlign w:val="center"/>
          </w:tcPr>
          <w:p>
            <w:pPr>
              <w:pStyle w:val="11"/>
            </w:pPr>
            <w:r>
              <w:t>7.20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18.51</w:t>
            </w:r>
          </w:p>
        </w:tc>
        <w:tc>
          <w:tcPr>
            <w:tcW w:w="2551" w:type="dxa"/>
            <w:vAlign w:val="center"/>
          </w:tcPr>
          <w:p>
            <w:pPr>
              <w:pStyle w:val="11"/>
            </w:pPr>
            <w:r>
              <w:t>18.51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7.72</w:t>
            </w:r>
          </w:p>
        </w:tc>
        <w:tc>
          <w:tcPr>
            <w:tcW w:w="2551" w:type="dxa"/>
            <w:vAlign w:val="center"/>
          </w:tcPr>
          <w:p>
            <w:pPr>
              <w:pStyle w:val="11"/>
            </w:pPr>
            <w:r>
              <w:t>7.72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4.10</w:t>
            </w:r>
          </w:p>
        </w:tc>
        <w:tc>
          <w:tcPr>
            <w:tcW w:w="2551" w:type="dxa"/>
            <w:vAlign w:val="center"/>
          </w:tcPr>
          <w:p>
            <w:pPr>
              <w:pStyle w:val="11"/>
            </w:pPr>
            <w:r>
              <w:t>4.10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3.20</w:t>
            </w:r>
          </w:p>
        </w:tc>
        <w:tc>
          <w:tcPr>
            <w:tcW w:w="2551" w:type="dxa"/>
            <w:vAlign w:val="center"/>
          </w:tcPr>
          <w:p>
            <w:pPr>
              <w:pStyle w:val="11"/>
            </w:pPr>
            <w:r>
              <w:t>3.20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0.44</w:t>
            </w:r>
          </w:p>
        </w:tc>
        <w:tc>
          <w:tcPr>
            <w:tcW w:w="2551" w:type="dxa"/>
            <w:vAlign w:val="center"/>
          </w:tcPr>
          <w:p>
            <w:pPr>
              <w:pStyle w:val="11"/>
            </w:pPr>
            <w:r>
              <w:t>0.44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6.40</w:t>
            </w:r>
          </w:p>
        </w:tc>
        <w:tc>
          <w:tcPr>
            <w:tcW w:w="2551" w:type="dxa"/>
            <w:vAlign w:val="center"/>
          </w:tcPr>
          <w:p>
            <w:pPr>
              <w:pStyle w:val="11"/>
            </w:pPr>
            <w:r>
              <w:t>6.40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4.97</w:t>
            </w:r>
          </w:p>
        </w:tc>
        <w:tc>
          <w:tcPr>
            <w:tcW w:w="2551" w:type="dxa"/>
            <w:vAlign w:val="center"/>
          </w:tcPr>
          <w:p>
            <w:pPr>
              <w:pStyle w:val="11"/>
            </w:pPr>
          </w:p>
        </w:tc>
        <w:tc>
          <w:tcPr>
            <w:tcW w:w="2552" w:type="dxa"/>
            <w:vAlign w:val="center"/>
          </w:tcPr>
          <w:p>
            <w:pPr>
              <w:pStyle w:val="11"/>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0.25</w:t>
            </w:r>
          </w:p>
        </w:tc>
        <w:tc>
          <w:tcPr>
            <w:tcW w:w="2551" w:type="dxa"/>
            <w:vAlign w:val="center"/>
          </w:tcPr>
          <w:p>
            <w:pPr>
              <w:pStyle w:val="11"/>
            </w:pPr>
          </w:p>
        </w:tc>
        <w:tc>
          <w:tcPr>
            <w:tcW w:w="2552"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1.13</w:t>
            </w:r>
          </w:p>
        </w:tc>
        <w:tc>
          <w:tcPr>
            <w:tcW w:w="2551" w:type="dxa"/>
            <w:vAlign w:val="center"/>
          </w:tcPr>
          <w:p>
            <w:pPr>
              <w:pStyle w:val="11"/>
            </w:pPr>
          </w:p>
        </w:tc>
        <w:tc>
          <w:tcPr>
            <w:tcW w:w="2552" w:type="dxa"/>
            <w:vAlign w:val="center"/>
          </w:tcPr>
          <w:p>
            <w:pPr>
              <w:pStyle w:val="11"/>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0.03</w:t>
            </w:r>
          </w:p>
        </w:tc>
        <w:tc>
          <w:tcPr>
            <w:tcW w:w="2551" w:type="dxa"/>
            <w:vAlign w:val="center"/>
          </w:tcPr>
          <w:p>
            <w:pPr>
              <w:pStyle w:val="11"/>
            </w:pPr>
          </w:p>
        </w:tc>
        <w:tc>
          <w:tcPr>
            <w:tcW w:w="2552"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1.56</w:t>
            </w:r>
          </w:p>
        </w:tc>
        <w:tc>
          <w:tcPr>
            <w:tcW w:w="2551" w:type="dxa"/>
            <w:vAlign w:val="center"/>
          </w:tcPr>
          <w:p>
            <w:pPr>
              <w:pStyle w:val="11"/>
            </w:pPr>
          </w:p>
        </w:tc>
        <w:tc>
          <w:tcPr>
            <w:tcW w:w="2552"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13.18</w:t>
            </w:r>
          </w:p>
        </w:tc>
        <w:tc>
          <w:tcPr>
            <w:tcW w:w="2551" w:type="dxa"/>
            <w:vAlign w:val="center"/>
          </w:tcPr>
          <w:p>
            <w:pPr>
              <w:pStyle w:val="11"/>
            </w:pPr>
            <w:r>
              <w:t>13.18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10.73</w:t>
            </w:r>
          </w:p>
        </w:tc>
        <w:tc>
          <w:tcPr>
            <w:tcW w:w="2551" w:type="dxa"/>
            <w:vAlign w:val="center"/>
          </w:tcPr>
          <w:p>
            <w:pPr>
              <w:pStyle w:val="11"/>
            </w:pPr>
            <w:r>
              <w:t>10.73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2.45</w:t>
            </w:r>
          </w:p>
        </w:tc>
        <w:tc>
          <w:tcPr>
            <w:tcW w:w="2551" w:type="dxa"/>
            <w:vAlign w:val="center"/>
          </w:tcPr>
          <w:p>
            <w:pPr>
              <w:pStyle w:val="11"/>
            </w:pPr>
            <w:r>
              <w:t>2.45</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542001石家庄市井陉矿区信访局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2.03</w:t>
            </w:r>
          </w:p>
        </w:tc>
        <w:tc>
          <w:tcPr>
            <w:tcW w:w="2381" w:type="dxa"/>
            <w:vAlign w:val="center"/>
          </w:tcPr>
          <w:p>
            <w:pPr>
              <w:pStyle w:val="15"/>
            </w:pPr>
            <w:r>
              <w:t>2.03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2.03</w:t>
            </w:r>
          </w:p>
        </w:tc>
        <w:tc>
          <w:tcPr>
            <w:tcW w:w="2381" w:type="dxa"/>
            <w:vAlign w:val="center"/>
          </w:tcPr>
          <w:p>
            <w:pPr>
              <w:pStyle w:val="11"/>
            </w:pPr>
            <w:r>
              <w:t>2.03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0.03</w:t>
            </w:r>
          </w:p>
        </w:tc>
        <w:tc>
          <w:tcPr>
            <w:tcW w:w="2381" w:type="dxa"/>
            <w:vAlign w:val="center"/>
          </w:tcPr>
          <w:p>
            <w:pPr>
              <w:pStyle w:val="11"/>
            </w:pPr>
            <w:r>
              <w:t>0.03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石家庄市井陉矿区信访局2024年单位预算信息公开情况说明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按照《中华人民共和国预算法》、《地方预决算公开操作规程》和《关于进一步推进预算公开工作的实施意见》规定，现将石家庄市井陉矿区信访局2024年单位预算公开如下：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bookmarkStart w:id="1" w:name="_GoBack"/>
      <w:bookmarkEnd w:id="1"/>
      <w:r>
        <w:t>研究提出全区信访工作思路，贯彻落实中央和省市信访工作法规、规章，研究起草信访工作地方性规章制度；办理人民群众来信，接待群众来访，受理群众网上投诉，查办信访案件，承办区领导电子信箱日常工作，负责人民群众建议征集工作；调查研究和综合分析全区信访形势及信访工作状况，总结推广各地各部门信访工作经验，提出改进和加强信访工作的意见和建议；参与组织、协调、指导全区社会治安综合治理和维护社会政治稳定工作，协助保障国家、省、市、区重大政治活动顺利进行，参与处理影响社会政治稳定的突发性、群体性事件；督促检查和指导各乡镇（街道）、区直部门的信访工作。对各乡镇（街道）党委、政府和区直有关部门信访工作年度责任目标进行考核，对全区社会治安综合治理和维护社会政治稳定年度责任目标中有关信访工作进行考核；协助国家、省、市信访局处理井陉矿区群众进京、赴省市上访工作，综合协调处理跨地区、跨部门、跨行业的重要信访问题，协助公安机关维护区委、区政府机关正常工作秩序；负责省、市、区领导公开接访和包联案件的组织协调工作；承担井陉矿区信访工作联席会议的日常工作，督促落实联席会议决定的事项；完成区委、区政府以及国家、省、市信访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石家庄市井陉矿区信访局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243.80万元，其中：一般公共预算收入243.80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信访局年度单位预算中支出预算的总体情况。2024年支出预算243.80万元，其中基本支出96.64万元，包括人员经费91.67万元和日常公用经费4.97万元；项目支出147.16万元，主要为信访工作经费支出100万元，多元化解中心经费支出3万元，劳务派遣支出27.35万元，保安经费1.78万元，党建工作经费支出0.03万元；政务外网网经费支出5万元，2023年市级解决特殊疑难信访问题补助资金10万元，其他支出0万元。</w:t>
      </w:r>
    </w:p>
    <w:p>
      <w:pPr>
        <w:pStyle w:val="18"/>
      </w:pPr>
      <w:r>
        <w:t>3、比上年增减情况</w:t>
      </w:r>
    </w:p>
    <w:p>
      <w:pPr>
        <w:pStyle w:val="18"/>
      </w:pPr>
      <w:r>
        <w:t>2024年预算收支安排243.80万元，较2023年预算增加62.61万元，其中：基本支出减少2.21万元，主要为人员经费支出增加1.27万元和日常公用经费支出减少3.48万元；项目支出增加64.82万元；其他支出无增减变化。项目支出增加64.82万元，主要为省市对信访工作提出了新的要求，形势更加严峻，任务更加艰巨，增加信访工作经费。</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2024年，我单位机关运行经费共计安排4.97万元，主要用于日常维修、办公用房水电费、办公用房取暖费、办公用房物业管理费等日常运行支出。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2.03万元，其中因公出国（境）费0.00万元；公务用车购置及运维费2.00万元（其中：公务用车购置费为0.00万元，公务用车运维费2.00万元)；公务接待费0.03万元。与2023年相比增加2.03万元，增减变化的主要原因是“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1、保安经费绩效目标表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13010724P00011310006H</w:t>
            </w:r>
          </w:p>
        </w:tc>
        <w:tc>
          <w:tcPr>
            <w:tcW w:w="1587" w:type="dxa"/>
            <w:vAlign w:val="center"/>
          </w:tcPr>
          <w:p>
            <w:pPr>
              <w:pStyle w:val="10"/>
            </w:pPr>
            <w:r>
              <w:t>项目名称</w:t>
            </w:r>
          </w:p>
        </w:tc>
        <w:tc>
          <w:tcPr>
            <w:tcW w:w="4423" w:type="dxa"/>
            <w:gridSpan w:val="3"/>
            <w:vAlign w:val="center"/>
          </w:tcPr>
          <w:p>
            <w:pPr>
              <w:pStyle w:val="12"/>
            </w:pPr>
            <w:r>
              <w:t>保安经费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w:t>
            </w:r>
          </w:p>
        </w:tc>
        <w:tc>
          <w:tcPr>
            <w:tcW w:w="1587" w:type="dxa"/>
            <w:vAlign w:val="center"/>
          </w:tcPr>
          <w:p>
            <w:pPr>
              <w:pStyle w:val="10"/>
            </w:pPr>
            <w:r>
              <w:t>其中：财政    资金</w:t>
            </w:r>
          </w:p>
        </w:tc>
        <w:tc>
          <w:tcPr>
            <w:tcW w:w="1304" w:type="dxa"/>
            <w:vAlign w:val="center"/>
          </w:tcPr>
          <w:p>
            <w:pPr>
              <w:pStyle w:val="12"/>
            </w:pPr>
            <w:r>
              <w:t>1.78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保安劳务费用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0.45</w:t>
            </w:r>
          </w:p>
        </w:tc>
        <w:tc>
          <w:tcPr>
            <w:tcW w:w="1587" w:type="dxa"/>
            <w:vAlign w:val="center"/>
          </w:tcPr>
          <w:p>
            <w:pPr>
              <w:pStyle w:val="13"/>
            </w:pPr>
            <w:r>
              <w:t>0.90</w:t>
            </w:r>
          </w:p>
        </w:tc>
        <w:tc>
          <w:tcPr>
            <w:tcW w:w="1304" w:type="dxa"/>
            <w:vAlign w:val="center"/>
          </w:tcPr>
          <w:p>
            <w:pPr>
              <w:pStyle w:val="13"/>
            </w:pPr>
            <w:r>
              <w:t>1.35</w:t>
            </w:r>
          </w:p>
        </w:tc>
        <w:tc>
          <w:tcPr>
            <w:tcW w:w="3119" w:type="dxa"/>
            <w:gridSpan w:val="2"/>
            <w:vAlign w:val="center"/>
          </w:tcPr>
          <w:p>
            <w:pPr>
              <w:pStyle w:val="13"/>
            </w:pPr>
            <w:r>
              <w:t>1.78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1.通过聘用保安人员确保中心人员安全及基础工作正常开展。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聘请保安人数</w:t>
            </w:r>
          </w:p>
        </w:tc>
        <w:tc>
          <w:tcPr>
            <w:tcW w:w="2891" w:type="dxa"/>
            <w:vAlign w:val="center"/>
          </w:tcPr>
          <w:p>
            <w:pPr>
              <w:pStyle w:val="12"/>
            </w:pPr>
            <w:r>
              <w:t>聘请保安人数</w:t>
            </w:r>
          </w:p>
        </w:tc>
        <w:tc>
          <w:tcPr>
            <w:tcW w:w="1276" w:type="dxa"/>
            <w:vAlign w:val="center"/>
          </w:tcPr>
          <w:p>
            <w:pPr>
              <w:pStyle w:val="12"/>
            </w:pPr>
            <w:r>
              <w:t>≥6人</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工作合格率</w:t>
            </w:r>
          </w:p>
        </w:tc>
        <w:tc>
          <w:tcPr>
            <w:tcW w:w="2891" w:type="dxa"/>
            <w:vAlign w:val="center"/>
          </w:tcPr>
          <w:p>
            <w:pPr>
              <w:pStyle w:val="12"/>
            </w:pPr>
            <w:r>
              <w:t>工作人员工作合格率</w:t>
            </w:r>
          </w:p>
        </w:tc>
        <w:tc>
          <w:tcPr>
            <w:tcW w:w="1276" w:type="dxa"/>
            <w:vAlign w:val="center"/>
          </w:tcPr>
          <w:p>
            <w:pPr>
              <w:pStyle w:val="12"/>
            </w:pPr>
            <w:r>
              <w:t>≥95%</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工作时间</w:t>
            </w:r>
          </w:p>
        </w:tc>
        <w:tc>
          <w:tcPr>
            <w:tcW w:w="2891" w:type="dxa"/>
            <w:vAlign w:val="center"/>
          </w:tcPr>
          <w:p>
            <w:pPr>
              <w:pStyle w:val="12"/>
            </w:pPr>
            <w:r>
              <w:t>工作人员工作时间</w:t>
            </w:r>
          </w:p>
        </w:tc>
        <w:tc>
          <w:tcPr>
            <w:tcW w:w="1276" w:type="dxa"/>
            <w:vAlign w:val="center"/>
          </w:tcPr>
          <w:p>
            <w:pPr>
              <w:pStyle w:val="12"/>
            </w:pPr>
            <w:r>
              <w:t>≤12月</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人均发放标准</w:t>
            </w:r>
          </w:p>
        </w:tc>
        <w:tc>
          <w:tcPr>
            <w:tcW w:w="2891" w:type="dxa"/>
            <w:vAlign w:val="center"/>
          </w:tcPr>
          <w:p>
            <w:pPr>
              <w:pStyle w:val="12"/>
            </w:pPr>
            <w:r>
              <w:t>工作人员人均发放标准</w:t>
            </w:r>
          </w:p>
        </w:tc>
        <w:tc>
          <w:tcPr>
            <w:tcW w:w="1276" w:type="dxa"/>
            <w:vAlign w:val="center"/>
          </w:tcPr>
          <w:p>
            <w:pPr>
              <w:pStyle w:val="12"/>
            </w:pPr>
            <w:r>
              <w:t>≤1480元/人/月</w:t>
            </w:r>
          </w:p>
        </w:tc>
        <w:tc>
          <w:tcPr>
            <w:tcW w:w="1843" w:type="dxa"/>
            <w:vAlign w:val="center"/>
          </w:tcPr>
          <w:p>
            <w:pPr>
              <w:pStyle w:val="12"/>
            </w:pPr>
            <w:r>
              <w:t>2024年信访局预算测算数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可持续影响指标</w:t>
            </w:r>
          </w:p>
        </w:tc>
        <w:tc>
          <w:tcPr>
            <w:tcW w:w="1332" w:type="dxa"/>
            <w:vAlign w:val="center"/>
          </w:tcPr>
          <w:p>
            <w:pPr>
              <w:pStyle w:val="12"/>
            </w:pPr>
            <w:r>
              <w:t>持续保障中心安保工作</w:t>
            </w:r>
          </w:p>
        </w:tc>
        <w:tc>
          <w:tcPr>
            <w:tcW w:w="2891" w:type="dxa"/>
            <w:vAlign w:val="center"/>
          </w:tcPr>
          <w:p>
            <w:pPr>
              <w:pStyle w:val="12"/>
            </w:pPr>
            <w:r>
              <w:t>全年聘用安保人员开展安保工作，持续开展安保工作</w:t>
            </w:r>
          </w:p>
        </w:tc>
        <w:tc>
          <w:tcPr>
            <w:tcW w:w="1276" w:type="dxa"/>
            <w:vAlign w:val="center"/>
          </w:tcPr>
          <w:p>
            <w:pPr>
              <w:pStyle w:val="12"/>
            </w:pPr>
            <w:r>
              <w:t>≥95%</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劳务人员满意率</w:t>
            </w:r>
          </w:p>
        </w:tc>
        <w:tc>
          <w:tcPr>
            <w:tcW w:w="2891" w:type="dxa"/>
            <w:vAlign w:val="center"/>
          </w:tcPr>
          <w:p>
            <w:pPr>
              <w:pStyle w:val="12"/>
            </w:pPr>
            <w:r>
              <w:t>劳务工作人员满意率人员占总人数比例</w:t>
            </w:r>
          </w:p>
        </w:tc>
        <w:tc>
          <w:tcPr>
            <w:tcW w:w="1276" w:type="dxa"/>
            <w:vAlign w:val="center"/>
          </w:tcPr>
          <w:p>
            <w:pPr>
              <w:pStyle w:val="12"/>
            </w:pPr>
            <w:r>
              <w:t>≥95%</w:t>
            </w:r>
          </w:p>
        </w:tc>
        <w:tc>
          <w:tcPr>
            <w:tcW w:w="1843" w:type="dxa"/>
            <w:vAlign w:val="center"/>
          </w:tcPr>
          <w:p>
            <w:pPr>
              <w:pStyle w:val="12"/>
            </w:pPr>
            <w:r>
              <w:t>回访调查问卷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2、劳务派遣劳务费绩效目标表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13010724P00011310005X</w:t>
            </w:r>
          </w:p>
        </w:tc>
        <w:tc>
          <w:tcPr>
            <w:tcW w:w="1587" w:type="dxa"/>
            <w:vAlign w:val="center"/>
          </w:tcPr>
          <w:p>
            <w:pPr>
              <w:pStyle w:val="10"/>
            </w:pPr>
            <w:r>
              <w:t>项目名称</w:t>
            </w:r>
          </w:p>
        </w:tc>
        <w:tc>
          <w:tcPr>
            <w:tcW w:w="4423" w:type="dxa"/>
            <w:gridSpan w:val="3"/>
            <w:vAlign w:val="center"/>
          </w:tcPr>
          <w:p>
            <w:pPr>
              <w:pStyle w:val="12"/>
            </w:pPr>
            <w:r>
              <w:t>劳务派遣劳务费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27.35</w:t>
            </w:r>
          </w:p>
        </w:tc>
        <w:tc>
          <w:tcPr>
            <w:tcW w:w="1587" w:type="dxa"/>
            <w:vAlign w:val="center"/>
          </w:tcPr>
          <w:p>
            <w:pPr>
              <w:pStyle w:val="10"/>
            </w:pPr>
            <w:r>
              <w:t>其中：财政    资金</w:t>
            </w:r>
          </w:p>
        </w:tc>
        <w:tc>
          <w:tcPr>
            <w:tcW w:w="1304" w:type="dxa"/>
            <w:vAlign w:val="center"/>
          </w:tcPr>
          <w:p>
            <w:pPr>
              <w:pStyle w:val="12"/>
            </w:pPr>
            <w:r>
              <w:t>27.35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劳务派遣人员8名劳务费，保障人员工资。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6.80</w:t>
            </w:r>
          </w:p>
        </w:tc>
        <w:tc>
          <w:tcPr>
            <w:tcW w:w="1587" w:type="dxa"/>
            <w:vAlign w:val="center"/>
          </w:tcPr>
          <w:p>
            <w:pPr>
              <w:pStyle w:val="13"/>
            </w:pPr>
            <w:r>
              <w:t>13.60</w:t>
            </w:r>
          </w:p>
        </w:tc>
        <w:tc>
          <w:tcPr>
            <w:tcW w:w="1304" w:type="dxa"/>
            <w:vAlign w:val="center"/>
          </w:tcPr>
          <w:p>
            <w:pPr>
              <w:pStyle w:val="13"/>
            </w:pPr>
            <w:r>
              <w:t>20.40</w:t>
            </w:r>
          </w:p>
        </w:tc>
        <w:tc>
          <w:tcPr>
            <w:tcW w:w="3119" w:type="dxa"/>
            <w:gridSpan w:val="2"/>
            <w:vAlign w:val="center"/>
          </w:tcPr>
          <w:p>
            <w:pPr>
              <w:pStyle w:val="13"/>
            </w:pPr>
            <w:r>
              <w:t>27.35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1.劳务派遣人员8名劳务费用，保障中心安全和工作正常开展。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聘请劳务派遣人数</w:t>
            </w:r>
          </w:p>
        </w:tc>
        <w:tc>
          <w:tcPr>
            <w:tcW w:w="2891" w:type="dxa"/>
            <w:vAlign w:val="center"/>
          </w:tcPr>
          <w:p>
            <w:pPr>
              <w:pStyle w:val="12"/>
            </w:pPr>
            <w:r>
              <w:t>聘请劳务外包人员人数及劳务派遣人数</w:t>
            </w:r>
          </w:p>
        </w:tc>
        <w:tc>
          <w:tcPr>
            <w:tcW w:w="1276" w:type="dxa"/>
            <w:vAlign w:val="center"/>
          </w:tcPr>
          <w:p>
            <w:pPr>
              <w:pStyle w:val="12"/>
            </w:pPr>
            <w:r>
              <w:t>≥8人</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工作合格率</w:t>
            </w:r>
          </w:p>
        </w:tc>
        <w:tc>
          <w:tcPr>
            <w:tcW w:w="2891" w:type="dxa"/>
            <w:vAlign w:val="center"/>
          </w:tcPr>
          <w:p>
            <w:pPr>
              <w:pStyle w:val="12"/>
            </w:pPr>
            <w:r>
              <w:t>工作人员工作合格率</w:t>
            </w:r>
          </w:p>
        </w:tc>
        <w:tc>
          <w:tcPr>
            <w:tcW w:w="1276" w:type="dxa"/>
            <w:vAlign w:val="center"/>
          </w:tcPr>
          <w:p>
            <w:pPr>
              <w:pStyle w:val="12"/>
            </w:pPr>
            <w:r>
              <w:t>≥95%</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工作时间</w:t>
            </w:r>
          </w:p>
        </w:tc>
        <w:tc>
          <w:tcPr>
            <w:tcW w:w="2891" w:type="dxa"/>
            <w:vAlign w:val="center"/>
          </w:tcPr>
          <w:p>
            <w:pPr>
              <w:pStyle w:val="12"/>
            </w:pPr>
            <w:r>
              <w:t>工作人员工作时间</w:t>
            </w:r>
          </w:p>
        </w:tc>
        <w:tc>
          <w:tcPr>
            <w:tcW w:w="1276" w:type="dxa"/>
            <w:vAlign w:val="center"/>
          </w:tcPr>
          <w:p>
            <w:pPr>
              <w:pStyle w:val="12"/>
            </w:pPr>
            <w:r>
              <w:t>12月</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人均发放标准</w:t>
            </w:r>
          </w:p>
        </w:tc>
        <w:tc>
          <w:tcPr>
            <w:tcW w:w="2891" w:type="dxa"/>
            <w:vAlign w:val="center"/>
          </w:tcPr>
          <w:p>
            <w:pPr>
              <w:pStyle w:val="12"/>
            </w:pPr>
            <w:r>
              <w:t>工作人员人均发放标准</w:t>
            </w:r>
          </w:p>
        </w:tc>
        <w:tc>
          <w:tcPr>
            <w:tcW w:w="1276" w:type="dxa"/>
            <w:vAlign w:val="center"/>
          </w:tcPr>
          <w:p>
            <w:pPr>
              <w:pStyle w:val="12"/>
            </w:pPr>
            <w:r>
              <w:t>≤2881元/人/月</w:t>
            </w:r>
          </w:p>
        </w:tc>
        <w:tc>
          <w:tcPr>
            <w:tcW w:w="1843" w:type="dxa"/>
            <w:vAlign w:val="center"/>
          </w:tcPr>
          <w:p>
            <w:pPr>
              <w:pStyle w:val="12"/>
            </w:pPr>
            <w:r>
              <w:t>2024年信访局预算测算数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提高工作效率</w:t>
            </w:r>
          </w:p>
        </w:tc>
        <w:tc>
          <w:tcPr>
            <w:tcW w:w="2891" w:type="dxa"/>
            <w:vAlign w:val="center"/>
          </w:tcPr>
          <w:p>
            <w:pPr>
              <w:pStyle w:val="12"/>
            </w:pPr>
            <w:r>
              <w:t>聘用劳务派遣人员及劳务外包人员确保中心基础工作正常开展</w:t>
            </w:r>
          </w:p>
        </w:tc>
        <w:tc>
          <w:tcPr>
            <w:tcW w:w="1276" w:type="dxa"/>
            <w:vAlign w:val="center"/>
          </w:tcPr>
          <w:p>
            <w:pPr>
              <w:pStyle w:val="12"/>
            </w:pPr>
            <w:r>
              <w:t>100%</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劳务人员满意率</w:t>
            </w:r>
          </w:p>
        </w:tc>
        <w:tc>
          <w:tcPr>
            <w:tcW w:w="2891" w:type="dxa"/>
            <w:vAlign w:val="center"/>
          </w:tcPr>
          <w:p>
            <w:pPr>
              <w:pStyle w:val="12"/>
            </w:pPr>
            <w:r>
              <w:t>劳务工作人员满意率人员占总人数比例</w:t>
            </w:r>
          </w:p>
        </w:tc>
        <w:tc>
          <w:tcPr>
            <w:tcW w:w="1276" w:type="dxa"/>
            <w:vAlign w:val="center"/>
          </w:tcPr>
          <w:p>
            <w:pPr>
              <w:pStyle w:val="12"/>
            </w:pPr>
            <w:r>
              <w:t>≥95%</w:t>
            </w:r>
          </w:p>
        </w:tc>
        <w:tc>
          <w:tcPr>
            <w:tcW w:w="1843" w:type="dxa"/>
            <w:vAlign w:val="center"/>
          </w:tcPr>
          <w:p>
            <w:pPr>
              <w:pStyle w:val="12"/>
            </w:pPr>
            <w:r>
              <w:t>回访调查问卷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3、2023年中央及市级解决特殊疑难信访问题资金绩效目标表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13010724P000112102020</w:t>
            </w:r>
          </w:p>
        </w:tc>
        <w:tc>
          <w:tcPr>
            <w:tcW w:w="1587" w:type="dxa"/>
            <w:vAlign w:val="center"/>
          </w:tcPr>
          <w:p>
            <w:pPr>
              <w:pStyle w:val="10"/>
            </w:pPr>
            <w:r>
              <w:t>项目名称</w:t>
            </w:r>
          </w:p>
        </w:tc>
        <w:tc>
          <w:tcPr>
            <w:tcW w:w="4423" w:type="dxa"/>
            <w:gridSpan w:val="3"/>
            <w:vAlign w:val="center"/>
          </w:tcPr>
          <w:p>
            <w:pPr>
              <w:pStyle w:val="12"/>
            </w:pPr>
            <w:r>
              <w:t>2023年中央及市级解决特殊疑难信访问题资金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解决特殊疑难信访问题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2.50</w:t>
            </w:r>
          </w:p>
        </w:tc>
        <w:tc>
          <w:tcPr>
            <w:tcW w:w="1587" w:type="dxa"/>
            <w:vAlign w:val="center"/>
          </w:tcPr>
          <w:p>
            <w:pPr>
              <w:pStyle w:val="13"/>
            </w:pPr>
            <w:r>
              <w:t>5.00</w:t>
            </w:r>
          </w:p>
        </w:tc>
        <w:tc>
          <w:tcPr>
            <w:tcW w:w="1304" w:type="dxa"/>
            <w:vAlign w:val="center"/>
          </w:tcPr>
          <w:p>
            <w:pPr>
              <w:pStyle w:val="13"/>
            </w:pPr>
            <w:r>
              <w:t>7.50</w:t>
            </w:r>
          </w:p>
        </w:tc>
        <w:tc>
          <w:tcPr>
            <w:tcW w:w="3119"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1.解决特殊疑难信访问题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解决特殊疑难疑难信访案件</w:t>
            </w:r>
          </w:p>
        </w:tc>
        <w:tc>
          <w:tcPr>
            <w:tcW w:w="2891" w:type="dxa"/>
            <w:vAlign w:val="center"/>
          </w:tcPr>
          <w:p>
            <w:pPr>
              <w:pStyle w:val="12"/>
            </w:pPr>
            <w:r>
              <w:t>解决特殊疑难疑难信访案件</w:t>
            </w:r>
          </w:p>
        </w:tc>
        <w:tc>
          <w:tcPr>
            <w:tcW w:w="1276" w:type="dxa"/>
            <w:vAlign w:val="center"/>
          </w:tcPr>
          <w:p>
            <w:pPr>
              <w:pStyle w:val="12"/>
            </w:pPr>
            <w:r>
              <w:t>≥5件</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息诉罢访率(%)</w:t>
            </w:r>
          </w:p>
        </w:tc>
        <w:tc>
          <w:tcPr>
            <w:tcW w:w="2891" w:type="dxa"/>
            <w:vAlign w:val="center"/>
          </w:tcPr>
          <w:p>
            <w:pPr>
              <w:pStyle w:val="12"/>
            </w:pPr>
            <w:r>
              <w:t>息诉罢访率(%)</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控制成本</w:t>
            </w:r>
          </w:p>
        </w:tc>
        <w:tc>
          <w:tcPr>
            <w:tcW w:w="2891" w:type="dxa"/>
            <w:vAlign w:val="center"/>
          </w:tcPr>
          <w:p>
            <w:pPr>
              <w:pStyle w:val="12"/>
            </w:pPr>
            <w:r>
              <w:t>控制成本</w:t>
            </w:r>
          </w:p>
        </w:tc>
        <w:tc>
          <w:tcPr>
            <w:tcW w:w="1276" w:type="dxa"/>
            <w:vAlign w:val="center"/>
          </w:tcPr>
          <w:p>
            <w:pPr>
              <w:pStyle w:val="12"/>
            </w:pPr>
            <w:r>
              <w:t>≥10万元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化解矛盾率(%)</w:t>
            </w:r>
          </w:p>
        </w:tc>
        <w:tc>
          <w:tcPr>
            <w:tcW w:w="2891" w:type="dxa"/>
            <w:vAlign w:val="center"/>
          </w:tcPr>
          <w:p>
            <w:pPr>
              <w:pStyle w:val="12"/>
            </w:pPr>
            <w:r>
              <w:t>化解矛盾率(%)</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可持续影响指标</w:t>
            </w:r>
          </w:p>
        </w:tc>
        <w:tc>
          <w:tcPr>
            <w:tcW w:w="1332" w:type="dxa"/>
            <w:vAlign w:val="center"/>
          </w:tcPr>
          <w:p>
            <w:pPr>
              <w:pStyle w:val="12"/>
            </w:pPr>
            <w:r>
              <w:t>维护社会稳定</w:t>
            </w:r>
          </w:p>
        </w:tc>
        <w:tc>
          <w:tcPr>
            <w:tcW w:w="2891" w:type="dxa"/>
            <w:vAlign w:val="center"/>
          </w:tcPr>
          <w:p>
            <w:pPr>
              <w:pStyle w:val="12"/>
            </w:pPr>
            <w:r>
              <w:t>维护社会稳定</w:t>
            </w:r>
          </w:p>
        </w:tc>
        <w:tc>
          <w:tcPr>
            <w:tcW w:w="1276" w:type="dxa"/>
            <w:vAlign w:val="center"/>
          </w:tcPr>
          <w:p>
            <w:pPr>
              <w:pStyle w:val="12"/>
            </w:pPr>
            <w:r>
              <w:t>维护社会稳定</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≥98%</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4、党建工作经费绩效目标表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13010724P00011210081Q</w:t>
            </w:r>
          </w:p>
        </w:tc>
        <w:tc>
          <w:tcPr>
            <w:tcW w:w="1587" w:type="dxa"/>
            <w:vAlign w:val="center"/>
          </w:tcPr>
          <w:p>
            <w:pPr>
              <w:pStyle w:val="10"/>
            </w:pPr>
            <w:r>
              <w:t>项目名称</w:t>
            </w:r>
          </w:p>
        </w:tc>
        <w:tc>
          <w:tcPr>
            <w:tcW w:w="4423" w:type="dxa"/>
            <w:gridSpan w:val="3"/>
            <w:vAlign w:val="center"/>
          </w:tcPr>
          <w:p>
            <w:pPr>
              <w:pStyle w:val="12"/>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0.03</w:t>
            </w:r>
          </w:p>
        </w:tc>
        <w:tc>
          <w:tcPr>
            <w:tcW w:w="1587" w:type="dxa"/>
            <w:vAlign w:val="center"/>
          </w:tcPr>
          <w:p>
            <w:pPr>
              <w:pStyle w:val="10"/>
            </w:pPr>
            <w:r>
              <w:t>其中：财政    资金</w:t>
            </w:r>
          </w:p>
        </w:tc>
        <w:tc>
          <w:tcPr>
            <w:tcW w:w="1304" w:type="dxa"/>
            <w:vAlign w:val="center"/>
          </w:tcPr>
          <w:p>
            <w:pPr>
              <w:pStyle w:val="12"/>
            </w:pPr>
            <w:r>
              <w:t>0.03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党建工作经费0.03万元，开展党员购买学习资料。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0.01</w:t>
            </w:r>
          </w:p>
        </w:tc>
        <w:tc>
          <w:tcPr>
            <w:tcW w:w="1587" w:type="dxa"/>
            <w:vAlign w:val="center"/>
          </w:tcPr>
          <w:p>
            <w:pPr>
              <w:pStyle w:val="13"/>
            </w:pPr>
            <w:r>
              <w:t>0.02</w:t>
            </w:r>
          </w:p>
        </w:tc>
        <w:tc>
          <w:tcPr>
            <w:tcW w:w="1304" w:type="dxa"/>
            <w:vAlign w:val="center"/>
          </w:tcPr>
          <w:p>
            <w:pPr>
              <w:pStyle w:val="13"/>
            </w:pPr>
            <w:r>
              <w:t>0.02</w:t>
            </w:r>
          </w:p>
        </w:tc>
        <w:tc>
          <w:tcPr>
            <w:tcW w:w="3119" w:type="dxa"/>
            <w:gridSpan w:val="2"/>
            <w:vAlign w:val="center"/>
          </w:tcPr>
          <w:p>
            <w:pPr>
              <w:pStyle w:val="13"/>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1.开展12次党员培训，不断提高全局党员队伍建设，不断提升基层常务工作者能力素质和水平。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购置资料数量</w:t>
            </w:r>
          </w:p>
        </w:tc>
        <w:tc>
          <w:tcPr>
            <w:tcW w:w="2891" w:type="dxa"/>
            <w:vAlign w:val="center"/>
          </w:tcPr>
          <w:p>
            <w:pPr>
              <w:pStyle w:val="12"/>
            </w:pPr>
            <w:r>
              <w:t>购置数量</w:t>
            </w:r>
          </w:p>
        </w:tc>
        <w:tc>
          <w:tcPr>
            <w:tcW w:w="1276" w:type="dxa"/>
            <w:vAlign w:val="center"/>
          </w:tcPr>
          <w:p>
            <w:pPr>
              <w:pStyle w:val="12"/>
            </w:pPr>
            <w:r>
              <w:t>≥5本</w:t>
            </w:r>
          </w:p>
        </w:tc>
        <w:tc>
          <w:tcPr>
            <w:tcW w:w="1843" w:type="dxa"/>
            <w:vAlign w:val="center"/>
          </w:tcPr>
          <w:p>
            <w:pPr>
              <w:pStyle w:val="12"/>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数量指标</w:t>
            </w:r>
          </w:p>
        </w:tc>
        <w:tc>
          <w:tcPr>
            <w:tcW w:w="1332" w:type="dxa"/>
            <w:vAlign w:val="center"/>
          </w:tcPr>
          <w:p>
            <w:pPr>
              <w:pStyle w:val="12"/>
            </w:pPr>
            <w:r>
              <w:t>培训人员数</w:t>
            </w:r>
          </w:p>
        </w:tc>
        <w:tc>
          <w:tcPr>
            <w:tcW w:w="2891" w:type="dxa"/>
            <w:vAlign w:val="center"/>
          </w:tcPr>
          <w:p>
            <w:pPr>
              <w:pStyle w:val="12"/>
            </w:pPr>
            <w:r>
              <w:t>参加党员培训人员数</w:t>
            </w:r>
          </w:p>
        </w:tc>
        <w:tc>
          <w:tcPr>
            <w:tcW w:w="1276" w:type="dxa"/>
            <w:vAlign w:val="center"/>
          </w:tcPr>
          <w:p>
            <w:pPr>
              <w:pStyle w:val="12"/>
            </w:pPr>
            <w:r>
              <w:t>5人</w:t>
            </w:r>
          </w:p>
        </w:tc>
        <w:tc>
          <w:tcPr>
            <w:tcW w:w="1843" w:type="dxa"/>
            <w:vAlign w:val="center"/>
          </w:tcPr>
          <w:p>
            <w:pPr>
              <w:pStyle w:val="12"/>
            </w:pPr>
            <w:r>
              <w:t>党员人数5人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培训工作达标率</w:t>
            </w:r>
          </w:p>
        </w:tc>
        <w:tc>
          <w:tcPr>
            <w:tcW w:w="2891" w:type="dxa"/>
            <w:vAlign w:val="center"/>
          </w:tcPr>
          <w:p>
            <w:pPr>
              <w:pStyle w:val="12"/>
            </w:pPr>
            <w:r>
              <w:t>党员培训工作达标率</w:t>
            </w:r>
          </w:p>
        </w:tc>
        <w:tc>
          <w:tcPr>
            <w:tcW w:w="1276" w:type="dxa"/>
            <w:vAlign w:val="center"/>
          </w:tcPr>
          <w:p>
            <w:pPr>
              <w:pStyle w:val="12"/>
            </w:pPr>
            <w:r>
              <w:t>≥95%</w:t>
            </w:r>
          </w:p>
        </w:tc>
        <w:tc>
          <w:tcPr>
            <w:tcW w:w="1843" w:type="dxa"/>
            <w:vAlign w:val="center"/>
          </w:tcPr>
          <w:p>
            <w:pPr>
              <w:pStyle w:val="12"/>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培训和资料购置等工作完成率</w:t>
            </w:r>
          </w:p>
        </w:tc>
        <w:tc>
          <w:tcPr>
            <w:tcW w:w="2891" w:type="dxa"/>
            <w:vAlign w:val="center"/>
          </w:tcPr>
          <w:p>
            <w:pPr>
              <w:pStyle w:val="12"/>
            </w:pPr>
            <w:r>
              <w:t>购置党员学习资料完成时间</w:t>
            </w:r>
          </w:p>
        </w:tc>
        <w:tc>
          <w:tcPr>
            <w:tcW w:w="1276" w:type="dxa"/>
            <w:vAlign w:val="center"/>
          </w:tcPr>
          <w:p>
            <w:pPr>
              <w:pStyle w:val="12"/>
            </w:pPr>
            <w:r>
              <w:t>≤8月</w:t>
            </w:r>
          </w:p>
        </w:tc>
        <w:tc>
          <w:tcPr>
            <w:tcW w:w="1843" w:type="dxa"/>
            <w:vAlign w:val="center"/>
          </w:tcPr>
          <w:p>
            <w:pPr>
              <w:pStyle w:val="12"/>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购买平均费用</w:t>
            </w:r>
          </w:p>
        </w:tc>
        <w:tc>
          <w:tcPr>
            <w:tcW w:w="2891" w:type="dxa"/>
            <w:vAlign w:val="center"/>
          </w:tcPr>
          <w:p>
            <w:pPr>
              <w:pStyle w:val="12"/>
            </w:pPr>
            <w:r>
              <w:t>购置党员学习资料平均费用</w:t>
            </w:r>
          </w:p>
        </w:tc>
        <w:tc>
          <w:tcPr>
            <w:tcW w:w="1276" w:type="dxa"/>
            <w:vAlign w:val="center"/>
          </w:tcPr>
          <w:p>
            <w:pPr>
              <w:pStyle w:val="12"/>
            </w:pPr>
            <w:r>
              <w:t>≤30元/本</w:t>
            </w:r>
          </w:p>
        </w:tc>
        <w:tc>
          <w:tcPr>
            <w:tcW w:w="1843" w:type="dxa"/>
            <w:vAlign w:val="center"/>
          </w:tcPr>
          <w:p>
            <w:pPr>
              <w:pStyle w:val="12"/>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党建费用</w:t>
            </w:r>
          </w:p>
        </w:tc>
        <w:tc>
          <w:tcPr>
            <w:tcW w:w="2891" w:type="dxa"/>
            <w:vAlign w:val="center"/>
          </w:tcPr>
          <w:p>
            <w:pPr>
              <w:pStyle w:val="12"/>
            </w:pPr>
            <w:r>
              <w:t>党建费用</w:t>
            </w:r>
          </w:p>
        </w:tc>
        <w:tc>
          <w:tcPr>
            <w:tcW w:w="1276" w:type="dxa"/>
            <w:vAlign w:val="center"/>
          </w:tcPr>
          <w:p>
            <w:pPr>
              <w:pStyle w:val="12"/>
            </w:pPr>
            <w:r>
              <w:t>≤0.03万元</w:t>
            </w:r>
          </w:p>
        </w:tc>
        <w:tc>
          <w:tcPr>
            <w:tcW w:w="1843" w:type="dxa"/>
            <w:vAlign w:val="center"/>
          </w:tcPr>
          <w:p>
            <w:pPr>
              <w:pStyle w:val="12"/>
            </w:pPr>
            <w:r>
              <w:t>2024年信访局预算测算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政治素养提升率</w:t>
            </w:r>
          </w:p>
        </w:tc>
        <w:tc>
          <w:tcPr>
            <w:tcW w:w="2891" w:type="dxa"/>
            <w:vAlign w:val="center"/>
          </w:tcPr>
          <w:p>
            <w:pPr>
              <w:pStyle w:val="12"/>
            </w:pPr>
            <w:r>
              <w:t>基层党务工作者能力素质和水平政治素养提升，不断提高全局党员队伍建设</w:t>
            </w:r>
          </w:p>
        </w:tc>
        <w:tc>
          <w:tcPr>
            <w:tcW w:w="1276" w:type="dxa"/>
            <w:vAlign w:val="center"/>
          </w:tcPr>
          <w:p>
            <w:pPr>
              <w:pStyle w:val="12"/>
            </w:pPr>
            <w:r>
              <w:t>通过基层党务工作学习提升党员队伍建设</w:t>
            </w:r>
          </w:p>
        </w:tc>
        <w:tc>
          <w:tcPr>
            <w:tcW w:w="1843" w:type="dxa"/>
            <w:vAlign w:val="center"/>
          </w:tcPr>
          <w:p>
            <w:pPr>
              <w:pStyle w:val="12"/>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党员满意率</w:t>
            </w:r>
          </w:p>
        </w:tc>
        <w:tc>
          <w:tcPr>
            <w:tcW w:w="2891" w:type="dxa"/>
            <w:vAlign w:val="center"/>
          </w:tcPr>
          <w:p>
            <w:pPr>
              <w:pStyle w:val="12"/>
            </w:pPr>
            <w:r>
              <w:t>党员满意人员占总人数比例</w:t>
            </w:r>
          </w:p>
        </w:tc>
        <w:tc>
          <w:tcPr>
            <w:tcW w:w="1276" w:type="dxa"/>
            <w:vAlign w:val="center"/>
          </w:tcPr>
          <w:p>
            <w:pPr>
              <w:pStyle w:val="12"/>
            </w:pPr>
            <w:r>
              <w:t>≥95%</w:t>
            </w:r>
          </w:p>
        </w:tc>
        <w:tc>
          <w:tcPr>
            <w:tcW w:w="1843"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5、多元化解中心运行经费绩效目标表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13010724P000112100830</w:t>
            </w:r>
          </w:p>
        </w:tc>
        <w:tc>
          <w:tcPr>
            <w:tcW w:w="1587" w:type="dxa"/>
            <w:vAlign w:val="center"/>
          </w:tcPr>
          <w:p>
            <w:pPr>
              <w:pStyle w:val="10"/>
            </w:pPr>
            <w:r>
              <w:t>项目名称</w:t>
            </w:r>
          </w:p>
        </w:tc>
        <w:tc>
          <w:tcPr>
            <w:tcW w:w="4423" w:type="dxa"/>
            <w:gridSpan w:val="3"/>
            <w:vAlign w:val="center"/>
          </w:tcPr>
          <w:p>
            <w:pPr>
              <w:pStyle w:val="12"/>
            </w:pPr>
            <w:r>
              <w:t>多元化解中心运行经费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多元化解中心运行经费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0.75</w:t>
            </w:r>
          </w:p>
        </w:tc>
        <w:tc>
          <w:tcPr>
            <w:tcW w:w="1587" w:type="dxa"/>
            <w:vAlign w:val="center"/>
          </w:tcPr>
          <w:p>
            <w:pPr>
              <w:pStyle w:val="13"/>
            </w:pPr>
            <w:r>
              <w:t>1.50</w:t>
            </w:r>
          </w:p>
        </w:tc>
        <w:tc>
          <w:tcPr>
            <w:tcW w:w="1304" w:type="dxa"/>
            <w:vAlign w:val="center"/>
          </w:tcPr>
          <w:p>
            <w:pPr>
              <w:pStyle w:val="13"/>
            </w:pPr>
            <w:r>
              <w:t>2.25</w:t>
            </w:r>
          </w:p>
        </w:tc>
        <w:tc>
          <w:tcPr>
            <w:tcW w:w="3119"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1.多元化解中心办公需求，保障中心接访工作、化解信访案件，维护社会稳定。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办公经费覆盖率</w:t>
            </w:r>
          </w:p>
        </w:tc>
        <w:tc>
          <w:tcPr>
            <w:tcW w:w="2891" w:type="dxa"/>
            <w:vAlign w:val="center"/>
          </w:tcPr>
          <w:p>
            <w:pPr>
              <w:pStyle w:val="12"/>
            </w:pPr>
            <w:r>
              <w:t>覆盖化解中心全部办公费用</w:t>
            </w:r>
          </w:p>
        </w:tc>
        <w:tc>
          <w:tcPr>
            <w:tcW w:w="1276" w:type="dxa"/>
            <w:vAlign w:val="center"/>
          </w:tcPr>
          <w:p>
            <w:pPr>
              <w:pStyle w:val="12"/>
            </w:pPr>
            <w:r>
              <w:t>100%</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群众来访接待率</w:t>
            </w:r>
          </w:p>
        </w:tc>
        <w:tc>
          <w:tcPr>
            <w:tcW w:w="2891" w:type="dxa"/>
            <w:vAlign w:val="center"/>
          </w:tcPr>
          <w:p>
            <w:pPr>
              <w:pStyle w:val="12"/>
            </w:pPr>
            <w:r>
              <w:t>多元化解中心群众来访接待率</w:t>
            </w:r>
          </w:p>
        </w:tc>
        <w:tc>
          <w:tcPr>
            <w:tcW w:w="1276" w:type="dxa"/>
            <w:vAlign w:val="center"/>
          </w:tcPr>
          <w:p>
            <w:pPr>
              <w:pStyle w:val="12"/>
            </w:pPr>
            <w:r>
              <w:t>≥98%</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保障工作时间</w:t>
            </w:r>
          </w:p>
        </w:tc>
        <w:tc>
          <w:tcPr>
            <w:tcW w:w="2891" w:type="dxa"/>
            <w:vAlign w:val="center"/>
          </w:tcPr>
          <w:p>
            <w:pPr>
              <w:pStyle w:val="12"/>
            </w:pPr>
            <w:r>
              <w:t>办公经费保障各项任务时间</w:t>
            </w:r>
          </w:p>
        </w:tc>
        <w:tc>
          <w:tcPr>
            <w:tcW w:w="1276" w:type="dxa"/>
            <w:vAlign w:val="center"/>
          </w:tcPr>
          <w:p>
            <w:pPr>
              <w:pStyle w:val="12"/>
            </w:pPr>
            <w:r>
              <w:t>1年</w:t>
            </w:r>
          </w:p>
        </w:tc>
        <w:tc>
          <w:tcPr>
            <w:tcW w:w="1843" w:type="dxa"/>
            <w:vAlign w:val="center"/>
          </w:tcPr>
          <w:p>
            <w:pPr>
              <w:pStyle w:val="12"/>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季度平均费用</w:t>
            </w:r>
          </w:p>
        </w:tc>
        <w:tc>
          <w:tcPr>
            <w:tcW w:w="2891" w:type="dxa"/>
            <w:vAlign w:val="center"/>
          </w:tcPr>
          <w:p>
            <w:pPr>
              <w:pStyle w:val="12"/>
            </w:pPr>
            <w:r>
              <w:t>整合中心平均运行经费</w:t>
            </w:r>
          </w:p>
        </w:tc>
        <w:tc>
          <w:tcPr>
            <w:tcW w:w="1276" w:type="dxa"/>
            <w:vAlign w:val="center"/>
          </w:tcPr>
          <w:p>
            <w:pPr>
              <w:pStyle w:val="12"/>
            </w:pPr>
            <w:r>
              <w:t>≤0.75万元/季度</w:t>
            </w:r>
          </w:p>
        </w:tc>
        <w:tc>
          <w:tcPr>
            <w:tcW w:w="1843" w:type="dxa"/>
            <w:vAlign w:val="center"/>
          </w:tcPr>
          <w:p>
            <w:pPr>
              <w:pStyle w:val="12"/>
            </w:pPr>
            <w:r>
              <w:t>2024年信访局预算测算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化解中心运行稳定率</w:t>
            </w:r>
          </w:p>
        </w:tc>
        <w:tc>
          <w:tcPr>
            <w:tcW w:w="2891" w:type="dxa"/>
            <w:vAlign w:val="center"/>
          </w:tcPr>
          <w:p>
            <w:pPr>
              <w:pStyle w:val="12"/>
            </w:pPr>
            <w:r>
              <w:t>化解中心全年正常运行</w:t>
            </w:r>
          </w:p>
        </w:tc>
        <w:tc>
          <w:tcPr>
            <w:tcW w:w="1276" w:type="dxa"/>
            <w:vAlign w:val="center"/>
          </w:tcPr>
          <w:p>
            <w:pPr>
              <w:pStyle w:val="12"/>
            </w:pPr>
            <w:r>
              <w:t>100%</w:t>
            </w:r>
          </w:p>
        </w:tc>
        <w:tc>
          <w:tcPr>
            <w:tcW w:w="1843" w:type="dxa"/>
            <w:vAlign w:val="center"/>
          </w:tcPr>
          <w:p>
            <w:pPr>
              <w:pStyle w:val="12"/>
            </w:pPr>
            <w:r>
              <w:t>参考2023年历史经验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社会效益指标</w:t>
            </w:r>
          </w:p>
        </w:tc>
        <w:tc>
          <w:tcPr>
            <w:tcW w:w="1332" w:type="dxa"/>
            <w:vAlign w:val="center"/>
          </w:tcPr>
          <w:p>
            <w:pPr>
              <w:pStyle w:val="12"/>
            </w:pPr>
            <w:r>
              <w:t>维护社会稳定</w:t>
            </w:r>
          </w:p>
        </w:tc>
        <w:tc>
          <w:tcPr>
            <w:tcW w:w="2891" w:type="dxa"/>
            <w:vAlign w:val="center"/>
          </w:tcPr>
          <w:p>
            <w:pPr>
              <w:pStyle w:val="12"/>
            </w:pPr>
            <w:r>
              <w:t>接待来访群众，完成接访工作、化解信访案件、维护社会稳定</w:t>
            </w:r>
          </w:p>
        </w:tc>
        <w:tc>
          <w:tcPr>
            <w:tcW w:w="1276" w:type="dxa"/>
            <w:vAlign w:val="center"/>
          </w:tcPr>
          <w:p>
            <w:pPr>
              <w:pStyle w:val="12"/>
            </w:pPr>
            <w:r>
              <w:t>化解信访案件，维护社会稳定减少信访案件</w:t>
            </w:r>
          </w:p>
        </w:tc>
        <w:tc>
          <w:tcPr>
            <w:tcW w:w="1843" w:type="dxa"/>
            <w:vAlign w:val="center"/>
          </w:tcPr>
          <w:p>
            <w:pPr>
              <w:pStyle w:val="12"/>
            </w:pPr>
            <w:r>
              <w:t>参考2023年历史经验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信访群众满意度</w:t>
            </w:r>
          </w:p>
        </w:tc>
        <w:tc>
          <w:tcPr>
            <w:tcW w:w="2891" w:type="dxa"/>
            <w:vAlign w:val="center"/>
          </w:tcPr>
          <w:p>
            <w:pPr>
              <w:pStyle w:val="12"/>
            </w:pPr>
            <w:r>
              <w:t>信访群众多元化解中心满意度</w:t>
            </w:r>
          </w:p>
        </w:tc>
        <w:tc>
          <w:tcPr>
            <w:tcW w:w="1276" w:type="dxa"/>
            <w:vAlign w:val="center"/>
          </w:tcPr>
          <w:p>
            <w:pPr>
              <w:pStyle w:val="12"/>
            </w:pPr>
            <w:r>
              <w:t>≥98%</w:t>
            </w:r>
          </w:p>
        </w:tc>
        <w:tc>
          <w:tcPr>
            <w:tcW w:w="1843"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6、信访工作经费绩效目标表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13010724P00011210084K</w:t>
            </w:r>
          </w:p>
        </w:tc>
        <w:tc>
          <w:tcPr>
            <w:tcW w:w="1587" w:type="dxa"/>
            <w:vAlign w:val="center"/>
          </w:tcPr>
          <w:p>
            <w:pPr>
              <w:pStyle w:val="10"/>
            </w:pPr>
            <w:r>
              <w:t>项目名称</w:t>
            </w:r>
          </w:p>
        </w:tc>
        <w:tc>
          <w:tcPr>
            <w:tcW w:w="4423" w:type="dxa"/>
            <w:gridSpan w:val="3"/>
            <w:vAlign w:val="center"/>
          </w:tcPr>
          <w:p>
            <w:pPr>
              <w:pStyle w:val="12"/>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进京、赴省市值班费100万元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25.00</w:t>
            </w:r>
          </w:p>
        </w:tc>
        <w:tc>
          <w:tcPr>
            <w:tcW w:w="1587" w:type="dxa"/>
            <w:vAlign w:val="center"/>
          </w:tcPr>
          <w:p>
            <w:pPr>
              <w:pStyle w:val="13"/>
            </w:pPr>
            <w:r>
              <w:t>50.00</w:t>
            </w:r>
          </w:p>
        </w:tc>
        <w:tc>
          <w:tcPr>
            <w:tcW w:w="1304" w:type="dxa"/>
            <w:vAlign w:val="center"/>
          </w:tcPr>
          <w:p>
            <w:pPr>
              <w:pStyle w:val="13"/>
            </w:pPr>
            <w:r>
              <w:t>75.00</w:t>
            </w:r>
          </w:p>
        </w:tc>
        <w:tc>
          <w:tcPr>
            <w:tcW w:w="3119"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1.保障3-4名工作人员进京、赴省市值班费用，确保我区发生越级访能够及时有效处置，保障社会和谐稳定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信访值班人员数量</w:t>
            </w:r>
          </w:p>
        </w:tc>
        <w:tc>
          <w:tcPr>
            <w:tcW w:w="2891" w:type="dxa"/>
            <w:vAlign w:val="center"/>
          </w:tcPr>
          <w:p>
            <w:pPr>
              <w:pStyle w:val="12"/>
            </w:pPr>
            <w:r>
              <w:t>进京赴省值班信访值班人数量</w:t>
            </w:r>
          </w:p>
        </w:tc>
        <w:tc>
          <w:tcPr>
            <w:tcW w:w="1276" w:type="dxa"/>
            <w:vAlign w:val="center"/>
          </w:tcPr>
          <w:p>
            <w:pPr>
              <w:pStyle w:val="12"/>
            </w:pPr>
            <w:r>
              <w:t>≥5人</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事件成功处置率</w:t>
            </w:r>
          </w:p>
        </w:tc>
        <w:tc>
          <w:tcPr>
            <w:tcW w:w="2891" w:type="dxa"/>
            <w:vAlign w:val="center"/>
          </w:tcPr>
          <w:p>
            <w:pPr>
              <w:pStyle w:val="12"/>
            </w:pPr>
            <w:r>
              <w:t>群体性事件成功处置率</w:t>
            </w:r>
          </w:p>
        </w:tc>
        <w:tc>
          <w:tcPr>
            <w:tcW w:w="1276" w:type="dxa"/>
            <w:vAlign w:val="center"/>
          </w:tcPr>
          <w:p>
            <w:pPr>
              <w:pStyle w:val="12"/>
            </w:pPr>
            <w:r>
              <w:t>≥98%</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工作时间</w:t>
            </w:r>
          </w:p>
        </w:tc>
        <w:tc>
          <w:tcPr>
            <w:tcW w:w="2891" w:type="dxa"/>
            <w:vAlign w:val="center"/>
          </w:tcPr>
          <w:p>
            <w:pPr>
              <w:pStyle w:val="12"/>
            </w:pPr>
            <w:r>
              <w:t>信访值班工作完成时间</w:t>
            </w:r>
          </w:p>
        </w:tc>
        <w:tc>
          <w:tcPr>
            <w:tcW w:w="1276" w:type="dxa"/>
            <w:vAlign w:val="center"/>
          </w:tcPr>
          <w:p>
            <w:pPr>
              <w:pStyle w:val="12"/>
            </w:pPr>
            <w:r>
              <w:t>2024年12月底</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人均费用</w:t>
            </w:r>
          </w:p>
        </w:tc>
        <w:tc>
          <w:tcPr>
            <w:tcW w:w="2891" w:type="dxa"/>
            <w:vAlign w:val="center"/>
          </w:tcPr>
          <w:p>
            <w:pPr>
              <w:pStyle w:val="12"/>
            </w:pPr>
            <w:r>
              <w:t>值班人员人均费用</w:t>
            </w:r>
          </w:p>
        </w:tc>
        <w:tc>
          <w:tcPr>
            <w:tcW w:w="1276" w:type="dxa"/>
            <w:vAlign w:val="center"/>
          </w:tcPr>
          <w:p>
            <w:pPr>
              <w:pStyle w:val="12"/>
            </w:pPr>
            <w:r>
              <w:t>≤20万元/人</w:t>
            </w:r>
          </w:p>
        </w:tc>
        <w:tc>
          <w:tcPr>
            <w:tcW w:w="1843" w:type="dxa"/>
            <w:vAlign w:val="center"/>
          </w:tcPr>
          <w:p>
            <w:pPr>
              <w:pStyle w:val="12"/>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投诉下降率</w:t>
            </w:r>
          </w:p>
        </w:tc>
        <w:tc>
          <w:tcPr>
            <w:tcW w:w="2891" w:type="dxa"/>
            <w:vAlign w:val="center"/>
          </w:tcPr>
          <w:p>
            <w:pPr>
              <w:pStyle w:val="12"/>
            </w:pPr>
            <w:r>
              <w:t>群众控诉下降率</w:t>
            </w:r>
          </w:p>
        </w:tc>
        <w:tc>
          <w:tcPr>
            <w:tcW w:w="1276" w:type="dxa"/>
            <w:vAlign w:val="center"/>
          </w:tcPr>
          <w:p>
            <w:pPr>
              <w:pStyle w:val="12"/>
            </w:pPr>
            <w:r>
              <w:t>≥5%</w:t>
            </w:r>
          </w:p>
        </w:tc>
        <w:tc>
          <w:tcPr>
            <w:tcW w:w="1843" w:type="dxa"/>
            <w:vAlign w:val="center"/>
          </w:tcPr>
          <w:p>
            <w:pPr>
              <w:pStyle w:val="12"/>
            </w:pPr>
            <w:r>
              <w:t>2024年工作计划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7、政务外网经费绩效目标表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13010724P00011210082C</w:t>
            </w:r>
          </w:p>
        </w:tc>
        <w:tc>
          <w:tcPr>
            <w:tcW w:w="1587" w:type="dxa"/>
            <w:vAlign w:val="center"/>
          </w:tcPr>
          <w:p>
            <w:pPr>
              <w:pStyle w:val="10"/>
            </w:pPr>
            <w:r>
              <w:t>项目名称</w:t>
            </w:r>
          </w:p>
        </w:tc>
        <w:tc>
          <w:tcPr>
            <w:tcW w:w="4423" w:type="dxa"/>
            <w:gridSpan w:val="3"/>
            <w:vAlign w:val="center"/>
          </w:tcPr>
          <w:p>
            <w:pPr>
              <w:pStyle w:val="12"/>
            </w:pPr>
            <w:r>
              <w:t>政务外网经费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2"/>
            </w:pPr>
            <w:r>
              <w:t>政务外网网络费5万元，支付网络费。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3"/>
            </w:pPr>
            <w:r>
              <w:t>1.25</w:t>
            </w:r>
          </w:p>
        </w:tc>
        <w:tc>
          <w:tcPr>
            <w:tcW w:w="1587" w:type="dxa"/>
            <w:vAlign w:val="center"/>
          </w:tcPr>
          <w:p>
            <w:pPr>
              <w:pStyle w:val="13"/>
            </w:pPr>
            <w:r>
              <w:t>2.50</w:t>
            </w:r>
          </w:p>
        </w:tc>
        <w:tc>
          <w:tcPr>
            <w:tcW w:w="1304" w:type="dxa"/>
            <w:vAlign w:val="center"/>
          </w:tcPr>
          <w:p>
            <w:pPr>
              <w:pStyle w:val="13"/>
            </w:pPr>
            <w:r>
              <w:t>3.75</w:t>
            </w:r>
          </w:p>
        </w:tc>
        <w:tc>
          <w:tcPr>
            <w:tcW w:w="3119"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1.通过租用网络并开展维护确保网络运行畅通。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网络数量</w:t>
            </w:r>
          </w:p>
        </w:tc>
        <w:tc>
          <w:tcPr>
            <w:tcW w:w="2891" w:type="dxa"/>
            <w:vAlign w:val="center"/>
          </w:tcPr>
          <w:p>
            <w:pPr>
              <w:pStyle w:val="12"/>
            </w:pPr>
            <w:r>
              <w:t>政务外网网络数量</w:t>
            </w:r>
          </w:p>
        </w:tc>
        <w:tc>
          <w:tcPr>
            <w:tcW w:w="1276" w:type="dxa"/>
            <w:vAlign w:val="center"/>
          </w:tcPr>
          <w:p>
            <w:pPr>
              <w:pStyle w:val="12"/>
            </w:pPr>
            <w:r>
              <w:t>≥23个</w:t>
            </w:r>
          </w:p>
        </w:tc>
        <w:tc>
          <w:tcPr>
            <w:tcW w:w="1843" w:type="dxa"/>
            <w:vAlign w:val="center"/>
          </w:tcPr>
          <w:p>
            <w:pPr>
              <w:pStyle w:val="12"/>
            </w:pPr>
            <w:r>
              <w:t>2024年作计划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质量指标</w:t>
            </w:r>
          </w:p>
        </w:tc>
        <w:tc>
          <w:tcPr>
            <w:tcW w:w="1332" w:type="dxa"/>
            <w:vAlign w:val="center"/>
          </w:tcPr>
          <w:p>
            <w:pPr>
              <w:pStyle w:val="12"/>
            </w:pPr>
            <w:r>
              <w:t>维护覆盖率</w:t>
            </w:r>
          </w:p>
        </w:tc>
        <w:tc>
          <w:tcPr>
            <w:tcW w:w="2891" w:type="dxa"/>
            <w:vAlign w:val="center"/>
          </w:tcPr>
          <w:p>
            <w:pPr>
              <w:pStyle w:val="12"/>
            </w:pPr>
            <w:r>
              <w:t>网络维护覆盖率</w:t>
            </w:r>
          </w:p>
        </w:tc>
        <w:tc>
          <w:tcPr>
            <w:tcW w:w="1276" w:type="dxa"/>
            <w:vAlign w:val="center"/>
          </w:tcPr>
          <w:p>
            <w:pPr>
              <w:pStyle w:val="12"/>
            </w:pPr>
            <w:r>
              <w:t>≥98%</w:t>
            </w:r>
          </w:p>
        </w:tc>
        <w:tc>
          <w:tcPr>
            <w:tcW w:w="1843" w:type="dxa"/>
            <w:vAlign w:val="center"/>
          </w:tcPr>
          <w:p>
            <w:pPr>
              <w:pStyle w:val="12"/>
            </w:pPr>
            <w:r>
              <w:t>2024年作计划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时效指标</w:t>
            </w:r>
          </w:p>
        </w:tc>
        <w:tc>
          <w:tcPr>
            <w:tcW w:w="1332" w:type="dxa"/>
            <w:vAlign w:val="center"/>
          </w:tcPr>
          <w:p>
            <w:pPr>
              <w:pStyle w:val="12"/>
            </w:pPr>
            <w:r>
              <w:t>保障工作时间</w:t>
            </w:r>
          </w:p>
        </w:tc>
        <w:tc>
          <w:tcPr>
            <w:tcW w:w="2891" w:type="dxa"/>
            <w:vAlign w:val="center"/>
          </w:tcPr>
          <w:p>
            <w:pPr>
              <w:pStyle w:val="12"/>
            </w:pPr>
            <w:r>
              <w:t>保障网络运行时间</w:t>
            </w:r>
          </w:p>
        </w:tc>
        <w:tc>
          <w:tcPr>
            <w:tcW w:w="1276" w:type="dxa"/>
            <w:vAlign w:val="center"/>
          </w:tcPr>
          <w:p>
            <w:pPr>
              <w:pStyle w:val="12"/>
            </w:pPr>
            <w:r>
              <w:t>1年</w:t>
            </w:r>
          </w:p>
        </w:tc>
        <w:tc>
          <w:tcPr>
            <w:tcW w:w="1843" w:type="dxa"/>
            <w:vAlign w:val="center"/>
          </w:tcPr>
          <w:p>
            <w:pPr>
              <w:pStyle w:val="12"/>
            </w:pPr>
            <w:r>
              <w:t>2024年作计划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支出控制额</w:t>
            </w:r>
          </w:p>
        </w:tc>
        <w:tc>
          <w:tcPr>
            <w:tcW w:w="2891" w:type="dxa"/>
            <w:vAlign w:val="center"/>
          </w:tcPr>
          <w:p>
            <w:pPr>
              <w:pStyle w:val="12"/>
            </w:pPr>
            <w:r>
              <w:t>政务外网网络经费</w:t>
            </w:r>
          </w:p>
        </w:tc>
        <w:tc>
          <w:tcPr>
            <w:tcW w:w="1276" w:type="dxa"/>
            <w:vAlign w:val="center"/>
          </w:tcPr>
          <w:p>
            <w:pPr>
              <w:pStyle w:val="12"/>
            </w:pPr>
            <w:r>
              <w:t>≤5万元</w:t>
            </w:r>
          </w:p>
        </w:tc>
        <w:tc>
          <w:tcPr>
            <w:tcW w:w="1843" w:type="dxa"/>
            <w:vAlign w:val="center"/>
          </w:tcPr>
          <w:p>
            <w:pPr>
              <w:pStyle w:val="12"/>
            </w:pPr>
            <w:r>
              <w:t>2024年作计划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1276" w:type="dxa"/>
            <w:vAlign w:val="center"/>
          </w:tcPr>
          <w:p>
            <w:pPr>
              <w:pStyle w:val="12"/>
            </w:pPr>
            <w:r>
              <w:t>成本指标</w:t>
            </w:r>
          </w:p>
        </w:tc>
        <w:tc>
          <w:tcPr>
            <w:tcW w:w="1332" w:type="dxa"/>
            <w:vAlign w:val="center"/>
          </w:tcPr>
          <w:p>
            <w:pPr>
              <w:pStyle w:val="12"/>
            </w:pPr>
            <w:r>
              <w:t>网络平均费用</w:t>
            </w:r>
          </w:p>
        </w:tc>
        <w:tc>
          <w:tcPr>
            <w:tcW w:w="2891" w:type="dxa"/>
            <w:vAlign w:val="center"/>
          </w:tcPr>
          <w:p>
            <w:pPr>
              <w:pStyle w:val="12"/>
            </w:pPr>
            <w:r>
              <w:t>政务外网网络平均费用</w:t>
            </w:r>
          </w:p>
        </w:tc>
        <w:tc>
          <w:tcPr>
            <w:tcW w:w="1276" w:type="dxa"/>
            <w:vAlign w:val="center"/>
          </w:tcPr>
          <w:p>
            <w:pPr>
              <w:pStyle w:val="12"/>
            </w:pPr>
            <w:r>
              <w:t>≤0.2万元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网络畅通率</w:t>
            </w:r>
          </w:p>
        </w:tc>
        <w:tc>
          <w:tcPr>
            <w:tcW w:w="2891" w:type="dxa"/>
            <w:vAlign w:val="center"/>
          </w:tcPr>
          <w:p>
            <w:pPr>
              <w:pStyle w:val="12"/>
            </w:pPr>
            <w:r>
              <w:t>政务外网网络畅通率</w:t>
            </w:r>
          </w:p>
        </w:tc>
        <w:tc>
          <w:tcPr>
            <w:tcW w:w="1276" w:type="dxa"/>
            <w:vAlign w:val="center"/>
          </w:tcPr>
          <w:p>
            <w:pPr>
              <w:pStyle w:val="12"/>
            </w:pPr>
            <w:r>
              <w:t>≥98%</w:t>
            </w:r>
          </w:p>
        </w:tc>
        <w:tc>
          <w:tcPr>
            <w:tcW w:w="1843" w:type="dxa"/>
            <w:vAlign w:val="center"/>
          </w:tcPr>
          <w:p>
            <w:pPr>
              <w:pStyle w:val="12"/>
            </w:pPr>
            <w:r>
              <w:t>2024年作计划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工作人员满意度</w:t>
            </w:r>
          </w:p>
        </w:tc>
        <w:tc>
          <w:tcPr>
            <w:tcW w:w="2891" w:type="dxa"/>
            <w:vAlign w:val="center"/>
          </w:tcPr>
          <w:p>
            <w:pPr>
              <w:pStyle w:val="12"/>
            </w:pPr>
            <w:r>
              <w:t>工作人员对网络畅通满意度</w:t>
            </w:r>
          </w:p>
        </w:tc>
        <w:tc>
          <w:tcPr>
            <w:tcW w:w="1276" w:type="dxa"/>
            <w:vAlign w:val="center"/>
          </w:tcPr>
          <w:p>
            <w:pPr>
              <w:pStyle w:val="12"/>
            </w:pPr>
            <w:r>
              <w:t>≥98%</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542001石家庄市井陉矿区信访局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石家庄市井陉矿区信访局上年末固定资产金额为75.35万元（详见下表）。本年度拟购置固定资产总额为0.00万元，已按要求列入政府采购预算，详见政府采购预算表。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542001石家庄市井陉矿区信访局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251</w:t>
            </w:r>
          </w:p>
        </w:tc>
        <w:tc>
          <w:tcPr>
            <w:tcW w:w="2835" w:type="dxa"/>
            <w:vAlign w:val="center"/>
          </w:tcPr>
          <w:p>
            <w:pPr>
              <w:pStyle w:val="11"/>
            </w:pPr>
            <w:r>
              <w:t>56.04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Symbol">
    <w:panose1 w:val="05050102010706020507"/>
    <w:charset w:val="02"/>
    <w:family w:val="modern"/>
    <w:pitch w:val="default"/>
    <w:sig w:usb0="00000000" w:usb1="00000000" w:usb2="00000000" w:usb3="00000000" w:csb0="80000000" w:csb1="00000000"/>
  </w:font>
  <w:font w:name="Courier New">
    <w:panose1 w:val="02070309020205020404"/>
    <w:charset w:val="00"/>
    <w:family w:val="swiss"/>
    <w:pitch w:val="default"/>
    <w:sig w:usb0="E0002AFF" w:usb1="C0007843" w:usb2="00000009" w:usb3="00000000" w:csb0="400001FF" w:csb1="FFFF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黑体">
    <w:panose1 w:val="02010609060101010101"/>
    <w:charset w:val="86"/>
    <w:family w:val="swiss"/>
    <w:pitch w:val="default"/>
    <w:sig w:usb0="800002BF" w:usb1="38CF7CFA" w:usb2="00000016" w:usb3="00000000" w:csb0="00040001" w:csb1="00000000"/>
  </w:font>
  <w:font w:name="方正楷体_GBK">
    <w:altName w:val="宋体"/>
    <w:panose1 w:val="00000000000000000000"/>
    <w:charset w:val="86"/>
    <w:family w:val="modern"/>
    <w:pitch w:val="default"/>
    <w:sig w:usb0="00000000" w:usb1="00000000" w:usb2="00000000" w:usb3="00000000" w:csb0="00000000" w:csb1="00000000"/>
  </w:font>
  <w:font w:name="Calibri Light">
    <w:panose1 w:val="020F0302020204030204"/>
    <w:charset w:val="00"/>
    <w:family w:val="decorative"/>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543E1"/>
    <w:rsid w:val="000543E1"/>
    <w:rsid w:val="00A043D7"/>
    <w:rsid w:val="00DA6CCD"/>
    <w:rsid w:val="4A2B3115"/>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2024-02-01T10:33:42Z</dcterms:created>
  <dcterms:modified xsi:type="dcterms:W3CDTF">2024-02-01T02:33:42Z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2024-02-01T10:33:40Z</dcterms:created>
  <dcterms:modified xsi:type="dcterms:W3CDTF">2024-02-01T02:33:40Z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2024-02-01T10:33:41Z</dcterms:created>
  <dcterms:modified xsi:type="dcterms:W3CDTF">2024-02-01T02:33:41Z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2024-02-01T10:33:41Z</dcterms:created>
  <dcterms:modified xsi:type="dcterms:W3CDTF">2024-02-01T02:33:41Z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2024-02-01T10:33:35Z</dcterms:created>
  <dcterms:modified xsi:type="dcterms:W3CDTF">2024-02-01T02:33:35Z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2024-02-01T10:33:41Z</dcterms:created>
  <dcterms:modified xsi:type="dcterms:W3CDTF">2024-02-01T02:33:41Z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2024-02-01T10:33:40Z</dcterms:created>
  <dcterms:modified xsi:type="dcterms:W3CDTF">2024-02-01T02:33:40Z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2024-02-01T10:33:42Z</dcterms:created>
  <dcterms:modified xsi:type="dcterms:W3CDTF">2024-02-01T02:33:42Z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2024-02-01T10:33:38Z</dcterms:created>
  <dcterms:modified xsi:type="dcterms:W3CDTF">2024-02-01T02:33:38Z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2024-02-01T10:33:40Z</dcterms:created>
  <dcterms:modified xsi:type="dcterms:W3CDTF">2024-02-01T02:33:40Z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12C0892-E480-441D-9681-08F2F6145C09}">
  <ds:schemaRefs/>
</ds:datastoreItem>
</file>

<file path=customXml/itemProps11.xml><?xml version="1.0" encoding="utf-8"?>
<ds:datastoreItem xmlns:ds="http://schemas.openxmlformats.org/officeDocument/2006/customXml" ds:itemID="{EB36D9DC-EE9A-4F5F-B1C1-7E4CA77B5291}">
  <ds:schemaRefs/>
</ds:datastoreItem>
</file>

<file path=customXml/itemProps12.xml><?xml version="1.0" encoding="utf-8"?>
<ds:datastoreItem xmlns:ds="http://schemas.openxmlformats.org/officeDocument/2006/customXml" ds:itemID="{31465FB1-565F-4F49-982E-31896CFFD682}">
  <ds:schemaRefs/>
</ds:datastoreItem>
</file>

<file path=customXml/itemProps13.xml><?xml version="1.0" encoding="utf-8"?>
<ds:datastoreItem xmlns:ds="http://schemas.openxmlformats.org/officeDocument/2006/customXml" ds:itemID="{B523A30B-1CEA-4C41-B9AE-7330DC8DEE74}">
  <ds:schemaRefs/>
</ds:datastoreItem>
</file>

<file path=customXml/itemProps14.xml><?xml version="1.0" encoding="utf-8"?>
<ds:datastoreItem xmlns:ds="http://schemas.openxmlformats.org/officeDocument/2006/customXml" ds:itemID="{B640B311-5069-4E41-9212-DD556A06200D}">
  <ds:schemaRefs/>
</ds:datastoreItem>
</file>

<file path=customXml/itemProps15.xml><?xml version="1.0" encoding="utf-8"?>
<ds:datastoreItem xmlns:ds="http://schemas.openxmlformats.org/officeDocument/2006/customXml" ds:itemID="{B1B8D67F-25CB-4412-8C06-DB13970BB095}">
  <ds:schemaRefs/>
</ds:datastoreItem>
</file>

<file path=customXml/itemProps16.xml><?xml version="1.0" encoding="utf-8"?>
<ds:datastoreItem xmlns:ds="http://schemas.openxmlformats.org/officeDocument/2006/customXml" ds:itemID="{02A6CB20-EEAA-4CE9-811F-1097305A5743}">
  <ds:schemaRefs/>
</ds:datastoreItem>
</file>

<file path=customXml/itemProps17.xml><?xml version="1.0" encoding="utf-8"?>
<ds:datastoreItem xmlns:ds="http://schemas.openxmlformats.org/officeDocument/2006/customXml" ds:itemID="{833C4A40-2764-498B-8779-D7E2ECB6F4C1}">
  <ds:schemaRefs/>
</ds:datastoreItem>
</file>

<file path=customXml/itemProps18.xml><?xml version="1.0" encoding="utf-8"?>
<ds:datastoreItem xmlns:ds="http://schemas.openxmlformats.org/officeDocument/2006/customXml" ds:itemID="{51BDF02B-280F-4768-8C27-10A72D7B7383}">
  <ds:schemaRefs/>
</ds:datastoreItem>
</file>

<file path=customXml/itemProps19.xml><?xml version="1.0" encoding="utf-8"?>
<ds:datastoreItem xmlns:ds="http://schemas.openxmlformats.org/officeDocument/2006/customXml" ds:itemID="{BD8D27BA-E905-48F0-9163-80C0E4396968}">
  <ds:schemaRefs/>
</ds:datastoreItem>
</file>

<file path=customXml/itemProps2.xml><?xml version="1.0" encoding="utf-8"?>
<ds:datastoreItem xmlns:ds="http://schemas.openxmlformats.org/officeDocument/2006/customXml" ds:itemID="{E172A5CA-3B33-4480-A245-55C1E27E242C}">
  <ds:schemaRefs/>
</ds:datastoreItem>
</file>

<file path=customXml/itemProps20.xml><?xml version="1.0" encoding="utf-8"?>
<ds:datastoreItem xmlns:ds="http://schemas.openxmlformats.org/officeDocument/2006/customXml" ds:itemID="{AFEB7B60-BC5F-4639-8CFD-3794235DFA6A}">
  <ds:schemaRefs/>
</ds:datastoreItem>
</file>

<file path=customXml/itemProps21.xml><?xml version="1.0" encoding="utf-8"?>
<ds:datastoreItem xmlns:ds="http://schemas.openxmlformats.org/officeDocument/2006/customXml" ds:itemID="{521EEC4B-C700-442B-9D8E-B35722647AE8}">
  <ds:schemaRefs/>
</ds:datastoreItem>
</file>

<file path=customXml/itemProps3.xml><?xml version="1.0" encoding="utf-8"?>
<ds:datastoreItem xmlns:ds="http://schemas.openxmlformats.org/officeDocument/2006/customXml" ds:itemID="{99FA6A2E-821E-4A23-B9A4-8F93BF13756A}">
  <ds:schemaRefs/>
</ds:datastoreItem>
</file>

<file path=customXml/itemProps4.xml><?xml version="1.0" encoding="utf-8"?>
<ds:datastoreItem xmlns:ds="http://schemas.openxmlformats.org/officeDocument/2006/customXml" ds:itemID="{F1FBDDF6-EF38-4AF3-9D38-6417F7DCDED8}">
  <ds:schemaRefs/>
</ds:datastoreItem>
</file>

<file path=customXml/itemProps5.xml><?xml version="1.0" encoding="utf-8"?>
<ds:datastoreItem xmlns:ds="http://schemas.openxmlformats.org/officeDocument/2006/customXml" ds:itemID="{66C7A810-2437-4E67-AA23-F86326B968B9}">
  <ds:schemaRefs/>
</ds:datastoreItem>
</file>

<file path=customXml/itemProps6.xml><?xml version="1.0" encoding="utf-8"?>
<ds:datastoreItem xmlns:ds="http://schemas.openxmlformats.org/officeDocument/2006/customXml" ds:itemID="{F500B32D-9534-4008-B962-EF7A4450860A}">
  <ds:schemaRefs/>
</ds:datastoreItem>
</file>

<file path=customXml/itemProps7.xml><?xml version="1.0" encoding="utf-8"?>
<ds:datastoreItem xmlns:ds="http://schemas.openxmlformats.org/officeDocument/2006/customXml" ds:itemID="{C8DC65B3-243E-43A3-8749-C373997F1829}">
  <ds:schemaRefs/>
</ds:datastoreItem>
</file>

<file path=customXml/itemProps8.xml><?xml version="1.0" encoding="utf-8"?>
<ds:datastoreItem xmlns:ds="http://schemas.openxmlformats.org/officeDocument/2006/customXml" ds:itemID="{CAB0742C-F465-44AC-AAB0-893D4B86D358}">
  <ds:schemaRefs/>
</ds:datastoreItem>
</file>

<file path=customXml/itemProps9.xml><?xml version="1.0" encoding="utf-8"?>
<ds:datastoreItem xmlns:ds="http://schemas.openxmlformats.org/officeDocument/2006/customXml" ds:itemID="{32BC31BE-57B5-4427-8AE1-917D5A177FA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29</Pages>
  <Words>1870</Words>
  <Characters>10661</Characters>
  <Lines>88</Lines>
  <Paragraphs>25</Paragraphs>
  <ScaleCrop>false</ScaleCrop>
  <LinksUpToDate>false</LinksUpToDate>
  <CharactersWithSpaces>12506</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2024-02-08T02:28:00Z</dcterms:created>
  <dc:creator>Administrator</dc:creator>
  <cp:lastModifiedBy>mei</cp:lastModifiedBy>
  <dcterms:modified xsi:type="dcterms:W3CDTF">2024-02-01T03:16:35Z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