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一、中共石家庄市井陉矿区委政法委员会</w:t>
      </w:r>
      <w:r>
        <w:rPr>
          <w:rFonts w:hint="eastAsia" w:eastAsiaTheme="minorEastAsia"/>
          <w:lang w:eastAsia="zh-CN"/>
        </w:rPr>
        <w:t>本级</w:t>
      </w:r>
      <w:r>
        <w:t>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一、中共石家庄市井陉矿区委政法委员会收支预算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423.89</w:t>
            </w:r>
          </w:p>
        </w:tc>
        <w:tc>
          <w:tcPr>
            <w:tcW w:w="4535" w:type="dxa"/>
            <w:vAlign w:val="center"/>
          </w:tcPr>
          <w:p>
            <w:pPr>
              <w:pStyle w:val="14"/>
            </w:pPr>
            <w:r>
              <w:t>一、一般公共服务支出</w:t>
            </w:r>
          </w:p>
        </w:tc>
        <w:tc>
          <w:tcPr>
            <w:tcW w:w="2126" w:type="dxa"/>
            <w:vAlign w:val="center"/>
          </w:tcPr>
          <w:p>
            <w:pPr>
              <w:pStyle w:val="13"/>
            </w:pPr>
            <w:r>
              <w:t>370.29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423.89</w:t>
            </w:r>
          </w:p>
        </w:tc>
        <w:tc>
          <w:tcPr>
            <w:tcW w:w="4535" w:type="dxa"/>
            <w:vAlign w:val="center"/>
          </w:tcPr>
          <w:p>
            <w:pPr>
              <w:pStyle w:val="16"/>
            </w:pPr>
            <w:r>
              <w:t>本年支出合计</w:t>
            </w:r>
          </w:p>
        </w:tc>
        <w:tc>
          <w:tcPr>
            <w:tcW w:w="2126" w:type="dxa"/>
            <w:vAlign w:val="center"/>
          </w:tcPr>
          <w:p>
            <w:pPr>
              <w:pStyle w:val="17"/>
            </w:pPr>
            <w:r>
              <w:t>423.89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423.89</w:t>
            </w:r>
          </w:p>
        </w:tc>
        <w:tc>
          <w:tcPr>
            <w:tcW w:w="4535" w:type="dxa"/>
            <w:vAlign w:val="center"/>
          </w:tcPr>
          <w:p>
            <w:pPr>
              <w:pStyle w:val="16"/>
            </w:pPr>
            <w:r>
              <w:t>支出总计</w:t>
            </w:r>
          </w:p>
        </w:tc>
        <w:tc>
          <w:tcPr>
            <w:tcW w:w="2126" w:type="dxa"/>
            <w:vAlign w:val="center"/>
          </w:tcPr>
          <w:p>
            <w:pPr>
              <w:pStyle w:val="17"/>
            </w:pPr>
            <w:r>
              <w:t>423.89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p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423.89</w:t>
            </w:r>
          </w:p>
        </w:tc>
        <w:tc>
          <w:tcPr>
            <w:tcW w:w="1134" w:type="dxa"/>
            <w:vAlign w:val="center"/>
          </w:tcPr>
          <w:p>
            <w:pPr>
              <w:pStyle w:val="17"/>
            </w:pPr>
            <w:r>
              <w:t>423.89</w:t>
            </w:r>
          </w:p>
        </w:tc>
        <w:tc>
          <w:tcPr>
            <w:tcW w:w="1134" w:type="dxa"/>
            <w:vAlign w:val="center"/>
          </w:tcPr>
          <w:p>
            <w:pPr>
              <w:pStyle w:val="17"/>
            </w:pPr>
            <w:r>
              <w:t>423.89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370.29</w:t>
            </w:r>
          </w:p>
        </w:tc>
        <w:tc>
          <w:tcPr>
            <w:tcW w:w="1134" w:type="dxa"/>
            <w:vAlign w:val="center"/>
          </w:tcPr>
          <w:p>
            <w:pPr>
              <w:pStyle w:val="13"/>
            </w:pPr>
            <w:r>
              <w:t>370.29</w:t>
            </w:r>
          </w:p>
        </w:tc>
        <w:tc>
          <w:tcPr>
            <w:tcW w:w="1134" w:type="dxa"/>
            <w:vAlign w:val="center"/>
          </w:tcPr>
          <w:p>
            <w:pPr>
              <w:pStyle w:val="13"/>
            </w:pPr>
            <w:r>
              <w:t>370.29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364.79</w:t>
            </w:r>
          </w:p>
        </w:tc>
        <w:tc>
          <w:tcPr>
            <w:tcW w:w="1134" w:type="dxa"/>
            <w:vAlign w:val="center"/>
          </w:tcPr>
          <w:p>
            <w:pPr>
              <w:pStyle w:val="13"/>
            </w:pPr>
            <w:r>
              <w:t>364.79</w:t>
            </w:r>
          </w:p>
        </w:tc>
        <w:tc>
          <w:tcPr>
            <w:tcW w:w="1134" w:type="dxa"/>
            <w:vAlign w:val="center"/>
          </w:tcPr>
          <w:p>
            <w:pPr>
              <w:pStyle w:val="13"/>
            </w:pPr>
            <w:r>
              <w:t>364.79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144.50</w:t>
            </w:r>
          </w:p>
        </w:tc>
        <w:tc>
          <w:tcPr>
            <w:tcW w:w="1134" w:type="dxa"/>
            <w:vAlign w:val="center"/>
          </w:tcPr>
          <w:p>
            <w:pPr>
              <w:pStyle w:val="13"/>
            </w:pPr>
            <w:r>
              <w:t>144.50</w:t>
            </w:r>
          </w:p>
        </w:tc>
        <w:tc>
          <w:tcPr>
            <w:tcW w:w="1134" w:type="dxa"/>
            <w:vAlign w:val="center"/>
          </w:tcPr>
          <w:p>
            <w:pPr>
              <w:pStyle w:val="13"/>
            </w:pPr>
            <w:r>
              <w:t>144.50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2013602</w:t>
            </w:r>
          </w:p>
        </w:tc>
        <w:tc>
          <w:tcPr>
            <w:tcW w:w="1559" w:type="dxa"/>
            <w:vAlign w:val="center"/>
          </w:tcPr>
          <w:p>
            <w:pPr>
              <w:pStyle w:val="14"/>
            </w:pPr>
            <w:r>
              <w:t>一般行政管理事务</w:t>
            </w:r>
          </w:p>
        </w:tc>
        <w:tc>
          <w:tcPr>
            <w:tcW w:w="1134" w:type="dxa"/>
            <w:vAlign w:val="center"/>
          </w:tcPr>
          <w:p>
            <w:pPr>
              <w:pStyle w:val="13"/>
            </w:pPr>
            <w:r>
              <w:t>220.29</w:t>
            </w:r>
          </w:p>
        </w:tc>
        <w:tc>
          <w:tcPr>
            <w:tcW w:w="1134" w:type="dxa"/>
            <w:vAlign w:val="center"/>
          </w:tcPr>
          <w:p>
            <w:pPr>
              <w:pStyle w:val="13"/>
            </w:pPr>
            <w:r>
              <w:t>220.29</w:t>
            </w:r>
          </w:p>
        </w:tc>
        <w:tc>
          <w:tcPr>
            <w:tcW w:w="1134" w:type="dxa"/>
            <w:vAlign w:val="center"/>
          </w:tcPr>
          <w:p>
            <w:pPr>
              <w:pStyle w:val="13"/>
            </w:pPr>
            <w:r>
              <w:t>220.29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26.18</w:t>
            </w:r>
          </w:p>
        </w:tc>
        <w:tc>
          <w:tcPr>
            <w:tcW w:w="1134" w:type="dxa"/>
            <w:vAlign w:val="center"/>
          </w:tcPr>
          <w:p>
            <w:pPr>
              <w:pStyle w:val="13"/>
            </w:pPr>
            <w:r>
              <w:t>26.18</w:t>
            </w:r>
          </w:p>
        </w:tc>
        <w:tc>
          <w:tcPr>
            <w:tcW w:w="1134" w:type="dxa"/>
            <w:vAlign w:val="center"/>
          </w:tcPr>
          <w:p>
            <w:pPr>
              <w:pStyle w:val="13"/>
            </w:pPr>
            <w:r>
              <w:t>26.18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25.70</w:t>
            </w:r>
          </w:p>
        </w:tc>
        <w:tc>
          <w:tcPr>
            <w:tcW w:w="1134" w:type="dxa"/>
            <w:vAlign w:val="center"/>
          </w:tcPr>
          <w:p>
            <w:pPr>
              <w:pStyle w:val="13"/>
            </w:pPr>
            <w:r>
              <w:t>25.70</w:t>
            </w:r>
          </w:p>
        </w:tc>
        <w:tc>
          <w:tcPr>
            <w:tcW w:w="1134" w:type="dxa"/>
            <w:vAlign w:val="center"/>
          </w:tcPr>
          <w:p>
            <w:pPr>
              <w:pStyle w:val="13"/>
            </w:pPr>
            <w:r>
              <w:t>25.70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18.36</w:t>
            </w:r>
          </w:p>
        </w:tc>
        <w:tc>
          <w:tcPr>
            <w:tcW w:w="1134" w:type="dxa"/>
            <w:vAlign w:val="center"/>
          </w:tcPr>
          <w:p>
            <w:pPr>
              <w:pStyle w:val="13"/>
            </w:pPr>
            <w:r>
              <w:t>18.36</w:t>
            </w:r>
          </w:p>
        </w:tc>
        <w:tc>
          <w:tcPr>
            <w:tcW w:w="1134" w:type="dxa"/>
            <w:vAlign w:val="center"/>
          </w:tcPr>
          <w:p>
            <w:pPr>
              <w:pStyle w:val="13"/>
            </w:pPr>
            <w:r>
              <w:t>18.36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13.92</w:t>
            </w:r>
          </w:p>
        </w:tc>
        <w:tc>
          <w:tcPr>
            <w:tcW w:w="1134" w:type="dxa"/>
            <w:vAlign w:val="center"/>
          </w:tcPr>
          <w:p>
            <w:pPr>
              <w:pStyle w:val="13"/>
            </w:pPr>
            <w:r>
              <w:t>13.92</w:t>
            </w:r>
          </w:p>
        </w:tc>
        <w:tc>
          <w:tcPr>
            <w:tcW w:w="1134" w:type="dxa"/>
            <w:vAlign w:val="center"/>
          </w:tcPr>
          <w:p>
            <w:pPr>
              <w:pStyle w:val="13"/>
            </w:pPr>
            <w:r>
              <w:t>13.92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13.92</w:t>
            </w:r>
          </w:p>
        </w:tc>
        <w:tc>
          <w:tcPr>
            <w:tcW w:w="1134" w:type="dxa"/>
            <w:vAlign w:val="center"/>
          </w:tcPr>
          <w:p>
            <w:pPr>
              <w:pStyle w:val="13"/>
            </w:pPr>
            <w:r>
              <w:t>13.92</w:t>
            </w:r>
          </w:p>
        </w:tc>
        <w:tc>
          <w:tcPr>
            <w:tcW w:w="1134" w:type="dxa"/>
            <w:vAlign w:val="center"/>
          </w:tcPr>
          <w:p>
            <w:pPr>
              <w:pStyle w:val="13"/>
            </w:pPr>
            <w:r>
              <w:t>13.92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7.80</w:t>
            </w:r>
          </w:p>
        </w:tc>
        <w:tc>
          <w:tcPr>
            <w:tcW w:w="1134" w:type="dxa"/>
            <w:vAlign w:val="center"/>
          </w:tcPr>
          <w:p>
            <w:pPr>
              <w:pStyle w:val="13"/>
            </w:pPr>
            <w:r>
              <w:t>7.80</w:t>
            </w:r>
          </w:p>
        </w:tc>
        <w:tc>
          <w:tcPr>
            <w:tcW w:w="1134" w:type="dxa"/>
            <w:vAlign w:val="center"/>
          </w:tcPr>
          <w:p>
            <w:pPr>
              <w:pStyle w:val="13"/>
            </w:pPr>
            <w:r>
              <w:t>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6.12</w:t>
            </w:r>
          </w:p>
        </w:tc>
        <w:tc>
          <w:tcPr>
            <w:tcW w:w="1134" w:type="dxa"/>
            <w:vAlign w:val="center"/>
          </w:tcPr>
          <w:p>
            <w:pPr>
              <w:pStyle w:val="13"/>
            </w:pPr>
            <w:r>
              <w:t>6.12</w:t>
            </w:r>
          </w:p>
        </w:tc>
        <w:tc>
          <w:tcPr>
            <w:tcW w:w="1134" w:type="dxa"/>
            <w:vAlign w:val="center"/>
          </w:tcPr>
          <w:p>
            <w:pPr>
              <w:pStyle w:val="13"/>
            </w:pPr>
            <w:r>
              <w:t>6.12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r>
              <w:t>13.50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423.89</w:t>
            </w:r>
          </w:p>
        </w:tc>
        <w:tc>
          <w:tcPr>
            <w:tcW w:w="1361" w:type="dxa"/>
            <w:vAlign w:val="center"/>
          </w:tcPr>
          <w:p>
            <w:pPr>
              <w:pStyle w:val="17"/>
            </w:pPr>
            <w:r>
              <w:t>198.10</w:t>
            </w:r>
          </w:p>
        </w:tc>
        <w:tc>
          <w:tcPr>
            <w:tcW w:w="1361" w:type="dxa"/>
            <w:vAlign w:val="center"/>
          </w:tcPr>
          <w:p>
            <w:pPr>
              <w:pStyle w:val="17"/>
            </w:pPr>
            <w:r>
              <w:t>225.79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370.29</w:t>
            </w:r>
          </w:p>
        </w:tc>
        <w:tc>
          <w:tcPr>
            <w:tcW w:w="1361" w:type="dxa"/>
            <w:vAlign w:val="center"/>
          </w:tcPr>
          <w:p>
            <w:pPr>
              <w:pStyle w:val="13"/>
            </w:pPr>
            <w:r>
              <w:t>144.50</w:t>
            </w:r>
          </w:p>
        </w:tc>
        <w:tc>
          <w:tcPr>
            <w:tcW w:w="1361" w:type="dxa"/>
            <w:vAlign w:val="center"/>
          </w:tcPr>
          <w:p>
            <w:pPr>
              <w:pStyle w:val="13"/>
            </w:pPr>
            <w:r>
              <w:t>225.79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6" w:type="dxa"/>
            <w:vAlign w:val="center"/>
          </w:tcPr>
          <w:p>
            <w:pPr>
              <w:pStyle w:val="14"/>
            </w:pPr>
            <w:r>
              <w:t>党委办公厅（室）及相关机构事务</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2013105</w:t>
            </w:r>
          </w:p>
        </w:tc>
        <w:tc>
          <w:tcPr>
            <w:tcW w:w="4536" w:type="dxa"/>
            <w:vAlign w:val="center"/>
          </w:tcPr>
          <w:p>
            <w:pPr>
              <w:pStyle w:val="14"/>
            </w:pPr>
            <w:r>
              <w:t>专项业务</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w:t>
            </w:r>
          </w:p>
        </w:tc>
        <w:tc>
          <w:tcPr>
            <w:tcW w:w="4536" w:type="dxa"/>
            <w:vAlign w:val="center"/>
          </w:tcPr>
          <w:p>
            <w:pPr>
              <w:pStyle w:val="14"/>
            </w:pPr>
            <w:r>
              <w:t>其他共产党事务支出</w:t>
            </w:r>
          </w:p>
        </w:tc>
        <w:tc>
          <w:tcPr>
            <w:tcW w:w="1361" w:type="dxa"/>
            <w:vAlign w:val="center"/>
          </w:tcPr>
          <w:p>
            <w:pPr>
              <w:pStyle w:val="13"/>
            </w:pPr>
            <w:r>
              <w:t>364.79</w:t>
            </w:r>
          </w:p>
        </w:tc>
        <w:tc>
          <w:tcPr>
            <w:tcW w:w="1361" w:type="dxa"/>
            <w:vAlign w:val="center"/>
          </w:tcPr>
          <w:p>
            <w:pPr>
              <w:pStyle w:val="13"/>
            </w:pPr>
            <w:r>
              <w:t>144.50</w:t>
            </w:r>
          </w:p>
        </w:tc>
        <w:tc>
          <w:tcPr>
            <w:tcW w:w="1361" w:type="dxa"/>
            <w:vAlign w:val="center"/>
          </w:tcPr>
          <w:p>
            <w:pPr>
              <w:pStyle w:val="13"/>
            </w:pPr>
            <w:r>
              <w:t>220.29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2013601</w:t>
            </w:r>
          </w:p>
        </w:tc>
        <w:tc>
          <w:tcPr>
            <w:tcW w:w="4536" w:type="dxa"/>
            <w:vAlign w:val="center"/>
          </w:tcPr>
          <w:p>
            <w:pPr>
              <w:pStyle w:val="14"/>
            </w:pPr>
            <w:r>
              <w:t>行政运行</w:t>
            </w:r>
          </w:p>
        </w:tc>
        <w:tc>
          <w:tcPr>
            <w:tcW w:w="1361" w:type="dxa"/>
            <w:vAlign w:val="center"/>
          </w:tcPr>
          <w:p>
            <w:pPr>
              <w:pStyle w:val="13"/>
            </w:pPr>
            <w:r>
              <w:t>144.50</w:t>
            </w:r>
          </w:p>
        </w:tc>
        <w:tc>
          <w:tcPr>
            <w:tcW w:w="1361" w:type="dxa"/>
            <w:vAlign w:val="center"/>
          </w:tcPr>
          <w:p>
            <w:pPr>
              <w:pStyle w:val="13"/>
            </w:pPr>
            <w:r>
              <w:t>144.50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2013602</w:t>
            </w:r>
          </w:p>
        </w:tc>
        <w:tc>
          <w:tcPr>
            <w:tcW w:w="4536" w:type="dxa"/>
            <w:vAlign w:val="center"/>
          </w:tcPr>
          <w:p>
            <w:pPr>
              <w:pStyle w:val="14"/>
            </w:pPr>
            <w:r>
              <w:t>一般行政管理事务</w:t>
            </w:r>
          </w:p>
        </w:tc>
        <w:tc>
          <w:tcPr>
            <w:tcW w:w="1361" w:type="dxa"/>
            <w:vAlign w:val="center"/>
          </w:tcPr>
          <w:p>
            <w:pPr>
              <w:pStyle w:val="13"/>
            </w:pPr>
            <w:r>
              <w:t>220.29</w:t>
            </w:r>
          </w:p>
        </w:tc>
        <w:tc>
          <w:tcPr>
            <w:tcW w:w="1361" w:type="dxa"/>
            <w:vAlign w:val="center"/>
          </w:tcPr>
          <w:p>
            <w:pPr>
              <w:pStyle w:val="13"/>
            </w:pPr>
          </w:p>
        </w:tc>
        <w:tc>
          <w:tcPr>
            <w:tcW w:w="1361" w:type="dxa"/>
            <w:vAlign w:val="center"/>
          </w:tcPr>
          <w:p>
            <w:pPr>
              <w:pStyle w:val="13"/>
            </w:pPr>
            <w:r>
              <w:t>220.29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26.18</w:t>
            </w:r>
          </w:p>
        </w:tc>
        <w:tc>
          <w:tcPr>
            <w:tcW w:w="1361" w:type="dxa"/>
            <w:vAlign w:val="center"/>
          </w:tcPr>
          <w:p>
            <w:pPr>
              <w:pStyle w:val="13"/>
            </w:pPr>
            <w:r>
              <w:t>26.18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25.70</w:t>
            </w:r>
          </w:p>
        </w:tc>
        <w:tc>
          <w:tcPr>
            <w:tcW w:w="1361" w:type="dxa"/>
            <w:vAlign w:val="center"/>
          </w:tcPr>
          <w:p>
            <w:pPr>
              <w:pStyle w:val="13"/>
            </w:pPr>
            <w:r>
              <w:t>25.70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7.34</w:t>
            </w:r>
          </w:p>
        </w:tc>
        <w:tc>
          <w:tcPr>
            <w:tcW w:w="1361" w:type="dxa"/>
            <w:vAlign w:val="center"/>
          </w:tcPr>
          <w:p>
            <w:pPr>
              <w:pStyle w:val="13"/>
            </w:pPr>
            <w:r>
              <w:t>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18.36</w:t>
            </w:r>
          </w:p>
        </w:tc>
        <w:tc>
          <w:tcPr>
            <w:tcW w:w="1361" w:type="dxa"/>
            <w:vAlign w:val="center"/>
          </w:tcPr>
          <w:p>
            <w:pPr>
              <w:pStyle w:val="13"/>
            </w:pPr>
            <w:r>
              <w:t>18.36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w:t>
            </w:r>
          </w:p>
        </w:tc>
        <w:tc>
          <w:tcPr>
            <w:tcW w:w="4536" w:type="dxa"/>
            <w:vAlign w:val="center"/>
          </w:tcPr>
          <w:p>
            <w:pPr>
              <w:pStyle w:val="14"/>
            </w:pPr>
            <w:r>
              <w:t>其他社会保障和就业支出</w:t>
            </w:r>
          </w:p>
        </w:tc>
        <w:tc>
          <w:tcPr>
            <w:tcW w:w="1361" w:type="dxa"/>
            <w:vAlign w:val="center"/>
          </w:tcPr>
          <w:p>
            <w:pPr>
              <w:pStyle w:val="13"/>
            </w:pPr>
            <w:r>
              <w:t>0.48</w:t>
            </w:r>
          </w:p>
        </w:tc>
        <w:tc>
          <w:tcPr>
            <w:tcW w:w="1361" w:type="dxa"/>
            <w:vAlign w:val="center"/>
          </w:tcPr>
          <w:p>
            <w:pPr>
              <w:pStyle w:val="13"/>
            </w:pPr>
            <w:r>
              <w:t>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2089999</w:t>
            </w:r>
          </w:p>
        </w:tc>
        <w:tc>
          <w:tcPr>
            <w:tcW w:w="4536" w:type="dxa"/>
            <w:vAlign w:val="center"/>
          </w:tcPr>
          <w:p>
            <w:pPr>
              <w:pStyle w:val="14"/>
            </w:pPr>
            <w:r>
              <w:t>其他社会保障和就业支出</w:t>
            </w:r>
          </w:p>
        </w:tc>
        <w:tc>
          <w:tcPr>
            <w:tcW w:w="1361" w:type="dxa"/>
            <w:vAlign w:val="center"/>
          </w:tcPr>
          <w:p>
            <w:pPr>
              <w:pStyle w:val="13"/>
            </w:pPr>
            <w:r>
              <w:t>0.48</w:t>
            </w:r>
          </w:p>
        </w:tc>
        <w:tc>
          <w:tcPr>
            <w:tcW w:w="1361" w:type="dxa"/>
            <w:vAlign w:val="center"/>
          </w:tcPr>
          <w:p>
            <w:pPr>
              <w:pStyle w:val="13"/>
            </w:pPr>
            <w:r>
              <w:t>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13.92</w:t>
            </w:r>
          </w:p>
        </w:tc>
        <w:tc>
          <w:tcPr>
            <w:tcW w:w="1361" w:type="dxa"/>
            <w:vAlign w:val="center"/>
          </w:tcPr>
          <w:p>
            <w:pPr>
              <w:pStyle w:val="13"/>
            </w:pPr>
            <w:r>
              <w:t>13.92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13.92</w:t>
            </w:r>
          </w:p>
        </w:tc>
        <w:tc>
          <w:tcPr>
            <w:tcW w:w="1361" w:type="dxa"/>
            <w:vAlign w:val="center"/>
          </w:tcPr>
          <w:p>
            <w:pPr>
              <w:pStyle w:val="13"/>
            </w:pPr>
            <w:r>
              <w:t>13.92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7.80</w:t>
            </w:r>
          </w:p>
        </w:tc>
        <w:tc>
          <w:tcPr>
            <w:tcW w:w="1361" w:type="dxa"/>
            <w:vAlign w:val="center"/>
          </w:tcPr>
          <w:p>
            <w:pPr>
              <w:pStyle w:val="13"/>
            </w:pPr>
            <w:r>
              <w:t>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2101103</w:t>
            </w:r>
          </w:p>
        </w:tc>
        <w:tc>
          <w:tcPr>
            <w:tcW w:w="4536" w:type="dxa"/>
            <w:vAlign w:val="center"/>
          </w:tcPr>
          <w:p>
            <w:pPr>
              <w:pStyle w:val="14"/>
            </w:pPr>
            <w:r>
              <w:t>公务员医疗补助</w:t>
            </w:r>
          </w:p>
        </w:tc>
        <w:tc>
          <w:tcPr>
            <w:tcW w:w="1361" w:type="dxa"/>
            <w:vAlign w:val="center"/>
          </w:tcPr>
          <w:p>
            <w:pPr>
              <w:pStyle w:val="13"/>
            </w:pPr>
            <w:r>
              <w:t>6.12</w:t>
            </w:r>
          </w:p>
        </w:tc>
        <w:tc>
          <w:tcPr>
            <w:tcW w:w="1361" w:type="dxa"/>
            <w:vAlign w:val="center"/>
          </w:tcPr>
          <w:p>
            <w:pPr>
              <w:pStyle w:val="13"/>
            </w:pPr>
            <w:r>
              <w:t>6.12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13.50</w:t>
            </w: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13.50</w:t>
            </w: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13.50</w:t>
            </w:r>
          </w:p>
        </w:tc>
        <w:tc>
          <w:tcPr>
            <w:tcW w:w="1361" w:type="dxa"/>
            <w:vAlign w:val="center"/>
          </w:tcPr>
          <w:p>
            <w:pPr>
              <w:pStyle w:val="13"/>
            </w:pPr>
            <w:r>
              <w:t>13.50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423.89</w:t>
            </w:r>
          </w:p>
        </w:tc>
        <w:tc>
          <w:tcPr>
            <w:tcW w:w="3402" w:type="dxa"/>
            <w:vAlign w:val="center"/>
          </w:tcPr>
          <w:p>
            <w:pPr>
              <w:pStyle w:val="14"/>
            </w:pPr>
            <w:r>
              <w:t>一、一般公共服务支出</w:t>
            </w:r>
          </w:p>
        </w:tc>
        <w:tc>
          <w:tcPr>
            <w:tcW w:w="1474" w:type="dxa"/>
            <w:vAlign w:val="center"/>
          </w:tcPr>
          <w:p>
            <w:pPr>
              <w:pStyle w:val="13"/>
            </w:pPr>
            <w:r>
              <w:t>370.29</w:t>
            </w:r>
          </w:p>
        </w:tc>
        <w:tc>
          <w:tcPr>
            <w:tcW w:w="1474" w:type="dxa"/>
            <w:vAlign w:val="center"/>
          </w:tcPr>
          <w:p>
            <w:pPr>
              <w:pStyle w:val="13"/>
            </w:pPr>
            <w:r>
              <w:t>370.29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26.18</w:t>
            </w:r>
          </w:p>
        </w:tc>
        <w:tc>
          <w:tcPr>
            <w:tcW w:w="1474" w:type="dxa"/>
            <w:vAlign w:val="center"/>
          </w:tcPr>
          <w:p>
            <w:pPr>
              <w:pStyle w:val="13"/>
            </w:pPr>
            <w:r>
              <w:t>26.18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13.92</w:t>
            </w:r>
          </w:p>
        </w:tc>
        <w:tc>
          <w:tcPr>
            <w:tcW w:w="1474" w:type="dxa"/>
            <w:vAlign w:val="center"/>
          </w:tcPr>
          <w:p>
            <w:pPr>
              <w:pStyle w:val="13"/>
            </w:pPr>
            <w:r>
              <w:t>13.92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13.50</w:t>
            </w:r>
          </w:p>
        </w:tc>
        <w:tc>
          <w:tcPr>
            <w:tcW w:w="1474" w:type="dxa"/>
            <w:vAlign w:val="center"/>
          </w:tcPr>
          <w:p>
            <w:pPr>
              <w:pStyle w:val="13"/>
            </w:pPr>
            <w:r>
              <w:t>13.50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423.89</w:t>
            </w:r>
          </w:p>
        </w:tc>
        <w:tc>
          <w:tcPr>
            <w:tcW w:w="3402" w:type="dxa"/>
            <w:vAlign w:val="center"/>
          </w:tcPr>
          <w:p>
            <w:pPr>
              <w:pStyle w:val="16"/>
            </w:pPr>
            <w:r>
              <w:t>本年支出合计</w:t>
            </w:r>
          </w:p>
        </w:tc>
        <w:tc>
          <w:tcPr>
            <w:tcW w:w="1474" w:type="dxa"/>
            <w:vAlign w:val="center"/>
          </w:tcPr>
          <w:p>
            <w:pPr>
              <w:pStyle w:val="17"/>
            </w:pPr>
            <w:r>
              <w:t>423.89</w:t>
            </w:r>
          </w:p>
        </w:tc>
        <w:tc>
          <w:tcPr>
            <w:tcW w:w="1474" w:type="dxa"/>
            <w:vAlign w:val="center"/>
          </w:tcPr>
          <w:p>
            <w:pPr>
              <w:pStyle w:val="17"/>
            </w:pPr>
            <w:r>
              <w:t>423.89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423.89</w:t>
            </w:r>
          </w:p>
        </w:tc>
        <w:tc>
          <w:tcPr>
            <w:tcW w:w="3402" w:type="dxa"/>
            <w:vAlign w:val="center"/>
          </w:tcPr>
          <w:p>
            <w:pPr>
              <w:pStyle w:val="16"/>
            </w:pPr>
            <w:r>
              <w:t>支出总计</w:t>
            </w:r>
          </w:p>
        </w:tc>
        <w:tc>
          <w:tcPr>
            <w:tcW w:w="1474" w:type="dxa"/>
            <w:vAlign w:val="center"/>
          </w:tcPr>
          <w:p>
            <w:pPr>
              <w:pStyle w:val="17"/>
            </w:pPr>
            <w:r>
              <w:t>423.89</w:t>
            </w:r>
          </w:p>
        </w:tc>
        <w:tc>
          <w:tcPr>
            <w:tcW w:w="1474" w:type="dxa"/>
            <w:vAlign w:val="center"/>
          </w:tcPr>
          <w:p>
            <w:pPr>
              <w:pStyle w:val="17"/>
            </w:pPr>
            <w:r>
              <w:t>423.89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423.89</w:t>
            </w:r>
          </w:p>
        </w:tc>
        <w:tc>
          <w:tcPr>
            <w:tcW w:w="2551" w:type="dxa"/>
            <w:vAlign w:val="center"/>
          </w:tcPr>
          <w:p>
            <w:pPr>
              <w:pStyle w:val="17"/>
            </w:pPr>
            <w:r>
              <w:t>198.10</w:t>
            </w:r>
          </w:p>
        </w:tc>
        <w:tc>
          <w:tcPr>
            <w:tcW w:w="2551" w:type="dxa"/>
            <w:vAlign w:val="center"/>
          </w:tcPr>
          <w:p>
            <w:pPr>
              <w:pStyle w:val="17"/>
            </w:pPr>
            <w:r>
              <w:t>225.79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370.29</w:t>
            </w:r>
          </w:p>
        </w:tc>
        <w:tc>
          <w:tcPr>
            <w:tcW w:w="2551" w:type="dxa"/>
            <w:vAlign w:val="center"/>
          </w:tcPr>
          <w:p>
            <w:pPr>
              <w:pStyle w:val="13"/>
            </w:pPr>
            <w:r>
              <w:t>144.50</w:t>
            </w:r>
          </w:p>
        </w:tc>
        <w:tc>
          <w:tcPr>
            <w:tcW w:w="2551" w:type="dxa"/>
            <w:vAlign w:val="center"/>
          </w:tcPr>
          <w:p>
            <w:pPr>
              <w:pStyle w:val="13"/>
            </w:pPr>
            <w:r>
              <w:t>225.79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364.79</w:t>
            </w:r>
          </w:p>
        </w:tc>
        <w:tc>
          <w:tcPr>
            <w:tcW w:w="2551" w:type="dxa"/>
            <w:vAlign w:val="center"/>
          </w:tcPr>
          <w:p>
            <w:pPr>
              <w:pStyle w:val="13"/>
            </w:pPr>
            <w:r>
              <w:t>144.50</w:t>
            </w:r>
          </w:p>
        </w:tc>
        <w:tc>
          <w:tcPr>
            <w:tcW w:w="2551" w:type="dxa"/>
            <w:vAlign w:val="center"/>
          </w:tcPr>
          <w:p>
            <w:pPr>
              <w:pStyle w:val="13"/>
            </w:pPr>
            <w:r>
              <w:t>220.29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144.50</w:t>
            </w:r>
          </w:p>
        </w:tc>
        <w:tc>
          <w:tcPr>
            <w:tcW w:w="2551" w:type="dxa"/>
            <w:vAlign w:val="center"/>
          </w:tcPr>
          <w:p>
            <w:pPr>
              <w:pStyle w:val="13"/>
            </w:pPr>
            <w:r>
              <w:t>144.50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2013602</w:t>
            </w:r>
          </w:p>
        </w:tc>
        <w:tc>
          <w:tcPr>
            <w:tcW w:w="4535" w:type="dxa"/>
            <w:vAlign w:val="center"/>
          </w:tcPr>
          <w:p>
            <w:pPr>
              <w:pStyle w:val="14"/>
            </w:pPr>
            <w:r>
              <w:t>一般行政管理事务</w:t>
            </w:r>
          </w:p>
        </w:tc>
        <w:tc>
          <w:tcPr>
            <w:tcW w:w="2551" w:type="dxa"/>
            <w:vAlign w:val="center"/>
          </w:tcPr>
          <w:p>
            <w:pPr>
              <w:pStyle w:val="13"/>
            </w:pPr>
            <w:r>
              <w:t>220.29</w:t>
            </w:r>
          </w:p>
        </w:tc>
        <w:tc>
          <w:tcPr>
            <w:tcW w:w="2551" w:type="dxa"/>
            <w:vAlign w:val="center"/>
          </w:tcPr>
          <w:p>
            <w:pPr>
              <w:pStyle w:val="13"/>
            </w:pPr>
          </w:p>
        </w:tc>
        <w:tc>
          <w:tcPr>
            <w:tcW w:w="2551" w:type="dxa"/>
            <w:vAlign w:val="center"/>
          </w:tcPr>
          <w:p>
            <w:pPr>
              <w:pStyle w:val="13"/>
            </w:pPr>
            <w:r>
              <w:t>220.29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26.18</w:t>
            </w:r>
          </w:p>
        </w:tc>
        <w:tc>
          <w:tcPr>
            <w:tcW w:w="2551" w:type="dxa"/>
            <w:vAlign w:val="center"/>
          </w:tcPr>
          <w:p>
            <w:pPr>
              <w:pStyle w:val="13"/>
            </w:pPr>
            <w:r>
              <w:t>26.18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25.70</w:t>
            </w:r>
          </w:p>
        </w:tc>
        <w:tc>
          <w:tcPr>
            <w:tcW w:w="2551" w:type="dxa"/>
            <w:vAlign w:val="center"/>
          </w:tcPr>
          <w:p>
            <w:pPr>
              <w:pStyle w:val="13"/>
            </w:pPr>
            <w:r>
              <w:t>25.70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18.36</w:t>
            </w:r>
          </w:p>
        </w:tc>
        <w:tc>
          <w:tcPr>
            <w:tcW w:w="2551" w:type="dxa"/>
            <w:vAlign w:val="center"/>
          </w:tcPr>
          <w:p>
            <w:pPr>
              <w:pStyle w:val="13"/>
            </w:pPr>
            <w:r>
              <w:t>18.36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13.92</w:t>
            </w:r>
          </w:p>
        </w:tc>
        <w:tc>
          <w:tcPr>
            <w:tcW w:w="2551" w:type="dxa"/>
            <w:vAlign w:val="center"/>
          </w:tcPr>
          <w:p>
            <w:pPr>
              <w:pStyle w:val="13"/>
            </w:pPr>
            <w:r>
              <w:t>13.92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13.92</w:t>
            </w:r>
          </w:p>
        </w:tc>
        <w:tc>
          <w:tcPr>
            <w:tcW w:w="2551" w:type="dxa"/>
            <w:vAlign w:val="center"/>
          </w:tcPr>
          <w:p>
            <w:pPr>
              <w:pStyle w:val="13"/>
            </w:pPr>
            <w:r>
              <w:t>13.92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7.80</w:t>
            </w:r>
          </w:p>
        </w:tc>
        <w:tc>
          <w:tcPr>
            <w:tcW w:w="2551" w:type="dxa"/>
            <w:vAlign w:val="center"/>
          </w:tcPr>
          <w:p>
            <w:pPr>
              <w:pStyle w:val="13"/>
            </w:pPr>
            <w:r>
              <w:t>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6.12</w:t>
            </w:r>
          </w:p>
        </w:tc>
        <w:tc>
          <w:tcPr>
            <w:tcW w:w="2551" w:type="dxa"/>
            <w:vAlign w:val="center"/>
          </w:tcPr>
          <w:p>
            <w:pPr>
              <w:pStyle w:val="13"/>
            </w:pPr>
            <w:r>
              <w:t>6.12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13.50</w:t>
            </w:r>
          </w:p>
        </w:tc>
        <w:tc>
          <w:tcPr>
            <w:tcW w:w="2551" w:type="dxa"/>
            <w:vAlign w:val="center"/>
          </w:tcPr>
          <w:p>
            <w:pPr>
              <w:pStyle w:val="13"/>
            </w:pPr>
            <w:r>
              <w:t>13.50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13.50</w:t>
            </w:r>
          </w:p>
        </w:tc>
        <w:tc>
          <w:tcPr>
            <w:tcW w:w="2551" w:type="dxa"/>
            <w:vAlign w:val="center"/>
          </w:tcPr>
          <w:p>
            <w:pPr>
              <w:pStyle w:val="13"/>
            </w:pPr>
            <w:r>
              <w:t>13.50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13.50</w:t>
            </w:r>
          </w:p>
        </w:tc>
        <w:tc>
          <w:tcPr>
            <w:tcW w:w="2551" w:type="dxa"/>
            <w:vAlign w:val="center"/>
          </w:tcPr>
          <w:p>
            <w:pPr>
              <w:pStyle w:val="13"/>
            </w:pPr>
            <w:r>
              <w:t>13.50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198.10</w:t>
            </w:r>
          </w:p>
        </w:tc>
        <w:tc>
          <w:tcPr>
            <w:tcW w:w="2551" w:type="dxa"/>
            <w:vAlign w:val="center"/>
          </w:tcPr>
          <w:p>
            <w:pPr>
              <w:pStyle w:val="17"/>
            </w:pPr>
            <w:r>
              <w:t>185.66</w:t>
            </w:r>
          </w:p>
        </w:tc>
        <w:tc>
          <w:tcPr>
            <w:tcW w:w="2552" w:type="dxa"/>
            <w:vAlign w:val="center"/>
          </w:tcPr>
          <w:p>
            <w:pPr>
              <w:pStyle w:val="17"/>
            </w:pPr>
            <w:r>
              <w:t>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178.30</w:t>
            </w:r>
          </w:p>
        </w:tc>
        <w:tc>
          <w:tcPr>
            <w:tcW w:w="2551" w:type="dxa"/>
            <w:vAlign w:val="center"/>
          </w:tcPr>
          <w:p>
            <w:pPr>
              <w:pStyle w:val="13"/>
            </w:pPr>
            <w:r>
              <w:t>178.30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46.56</w:t>
            </w:r>
          </w:p>
        </w:tc>
        <w:tc>
          <w:tcPr>
            <w:tcW w:w="2551" w:type="dxa"/>
            <w:vAlign w:val="center"/>
          </w:tcPr>
          <w:p>
            <w:pPr>
              <w:pStyle w:val="13"/>
            </w:pPr>
            <w:r>
              <w:t>46.56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50.14</w:t>
            </w:r>
          </w:p>
        </w:tc>
        <w:tc>
          <w:tcPr>
            <w:tcW w:w="2551" w:type="dxa"/>
            <w:vAlign w:val="center"/>
          </w:tcPr>
          <w:p>
            <w:pPr>
              <w:pStyle w:val="13"/>
            </w:pPr>
            <w:r>
              <w:t>50.14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35.34</w:t>
            </w:r>
          </w:p>
        </w:tc>
        <w:tc>
          <w:tcPr>
            <w:tcW w:w="2551" w:type="dxa"/>
            <w:vAlign w:val="center"/>
          </w:tcPr>
          <w:p>
            <w:pPr>
              <w:pStyle w:val="13"/>
            </w:pPr>
            <w:r>
              <w:t>35.34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18.36</w:t>
            </w:r>
          </w:p>
        </w:tc>
        <w:tc>
          <w:tcPr>
            <w:tcW w:w="2551" w:type="dxa"/>
            <w:vAlign w:val="center"/>
          </w:tcPr>
          <w:p>
            <w:pPr>
              <w:pStyle w:val="13"/>
            </w:pPr>
            <w:r>
              <w:t>18.36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7.80</w:t>
            </w:r>
          </w:p>
        </w:tc>
        <w:tc>
          <w:tcPr>
            <w:tcW w:w="2551" w:type="dxa"/>
            <w:vAlign w:val="center"/>
          </w:tcPr>
          <w:p>
            <w:pPr>
              <w:pStyle w:val="13"/>
            </w:pPr>
            <w:r>
              <w:t>7.80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6.12</w:t>
            </w:r>
          </w:p>
        </w:tc>
        <w:tc>
          <w:tcPr>
            <w:tcW w:w="2551" w:type="dxa"/>
            <w:vAlign w:val="center"/>
          </w:tcPr>
          <w:p>
            <w:pPr>
              <w:pStyle w:val="13"/>
            </w:pPr>
            <w:r>
              <w:t>6.12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0.48</w:t>
            </w:r>
          </w:p>
        </w:tc>
        <w:tc>
          <w:tcPr>
            <w:tcW w:w="2551" w:type="dxa"/>
            <w:vAlign w:val="center"/>
          </w:tcPr>
          <w:p>
            <w:pPr>
              <w:pStyle w:val="13"/>
            </w:pPr>
            <w:r>
              <w:t>0.48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13.50</w:t>
            </w:r>
          </w:p>
        </w:tc>
        <w:tc>
          <w:tcPr>
            <w:tcW w:w="2551" w:type="dxa"/>
            <w:vAlign w:val="center"/>
          </w:tcPr>
          <w:p>
            <w:pPr>
              <w:pStyle w:val="13"/>
            </w:pPr>
            <w:r>
              <w:t>13.50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12.44</w:t>
            </w:r>
          </w:p>
        </w:tc>
        <w:tc>
          <w:tcPr>
            <w:tcW w:w="2551" w:type="dxa"/>
            <w:vAlign w:val="center"/>
          </w:tcPr>
          <w:p>
            <w:pPr>
              <w:pStyle w:val="13"/>
            </w:pPr>
          </w:p>
        </w:tc>
        <w:tc>
          <w:tcPr>
            <w:tcW w:w="2552" w:type="dxa"/>
            <w:vAlign w:val="center"/>
          </w:tcPr>
          <w:p>
            <w:pPr>
              <w:pStyle w:val="13"/>
            </w:pPr>
            <w:r>
              <w:t>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0.74</w:t>
            </w:r>
          </w:p>
        </w:tc>
        <w:tc>
          <w:tcPr>
            <w:tcW w:w="2551" w:type="dxa"/>
            <w:vAlign w:val="center"/>
          </w:tcPr>
          <w:p>
            <w:pPr>
              <w:pStyle w:val="13"/>
            </w:pPr>
          </w:p>
        </w:tc>
        <w:tc>
          <w:tcPr>
            <w:tcW w:w="2552"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2.40</w:t>
            </w:r>
          </w:p>
        </w:tc>
        <w:tc>
          <w:tcPr>
            <w:tcW w:w="2551" w:type="dxa"/>
            <w:vAlign w:val="center"/>
          </w:tcPr>
          <w:p>
            <w:pPr>
              <w:pStyle w:val="13"/>
            </w:pPr>
          </w:p>
        </w:tc>
        <w:tc>
          <w:tcPr>
            <w:tcW w:w="2552"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0.40</w:t>
            </w:r>
          </w:p>
        </w:tc>
        <w:tc>
          <w:tcPr>
            <w:tcW w:w="2551" w:type="dxa"/>
            <w:vAlign w:val="center"/>
          </w:tcPr>
          <w:p>
            <w:pPr>
              <w:pStyle w:val="13"/>
            </w:pPr>
          </w:p>
        </w:tc>
        <w:tc>
          <w:tcPr>
            <w:tcW w:w="2552"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6.90</w:t>
            </w:r>
          </w:p>
        </w:tc>
        <w:tc>
          <w:tcPr>
            <w:tcW w:w="2551" w:type="dxa"/>
            <w:vAlign w:val="center"/>
          </w:tcPr>
          <w:p>
            <w:pPr>
              <w:pStyle w:val="13"/>
            </w:pPr>
          </w:p>
        </w:tc>
        <w:tc>
          <w:tcPr>
            <w:tcW w:w="2552"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7.36</w:t>
            </w:r>
          </w:p>
        </w:tc>
        <w:tc>
          <w:tcPr>
            <w:tcW w:w="2551" w:type="dxa"/>
            <w:vAlign w:val="center"/>
          </w:tcPr>
          <w:p>
            <w:pPr>
              <w:pStyle w:val="13"/>
            </w:pPr>
            <w:r>
              <w:t>7.36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7.34</w:t>
            </w:r>
          </w:p>
        </w:tc>
        <w:tc>
          <w:tcPr>
            <w:tcW w:w="2551" w:type="dxa"/>
            <w:vAlign w:val="center"/>
          </w:tcPr>
          <w:p>
            <w:pPr>
              <w:pStyle w:val="13"/>
            </w:pPr>
            <w:r>
              <w:t>7.34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0.02</w:t>
            </w:r>
          </w:p>
        </w:tc>
        <w:tc>
          <w:tcPr>
            <w:tcW w:w="2551" w:type="dxa"/>
            <w:vAlign w:val="center"/>
          </w:tcPr>
          <w:p>
            <w:pPr>
              <w:pStyle w:val="13"/>
            </w:pPr>
            <w:r>
              <w:t>0.02</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中共石家庄市井陉矿区委政法委员会</w:t>
      </w:r>
      <w:r>
        <w:rPr>
          <w:rFonts w:hint="eastAsia" w:ascii="方正小标宋_GBK" w:hAnsi="方正小标宋_GBK" w:cs="方正小标宋_GBK" w:eastAsiaTheme="minorEastAsia"/>
          <w:color w:val="000000"/>
          <w:sz w:val="44"/>
          <w:lang w:eastAsia="zh-CN"/>
        </w:rPr>
        <w:t>本级</w:t>
      </w:r>
      <w:r>
        <w:rPr>
          <w:rFonts w:ascii="方正小标宋_GBK" w:hAnsi="方正小标宋_GBK" w:eastAsia="方正小标宋_GBK" w:cs="方正小标宋_GBK"/>
          <w:color w:val="000000"/>
          <w:sz w:val="44"/>
        </w:rPr>
        <w:t>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按照《中华人民共和国预算法》、《地方预决算公开操作规程》和《关于进一步推进预算公开工作的实施意见》规定，现将中共石家庄市井陉矿区委政法委员会</w:t>
      </w:r>
      <w:r>
        <w:rPr>
          <w:rFonts w:hint="eastAsia" w:eastAsiaTheme="minorEastAsia"/>
          <w:color w:val="000000"/>
          <w:sz w:val="28"/>
          <w:lang w:eastAsia="zh-CN"/>
        </w:rPr>
        <w:t>本级</w:t>
      </w:r>
      <w:r>
        <w:rPr>
          <w:rFonts w:eastAsia="方正仿宋_GBK"/>
          <w:color w:val="000000"/>
          <w:sz w:val="28"/>
        </w:rPr>
        <w:t>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根据《中共矿区委政法委员会职能配置、内设机构和人员编制规定》，中共矿区委政法委员会的主要职责是：</w:t>
      </w:r>
    </w:p>
    <w:p>
      <w:pPr>
        <w:pStyle w:val="19"/>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pPr>
        <w:pStyle w:val="19"/>
      </w:pPr>
      <w: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pPr>
        <w:pStyle w:val="19"/>
      </w:pPr>
      <w:r>
        <w:t>3.了解掌握和分析研判政法工作情况动态，分析社会稳定形势，创新完善多部门参与的综治维稳工作机制，协调推动预防、化解影响稳定的社会矛盾和风险，协调应对和处置重大突发事件。</w:t>
      </w:r>
    </w:p>
    <w:p>
      <w:pPr>
        <w:pStyle w:val="19"/>
      </w:pPr>
      <w:r>
        <w:t>4.掌握全区社会治安状况和综合治理情况。督导相关单位落实立体化社会治安防控体系、重点人群服务管理、整治社会治安混乱地区和突出治安问题等综合治理相关工作。</w:t>
      </w:r>
    </w:p>
    <w:p>
      <w:pPr>
        <w:pStyle w:val="19"/>
      </w:pPr>
      <w: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pPr>
        <w:pStyle w:val="19"/>
      </w:pPr>
      <w:r>
        <w:t>6.开展防范邪教工作，督导有关地区、单位按照“属地管理”的原则，严格实行防控责任制。督促有关单位加强辖区内公共场所的巡查，及时发现、清除“法轮功”反宣品，防止发生有影响的反宣事件。</w:t>
      </w:r>
    </w:p>
    <w:p>
      <w:pPr>
        <w:pStyle w:val="19"/>
      </w:pPr>
      <w:r>
        <w:t>7.加强防范邪教教育转化队伍培训，定期对基层一线帮教干部、社会志愿者进行专题业务培训，不断提高“攻坚破壳”水平和巩固帮教能力。</w:t>
      </w:r>
    </w:p>
    <w:p>
      <w:pPr>
        <w:pStyle w:val="19"/>
      </w:pPr>
      <w:r>
        <w:t>8.有效利用公共安全视频监控系统，广泛动员社会资源，增加监控密度，进一步扩大视频监控系统覆盖面；依托大情报、大数据平台，完善对社会治安形势的分析研判、风险预警，提升公共安全管理的智能化水平。</w:t>
      </w:r>
    </w:p>
    <w:p>
      <w:pPr>
        <w:pStyle w:val="19"/>
      </w:pPr>
      <w: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pPr>
        <w:pStyle w:val="19"/>
      </w:pPr>
      <w:r>
        <w:t>10.掌握网上斗争主动权，建立和完善全区“互联网信息监管指挥平台”，落实互联网管理责任，明确相关企业、机构和信息发布者等主体责任及权责关系。</w:t>
      </w:r>
    </w:p>
    <w:p>
      <w:pPr>
        <w:pStyle w:val="19"/>
      </w:pPr>
      <w:r>
        <w:t>11.深入开展“无邪教创建”活动，依法打击“法轮功”、“全能神”等邪教组织活动。广泛开展反邪教宣传，突出抓好“十个一”建设和“十进”活动，严防发生非法聚集活动，坚决防止发生重大政治性事件。</w:t>
      </w:r>
    </w:p>
    <w:p>
      <w:pPr>
        <w:pStyle w:val="19"/>
      </w:pPr>
      <w:r>
        <w:t>12、完成政法四级网、视频加密、政法网运行维护、综治信息上伟录入、城乡视频监控点建设、新建综治视频监控及综合业务管理、司法救助、治安保险等工作。</w:t>
      </w:r>
    </w:p>
    <w:p>
      <w:pPr>
        <w:pStyle w:val="19"/>
      </w:pPr>
      <w:r>
        <w:t>13.深入推进扫黑除恶专项斗争，组织开展宣传动员、线索摸排、案件侦破、彻挖清除保护伞,建立扫黑除恶长效机制。</w:t>
      </w:r>
    </w:p>
    <w:p>
      <w:pPr>
        <w:pStyle w:val="19"/>
      </w:pPr>
      <w:r>
        <w:t>14.创新发展新时期枫桥经验，深入开展“网格化管理”工作，加强网格员队伍培训，提升网格员准确全面收集“9+X”信息、排查化解问题、化解稳定风险和服务群众的能力。</w:t>
      </w:r>
    </w:p>
    <w:p>
      <w:pPr>
        <w:pStyle w:val="19"/>
      </w:pPr>
      <w:r>
        <w:t>15.完成上级安排的临时性工作。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eastAsiaTheme="minorEastAsia"/>
                <w:lang w:eastAsia="zh-CN"/>
              </w:rPr>
            </w:pPr>
            <w:r>
              <w:t>中共石家庄市井陉矿区委政法委员会</w:t>
            </w:r>
            <w:r>
              <w:rPr>
                <w:rFonts w:hint="eastAsia" w:eastAsiaTheme="minorEastAsia"/>
                <w:lang w:eastAsia="zh-CN"/>
              </w:rPr>
              <w:t>（本级）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423.89万元，其中：一般公共预算收入423.89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石家庄市井陉矿区委政法委员会年度单位预算中支出预算的总体情况。2024年支出预算423.89万元，其中基本支出198.10万元，包括人员经费185.66万元和日常公用经费12.44万元；项目支出225.79万元，主要为人员经费185.66万元主要包括基本工资在职人员46.56万元、津贴补贴50.14万元、奖金25.84万元、社会保障缴费32.76万元、住房公积金13.5万元、对个人和家庭的补助16.86万元；日常公用经费12.44万元主要包括公务交通补贴6.9万元，公务用车运行维护费2万元、公务移动通讯补贴1.74万元等；项目支出225.79万元主要包括劳务派遣经费26.55万元、区域视联网系统运行维护费65.44万元、“雪亮工程”IP租用和用电专项经费6.57万元、政法四级网运保费80.2万元、“雪亮工程”平台及前段设备运维费7.76万元、综合治理经费7.94万元等。</w:t>
      </w:r>
    </w:p>
    <w:p>
      <w:pPr>
        <w:pStyle w:val="20"/>
      </w:pPr>
      <w:r>
        <w:t>3、比上年增减情况</w:t>
      </w:r>
    </w:p>
    <w:p>
      <w:pPr>
        <w:pStyle w:val="20"/>
      </w:pPr>
      <w:r>
        <w:t>2024年预算收支安排423.89万元，较2023年预算增加32.83万元，其中：基本支出减少13.10万元，主要为人员减少一人项目支出增加45.93万元，主要为2024年较2023年项目支出增加了政法四级网运保费。</w:t>
      </w:r>
    </w:p>
    <w:p>
      <w:pPr>
        <w:spacing w:before="10" w:after="10"/>
        <w:ind w:firstLine="640"/>
        <w:outlineLvl w:val="5"/>
      </w:pPr>
      <w:r>
        <w:rPr>
          <w:rFonts w:ascii="黑体" w:hAnsi="黑体" w:eastAsia="黑体" w:cs="黑体"/>
          <w:color w:val="000000"/>
          <w:sz w:val="32"/>
        </w:rPr>
        <w:t>三、机关运行经费安排情况</w:t>
      </w:r>
    </w:p>
    <w:p>
      <w:pPr>
        <w:pStyle w:val="21"/>
      </w:pPr>
      <w:r>
        <w:t>2024年，我单位机关运行经费共计安排12.44万元，主要用于日常维修、办公用房水电费、办公用房取暖费、办公用房物业管理费等日常运行支出。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2.00万元，其中因公出国（境）费0.00万元；公务用车购置及运维费2.00万元（其中：公务用车购置费为0.00万元，公务用车运维费2.00万元)；公务接待费0.00万元。与2023年相比</w:t>
      </w:r>
      <w:r>
        <w:rPr>
          <w:rFonts w:hint="eastAsia" w:eastAsiaTheme="minorEastAsia"/>
          <w:lang w:eastAsia="zh-CN"/>
        </w:rPr>
        <w:t>无变化</w:t>
      </w:r>
      <w:r>
        <w:t>。</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ind w:firstLine="560"/>
      </w:pPr>
      <w:r>
        <w:rPr>
          <w:rFonts w:ascii="方正仿宋_GBK" w:hAnsi="方正仿宋_GBK" w:eastAsia="方正仿宋_GBK" w:cs="方正仿宋_GBK"/>
          <w:b/>
          <w:color w:val="000000"/>
          <w:sz w:val="28"/>
        </w:rPr>
        <w:t>1、劳务派遣经费绩效目标表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13010724P00011310034X</w:t>
            </w:r>
          </w:p>
        </w:tc>
        <w:tc>
          <w:tcPr>
            <w:tcW w:w="1587" w:type="dxa"/>
            <w:vAlign w:val="center"/>
          </w:tcPr>
          <w:p>
            <w:pPr>
              <w:pStyle w:val="12"/>
            </w:pPr>
            <w:r>
              <w:t>项目名称</w:t>
            </w:r>
          </w:p>
        </w:tc>
        <w:tc>
          <w:tcPr>
            <w:tcW w:w="4423" w:type="dxa"/>
            <w:gridSpan w:val="3"/>
            <w:vAlign w:val="center"/>
          </w:tcPr>
          <w:p>
            <w:pPr>
              <w:pStyle w:val="14"/>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26.55</w:t>
            </w:r>
          </w:p>
        </w:tc>
        <w:tc>
          <w:tcPr>
            <w:tcW w:w="1587" w:type="dxa"/>
            <w:vAlign w:val="center"/>
          </w:tcPr>
          <w:p>
            <w:pPr>
              <w:pStyle w:val="12"/>
            </w:pPr>
            <w:r>
              <w:t>其中：财政    资金</w:t>
            </w:r>
          </w:p>
        </w:tc>
        <w:tc>
          <w:tcPr>
            <w:tcW w:w="1304" w:type="dxa"/>
            <w:vAlign w:val="center"/>
          </w:tcPr>
          <w:p>
            <w:pPr>
              <w:pStyle w:val="14"/>
            </w:pPr>
            <w:r>
              <w:t>26.55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按月保障6名劳务派遣人员工资及社保按时缴纳发放，确保工作按时高效完成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6.00</w:t>
            </w:r>
          </w:p>
        </w:tc>
        <w:tc>
          <w:tcPr>
            <w:tcW w:w="1587" w:type="dxa"/>
            <w:vAlign w:val="center"/>
          </w:tcPr>
          <w:p>
            <w:pPr>
              <w:pStyle w:val="15"/>
            </w:pPr>
            <w:r>
              <w:t>12.00</w:t>
            </w:r>
          </w:p>
        </w:tc>
        <w:tc>
          <w:tcPr>
            <w:tcW w:w="1304" w:type="dxa"/>
            <w:vAlign w:val="center"/>
          </w:tcPr>
          <w:p>
            <w:pPr>
              <w:pStyle w:val="15"/>
            </w:pPr>
            <w:r>
              <w:t>18.00</w:t>
            </w:r>
          </w:p>
        </w:tc>
        <w:tc>
          <w:tcPr>
            <w:tcW w:w="3119" w:type="dxa"/>
            <w:gridSpan w:val="2"/>
            <w:vAlign w:val="center"/>
          </w:tcPr>
          <w:p>
            <w:pPr>
              <w:pStyle w:val="15"/>
            </w:pPr>
            <w:r>
              <w:t>26.55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1.按月保障6名劳务派遣人员工资及社保按时缴纳发放，确保工作按时高效完成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人员数量</w:t>
            </w:r>
          </w:p>
        </w:tc>
        <w:tc>
          <w:tcPr>
            <w:tcW w:w="2891" w:type="dxa"/>
            <w:vAlign w:val="center"/>
          </w:tcPr>
          <w:p>
            <w:pPr>
              <w:pStyle w:val="14"/>
            </w:pPr>
            <w:r>
              <w:t>劳务派遣人员数量</w:t>
            </w:r>
          </w:p>
        </w:tc>
        <w:tc>
          <w:tcPr>
            <w:tcW w:w="1276" w:type="dxa"/>
            <w:vAlign w:val="center"/>
          </w:tcPr>
          <w:p>
            <w:pPr>
              <w:pStyle w:val="14"/>
            </w:pPr>
            <w:r>
              <w:t>6人</w:t>
            </w:r>
          </w:p>
        </w:tc>
        <w:tc>
          <w:tcPr>
            <w:tcW w:w="1843" w:type="dxa"/>
            <w:vAlign w:val="center"/>
          </w:tcPr>
          <w:p>
            <w:pPr>
              <w:pStyle w:val="14"/>
            </w:pPr>
            <w:r>
              <w:t>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发放准确率</w:t>
            </w:r>
          </w:p>
        </w:tc>
        <w:tc>
          <w:tcPr>
            <w:tcW w:w="2891" w:type="dxa"/>
            <w:vAlign w:val="center"/>
          </w:tcPr>
          <w:p>
            <w:pPr>
              <w:pStyle w:val="14"/>
            </w:pPr>
            <w:r>
              <w:t>发放精准度</w:t>
            </w:r>
          </w:p>
        </w:tc>
        <w:tc>
          <w:tcPr>
            <w:tcW w:w="1276" w:type="dxa"/>
            <w:vAlign w:val="center"/>
          </w:tcPr>
          <w:p>
            <w:pPr>
              <w:pStyle w:val="14"/>
            </w:pPr>
            <w:r>
              <w:t>≥95%</w:t>
            </w:r>
          </w:p>
        </w:tc>
        <w:tc>
          <w:tcPr>
            <w:tcW w:w="1843"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发放及时性</w:t>
            </w:r>
          </w:p>
        </w:tc>
        <w:tc>
          <w:tcPr>
            <w:tcW w:w="2891" w:type="dxa"/>
            <w:vAlign w:val="center"/>
          </w:tcPr>
          <w:p>
            <w:pPr>
              <w:pStyle w:val="14"/>
            </w:pPr>
            <w:r>
              <w:t>发放完成时间</w:t>
            </w:r>
          </w:p>
        </w:tc>
        <w:tc>
          <w:tcPr>
            <w:tcW w:w="1276" w:type="dxa"/>
            <w:vAlign w:val="center"/>
          </w:tcPr>
          <w:p>
            <w:pPr>
              <w:pStyle w:val="14"/>
            </w:pPr>
            <w:r>
              <w:t>2024年12月底</w:t>
            </w:r>
          </w:p>
        </w:tc>
        <w:tc>
          <w:tcPr>
            <w:tcW w:w="1843"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劳务派遣人员费用</w:t>
            </w:r>
          </w:p>
        </w:tc>
        <w:tc>
          <w:tcPr>
            <w:tcW w:w="2891" w:type="dxa"/>
            <w:vAlign w:val="center"/>
          </w:tcPr>
          <w:p>
            <w:pPr>
              <w:pStyle w:val="14"/>
            </w:pPr>
            <w:r>
              <w:t>劳务派遣全年工资及社保额</w:t>
            </w:r>
          </w:p>
        </w:tc>
        <w:tc>
          <w:tcPr>
            <w:tcW w:w="1276" w:type="dxa"/>
            <w:vAlign w:val="center"/>
          </w:tcPr>
          <w:p>
            <w:pPr>
              <w:pStyle w:val="14"/>
            </w:pPr>
            <w:r>
              <w:t>≤26.55万元</w:t>
            </w:r>
          </w:p>
        </w:tc>
        <w:tc>
          <w:tcPr>
            <w:tcW w:w="1843" w:type="dxa"/>
            <w:vAlign w:val="center"/>
          </w:tcPr>
          <w:p>
            <w:pPr>
              <w:pStyle w:val="14"/>
            </w:pPr>
            <w:r>
              <w:t>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保障人员充足</w:t>
            </w:r>
          </w:p>
        </w:tc>
        <w:tc>
          <w:tcPr>
            <w:tcW w:w="2891" w:type="dxa"/>
            <w:vAlign w:val="center"/>
          </w:tcPr>
          <w:p>
            <w:pPr>
              <w:pStyle w:val="14"/>
            </w:pPr>
            <w:r>
              <w:t>保障人员充足，提高工作效率</w:t>
            </w:r>
          </w:p>
        </w:tc>
        <w:tc>
          <w:tcPr>
            <w:tcW w:w="1276" w:type="dxa"/>
            <w:vAlign w:val="center"/>
          </w:tcPr>
          <w:p>
            <w:pPr>
              <w:pStyle w:val="14"/>
            </w:pPr>
            <w:r>
              <w:t>≥95%</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服务对象的满意度</w:t>
            </w:r>
          </w:p>
        </w:tc>
        <w:tc>
          <w:tcPr>
            <w:tcW w:w="2891" w:type="dxa"/>
            <w:vAlign w:val="center"/>
          </w:tcPr>
          <w:p>
            <w:pPr>
              <w:pStyle w:val="14"/>
            </w:pPr>
            <w:r>
              <w:t>劳务派遣人员满意度</w:t>
            </w:r>
          </w:p>
        </w:tc>
        <w:tc>
          <w:tcPr>
            <w:tcW w:w="1276" w:type="dxa"/>
            <w:vAlign w:val="center"/>
          </w:tcPr>
          <w:p>
            <w:pPr>
              <w:pStyle w:val="14"/>
            </w:pPr>
            <w:r>
              <w:t>≥95%</w:t>
            </w:r>
          </w:p>
        </w:tc>
        <w:tc>
          <w:tcPr>
            <w:tcW w:w="1843" w:type="dxa"/>
            <w:vAlign w:val="center"/>
          </w:tcPr>
          <w:p>
            <w:pPr>
              <w:pStyle w:val="14"/>
            </w:pPr>
            <w:r>
              <w:t>工作反馈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2、“雪亮工程”IP租用和用电专项经费绩效目标表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13010724P00011210136Q</w:t>
            </w:r>
          </w:p>
        </w:tc>
        <w:tc>
          <w:tcPr>
            <w:tcW w:w="1587" w:type="dxa"/>
            <w:vAlign w:val="center"/>
          </w:tcPr>
          <w:p>
            <w:pPr>
              <w:pStyle w:val="12"/>
            </w:pPr>
            <w:r>
              <w:t>项目名称</w:t>
            </w:r>
          </w:p>
        </w:tc>
        <w:tc>
          <w:tcPr>
            <w:tcW w:w="4423" w:type="dxa"/>
            <w:gridSpan w:val="3"/>
            <w:vAlign w:val="center"/>
          </w:tcPr>
          <w:p>
            <w:pPr>
              <w:pStyle w:val="14"/>
            </w:pPr>
            <w:r>
              <w:t>“雪亮工程”IP租用和用电专项经费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6.57</w:t>
            </w:r>
          </w:p>
        </w:tc>
        <w:tc>
          <w:tcPr>
            <w:tcW w:w="1587" w:type="dxa"/>
            <w:vAlign w:val="center"/>
          </w:tcPr>
          <w:p>
            <w:pPr>
              <w:pStyle w:val="12"/>
            </w:pPr>
            <w:r>
              <w:t>其中：财政    资金</w:t>
            </w:r>
          </w:p>
        </w:tc>
        <w:tc>
          <w:tcPr>
            <w:tcW w:w="1304" w:type="dxa"/>
            <w:vAlign w:val="center"/>
          </w:tcPr>
          <w:p>
            <w:pPr>
              <w:pStyle w:val="14"/>
            </w:pPr>
            <w:r>
              <w:t>6.57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通过保障视频传输及设备正常运行平台，提升政法工作安全、智能化运行。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6.57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1.通过保障视频传输及设备正常运行平台，提升政法工作安全、智能化运行。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传输率</w:t>
            </w:r>
          </w:p>
        </w:tc>
        <w:tc>
          <w:tcPr>
            <w:tcW w:w="2891" w:type="dxa"/>
            <w:vAlign w:val="center"/>
          </w:tcPr>
          <w:p>
            <w:pPr>
              <w:pStyle w:val="14"/>
            </w:pPr>
            <w:r>
              <w:t>视频传输率及实际使用情况</w:t>
            </w:r>
          </w:p>
        </w:tc>
        <w:tc>
          <w:tcPr>
            <w:tcW w:w="1276" w:type="dxa"/>
            <w:vAlign w:val="center"/>
          </w:tcPr>
          <w:p>
            <w:pPr>
              <w:pStyle w:val="14"/>
            </w:pPr>
            <w:r>
              <w:t>≥95%</w:t>
            </w:r>
          </w:p>
        </w:tc>
        <w:tc>
          <w:tcPr>
            <w:tcW w:w="1843"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优良率</w:t>
            </w:r>
          </w:p>
        </w:tc>
        <w:tc>
          <w:tcPr>
            <w:tcW w:w="2891" w:type="dxa"/>
            <w:vAlign w:val="center"/>
          </w:tcPr>
          <w:p>
            <w:pPr>
              <w:pStyle w:val="14"/>
            </w:pPr>
            <w:r>
              <w:t>稳定完好的运行效果</w:t>
            </w:r>
          </w:p>
        </w:tc>
        <w:tc>
          <w:tcPr>
            <w:tcW w:w="1276" w:type="dxa"/>
            <w:vAlign w:val="center"/>
          </w:tcPr>
          <w:p>
            <w:pPr>
              <w:pStyle w:val="14"/>
            </w:pPr>
            <w:r>
              <w:t>≥95%</w:t>
            </w:r>
          </w:p>
        </w:tc>
        <w:tc>
          <w:tcPr>
            <w:tcW w:w="1843" w:type="dxa"/>
            <w:vAlign w:val="center"/>
          </w:tcPr>
          <w:p>
            <w:pPr>
              <w:pStyle w:val="14"/>
            </w:pPr>
            <w:r>
              <w:t>运行完好率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及时率</w:t>
            </w:r>
          </w:p>
        </w:tc>
        <w:tc>
          <w:tcPr>
            <w:tcW w:w="2891" w:type="dxa"/>
            <w:vAlign w:val="center"/>
          </w:tcPr>
          <w:p>
            <w:pPr>
              <w:pStyle w:val="14"/>
            </w:pPr>
            <w:r>
              <w:t>视频传输及时率</w:t>
            </w:r>
          </w:p>
        </w:tc>
        <w:tc>
          <w:tcPr>
            <w:tcW w:w="1276" w:type="dxa"/>
            <w:vAlign w:val="center"/>
          </w:tcPr>
          <w:p>
            <w:pPr>
              <w:pStyle w:val="14"/>
            </w:pPr>
            <w:r>
              <w:t>≥95%</w:t>
            </w:r>
          </w:p>
        </w:tc>
        <w:tc>
          <w:tcPr>
            <w:tcW w:w="1843" w:type="dxa"/>
            <w:vAlign w:val="center"/>
          </w:tcPr>
          <w:p>
            <w:pPr>
              <w:pStyle w:val="14"/>
            </w:pPr>
            <w:r>
              <w:t>视频传输效果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预算资金额</w:t>
            </w:r>
          </w:p>
        </w:tc>
        <w:tc>
          <w:tcPr>
            <w:tcW w:w="1276" w:type="dxa"/>
            <w:vAlign w:val="center"/>
          </w:tcPr>
          <w:p>
            <w:pPr>
              <w:pStyle w:val="14"/>
            </w:pPr>
            <w:r>
              <w:t>≤6.57万元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网络安全保障</w:t>
            </w:r>
          </w:p>
        </w:tc>
        <w:tc>
          <w:tcPr>
            <w:tcW w:w="2891" w:type="dxa"/>
            <w:vAlign w:val="center"/>
          </w:tcPr>
          <w:p>
            <w:pPr>
              <w:pStyle w:val="14"/>
            </w:pPr>
            <w:r>
              <w:t>安全意识及社会稳定持续影响</w:t>
            </w:r>
          </w:p>
        </w:tc>
        <w:tc>
          <w:tcPr>
            <w:tcW w:w="1276" w:type="dxa"/>
            <w:vAlign w:val="center"/>
          </w:tcPr>
          <w:p>
            <w:pPr>
              <w:pStyle w:val="14"/>
            </w:pPr>
            <w:r>
              <w:t>社会安全稳定</w:t>
            </w:r>
          </w:p>
        </w:tc>
        <w:tc>
          <w:tcPr>
            <w:tcW w:w="1843" w:type="dxa"/>
            <w:vAlign w:val="center"/>
          </w:tcPr>
          <w:p>
            <w:pPr>
              <w:pStyle w:val="14"/>
            </w:pPr>
            <w:r>
              <w:t>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社会效益指标</w:t>
            </w:r>
          </w:p>
        </w:tc>
        <w:tc>
          <w:tcPr>
            <w:tcW w:w="1332" w:type="dxa"/>
            <w:vAlign w:val="center"/>
          </w:tcPr>
          <w:p>
            <w:pPr>
              <w:pStyle w:val="14"/>
            </w:pPr>
            <w:r>
              <w:t>保障服务水平</w:t>
            </w:r>
          </w:p>
        </w:tc>
        <w:tc>
          <w:tcPr>
            <w:tcW w:w="2891" w:type="dxa"/>
            <w:vAlign w:val="center"/>
          </w:tcPr>
          <w:p>
            <w:pPr>
              <w:pStyle w:val="14"/>
            </w:pPr>
            <w:r>
              <w:t>保障视频传输及时</w:t>
            </w:r>
          </w:p>
        </w:tc>
        <w:tc>
          <w:tcPr>
            <w:tcW w:w="1276" w:type="dxa"/>
            <w:vAlign w:val="center"/>
          </w:tcPr>
          <w:p>
            <w:pPr>
              <w:pStyle w:val="14"/>
            </w:pPr>
            <w:r>
              <w:t>≥95%</w:t>
            </w:r>
          </w:p>
        </w:tc>
        <w:tc>
          <w:tcPr>
            <w:tcW w:w="1843" w:type="dxa"/>
            <w:vAlign w:val="center"/>
          </w:tcPr>
          <w:p>
            <w:pPr>
              <w:pStyle w:val="14"/>
            </w:pPr>
            <w:r>
              <w:t>保障服务率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满意度调查</w:t>
            </w:r>
          </w:p>
        </w:tc>
        <w:tc>
          <w:tcPr>
            <w:tcW w:w="2891" w:type="dxa"/>
            <w:vAlign w:val="center"/>
          </w:tcPr>
          <w:p>
            <w:pPr>
              <w:pStyle w:val="14"/>
            </w:pPr>
            <w:r>
              <w:t>满意度调查</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3、“雪亮工程”平台及前端设备运维费绩效目标表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13010724P00011210144D</w:t>
            </w:r>
          </w:p>
        </w:tc>
        <w:tc>
          <w:tcPr>
            <w:tcW w:w="1587" w:type="dxa"/>
            <w:vAlign w:val="center"/>
          </w:tcPr>
          <w:p>
            <w:pPr>
              <w:pStyle w:val="12"/>
            </w:pPr>
            <w:r>
              <w:t>项目名称</w:t>
            </w:r>
          </w:p>
        </w:tc>
        <w:tc>
          <w:tcPr>
            <w:tcW w:w="4423" w:type="dxa"/>
            <w:gridSpan w:val="3"/>
            <w:vAlign w:val="center"/>
          </w:tcPr>
          <w:p>
            <w:pPr>
              <w:pStyle w:val="14"/>
            </w:pPr>
            <w:r>
              <w:t>“雪亮工程”平台及前端设备运维费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7.76</w:t>
            </w:r>
          </w:p>
        </w:tc>
        <w:tc>
          <w:tcPr>
            <w:tcW w:w="1587" w:type="dxa"/>
            <w:vAlign w:val="center"/>
          </w:tcPr>
          <w:p>
            <w:pPr>
              <w:pStyle w:val="12"/>
            </w:pPr>
            <w:r>
              <w:t>其中：财政    资金</w:t>
            </w:r>
          </w:p>
        </w:tc>
        <w:tc>
          <w:tcPr>
            <w:tcW w:w="1304" w:type="dxa"/>
            <w:vAlign w:val="center"/>
          </w:tcPr>
          <w:p>
            <w:pPr>
              <w:pStyle w:val="14"/>
            </w:pPr>
            <w:r>
              <w:t>7.76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维护“雪亮工程”平台安全稳定运行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7.76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1.维护“雪亮工程”平台安全稳定运行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正常运行天数</w:t>
            </w:r>
          </w:p>
        </w:tc>
        <w:tc>
          <w:tcPr>
            <w:tcW w:w="2891" w:type="dxa"/>
            <w:vAlign w:val="center"/>
          </w:tcPr>
          <w:p>
            <w:pPr>
              <w:pStyle w:val="14"/>
            </w:pPr>
            <w:r>
              <w:t>平台正常运行天数</w:t>
            </w:r>
          </w:p>
        </w:tc>
        <w:tc>
          <w:tcPr>
            <w:tcW w:w="1276" w:type="dxa"/>
            <w:vAlign w:val="center"/>
          </w:tcPr>
          <w:p>
            <w:pPr>
              <w:pStyle w:val="14"/>
            </w:pPr>
            <w:r>
              <w:t>≥360天</w:t>
            </w:r>
          </w:p>
        </w:tc>
        <w:tc>
          <w:tcPr>
            <w:tcW w:w="1843" w:type="dxa"/>
            <w:vAlign w:val="center"/>
          </w:tcPr>
          <w:p>
            <w:pPr>
              <w:pStyle w:val="14"/>
            </w:pPr>
            <w:r>
              <w:t>平台正常运行天数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系统故障率</w:t>
            </w:r>
          </w:p>
        </w:tc>
        <w:tc>
          <w:tcPr>
            <w:tcW w:w="2891" w:type="dxa"/>
            <w:vAlign w:val="center"/>
          </w:tcPr>
          <w:p>
            <w:pPr>
              <w:pStyle w:val="14"/>
            </w:pPr>
            <w:r>
              <w:t>系统故障率</w:t>
            </w:r>
          </w:p>
        </w:tc>
        <w:tc>
          <w:tcPr>
            <w:tcW w:w="1276" w:type="dxa"/>
            <w:vAlign w:val="center"/>
          </w:tcPr>
          <w:p>
            <w:pPr>
              <w:pStyle w:val="14"/>
            </w:pPr>
            <w:r>
              <w:t>≤30%</w:t>
            </w:r>
          </w:p>
        </w:tc>
        <w:tc>
          <w:tcPr>
            <w:tcW w:w="1843" w:type="dxa"/>
            <w:vAlign w:val="center"/>
          </w:tcPr>
          <w:p>
            <w:pPr>
              <w:pStyle w:val="14"/>
            </w:pPr>
            <w:r>
              <w:t>故障记录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网络联通的持续性</w:t>
            </w:r>
          </w:p>
        </w:tc>
        <w:tc>
          <w:tcPr>
            <w:tcW w:w="1276" w:type="dxa"/>
            <w:vAlign w:val="center"/>
          </w:tcPr>
          <w:p>
            <w:pPr>
              <w:pStyle w:val="14"/>
            </w:pPr>
            <w:r>
              <w:t>网络连接流畅</w:t>
            </w:r>
          </w:p>
        </w:tc>
        <w:tc>
          <w:tcPr>
            <w:tcW w:w="1843" w:type="dxa"/>
            <w:vAlign w:val="center"/>
          </w:tcPr>
          <w:p>
            <w:pPr>
              <w:pStyle w:val="14"/>
            </w:pPr>
            <w:r>
              <w:t>网络连接流畅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预算资金额</w:t>
            </w:r>
          </w:p>
        </w:tc>
        <w:tc>
          <w:tcPr>
            <w:tcW w:w="1276" w:type="dxa"/>
            <w:vAlign w:val="center"/>
          </w:tcPr>
          <w:p>
            <w:pPr>
              <w:pStyle w:val="14"/>
            </w:pPr>
            <w:r>
              <w:t>≤7.76万元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保障服务水平</w:t>
            </w:r>
          </w:p>
        </w:tc>
        <w:tc>
          <w:tcPr>
            <w:tcW w:w="2891" w:type="dxa"/>
            <w:vAlign w:val="center"/>
          </w:tcPr>
          <w:p>
            <w:pPr>
              <w:pStyle w:val="14"/>
            </w:pPr>
            <w:r>
              <w:t>维护社会稳定</w:t>
            </w:r>
          </w:p>
        </w:tc>
        <w:tc>
          <w:tcPr>
            <w:tcW w:w="1276" w:type="dxa"/>
            <w:vAlign w:val="center"/>
          </w:tcPr>
          <w:p>
            <w:pPr>
              <w:pStyle w:val="14"/>
            </w:pPr>
            <w:r>
              <w:t>≥95%</w:t>
            </w:r>
          </w:p>
        </w:tc>
        <w:tc>
          <w:tcPr>
            <w:tcW w:w="1843" w:type="dxa"/>
            <w:vAlign w:val="center"/>
          </w:tcPr>
          <w:p>
            <w:pPr>
              <w:pStyle w:val="14"/>
            </w:pPr>
            <w:r>
              <w:t>平安建设水平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4、大调解稳定防范经费绩效目标表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13010724P00011210143R</w:t>
            </w:r>
          </w:p>
        </w:tc>
        <w:tc>
          <w:tcPr>
            <w:tcW w:w="1587" w:type="dxa"/>
            <w:vAlign w:val="center"/>
          </w:tcPr>
          <w:p>
            <w:pPr>
              <w:pStyle w:val="12"/>
            </w:pPr>
            <w:r>
              <w:t>项目名称</w:t>
            </w:r>
          </w:p>
        </w:tc>
        <w:tc>
          <w:tcPr>
            <w:tcW w:w="4423" w:type="dxa"/>
            <w:gridSpan w:val="3"/>
            <w:vAlign w:val="center"/>
          </w:tcPr>
          <w:p>
            <w:pPr>
              <w:pStyle w:val="14"/>
            </w:pPr>
            <w:r>
              <w:t>大调解稳定防范经费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w:t>
            </w:r>
          </w:p>
        </w:tc>
        <w:tc>
          <w:tcPr>
            <w:tcW w:w="1587" w:type="dxa"/>
            <w:vAlign w:val="center"/>
          </w:tcPr>
          <w:p>
            <w:pPr>
              <w:pStyle w:val="12"/>
            </w:pPr>
            <w:r>
              <w:t>其中：财政    资金</w:t>
            </w:r>
          </w:p>
        </w:tc>
        <w:tc>
          <w:tcPr>
            <w:tcW w:w="1304" w:type="dxa"/>
            <w:vAlign w:val="center"/>
          </w:tcPr>
          <w:p>
            <w:pPr>
              <w:pStyle w:val="14"/>
            </w:pPr>
            <w:r>
              <w:t>2.00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通过开展矛盾纠纷排查调处、维护社会稳定、防范邪教工作，做好敏感时期安保工作，营造和谐稳定的社会环境。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1.00</w:t>
            </w:r>
          </w:p>
        </w:tc>
        <w:tc>
          <w:tcPr>
            <w:tcW w:w="1304" w:type="dxa"/>
            <w:vAlign w:val="center"/>
          </w:tcPr>
          <w:p>
            <w:pPr>
              <w:pStyle w:val="15"/>
            </w:pPr>
            <w:r>
              <w:t xml:space="preserve"> </w:t>
            </w:r>
          </w:p>
        </w:tc>
        <w:tc>
          <w:tcPr>
            <w:tcW w:w="3119"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1.通过开展矛盾纠纷排查调处、维护社会稳定、防范邪教工作，做好敏感时期安保工作，营造和谐稳定的社会环境。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保障工作种类</w:t>
            </w:r>
          </w:p>
        </w:tc>
        <w:tc>
          <w:tcPr>
            <w:tcW w:w="2891" w:type="dxa"/>
            <w:vAlign w:val="center"/>
          </w:tcPr>
          <w:p>
            <w:pPr>
              <w:pStyle w:val="14"/>
            </w:pPr>
            <w:r>
              <w:t>保障宣传、办公等日常工作种类</w:t>
            </w:r>
          </w:p>
        </w:tc>
        <w:tc>
          <w:tcPr>
            <w:tcW w:w="1276" w:type="dxa"/>
            <w:vAlign w:val="center"/>
          </w:tcPr>
          <w:p>
            <w:pPr>
              <w:pStyle w:val="14"/>
            </w:pPr>
            <w:r>
              <w:t>3类</w:t>
            </w:r>
          </w:p>
        </w:tc>
        <w:tc>
          <w:tcPr>
            <w:tcW w:w="1843" w:type="dxa"/>
            <w:vAlign w:val="center"/>
          </w:tcPr>
          <w:p>
            <w:pPr>
              <w:pStyle w:val="14"/>
            </w:pPr>
            <w:r>
              <w:t>参照往年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工作完成率</w:t>
            </w:r>
          </w:p>
        </w:tc>
        <w:tc>
          <w:tcPr>
            <w:tcW w:w="2891" w:type="dxa"/>
            <w:vAlign w:val="center"/>
          </w:tcPr>
          <w:p>
            <w:pPr>
              <w:pStyle w:val="14"/>
            </w:pPr>
            <w:r>
              <w:t>大调解工作完成情况</w:t>
            </w:r>
          </w:p>
        </w:tc>
        <w:tc>
          <w:tcPr>
            <w:tcW w:w="1276" w:type="dxa"/>
            <w:vAlign w:val="center"/>
          </w:tcPr>
          <w:p>
            <w:pPr>
              <w:pStyle w:val="14"/>
            </w:pPr>
            <w:r>
              <w:t>≥95%</w:t>
            </w:r>
          </w:p>
        </w:tc>
        <w:tc>
          <w:tcPr>
            <w:tcW w:w="1843" w:type="dxa"/>
            <w:vAlign w:val="center"/>
          </w:tcPr>
          <w:p>
            <w:pPr>
              <w:pStyle w:val="14"/>
            </w:pPr>
            <w:r>
              <w:t>参照往年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各项工作及时性</w:t>
            </w:r>
          </w:p>
        </w:tc>
        <w:tc>
          <w:tcPr>
            <w:tcW w:w="2891" w:type="dxa"/>
            <w:vAlign w:val="center"/>
          </w:tcPr>
          <w:p>
            <w:pPr>
              <w:pStyle w:val="14"/>
            </w:pPr>
            <w:r>
              <w:t>根据工作安排，任务完成的及时性</w:t>
            </w:r>
          </w:p>
        </w:tc>
        <w:tc>
          <w:tcPr>
            <w:tcW w:w="1276" w:type="dxa"/>
            <w:vAlign w:val="center"/>
          </w:tcPr>
          <w:p>
            <w:pPr>
              <w:pStyle w:val="14"/>
            </w:pPr>
            <w:r>
              <w:t>≥95%</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办公费金额</w:t>
            </w:r>
          </w:p>
        </w:tc>
        <w:tc>
          <w:tcPr>
            <w:tcW w:w="2891" w:type="dxa"/>
            <w:vAlign w:val="center"/>
          </w:tcPr>
          <w:p>
            <w:pPr>
              <w:pStyle w:val="14"/>
            </w:pPr>
            <w:r>
              <w:t>大调解工作办公费用</w:t>
            </w:r>
          </w:p>
        </w:tc>
        <w:tc>
          <w:tcPr>
            <w:tcW w:w="1276" w:type="dxa"/>
            <w:vAlign w:val="center"/>
          </w:tcPr>
          <w:p>
            <w:pPr>
              <w:pStyle w:val="14"/>
            </w:pPr>
            <w:r>
              <w:t>≤1万元</w:t>
            </w:r>
          </w:p>
        </w:tc>
        <w:tc>
          <w:tcPr>
            <w:tcW w:w="1843" w:type="dxa"/>
            <w:vAlign w:val="center"/>
          </w:tcPr>
          <w:p>
            <w:pPr>
              <w:pStyle w:val="14"/>
            </w:pPr>
            <w:r>
              <w:t>预算测算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差旅费金额</w:t>
            </w:r>
          </w:p>
        </w:tc>
        <w:tc>
          <w:tcPr>
            <w:tcW w:w="2891" w:type="dxa"/>
            <w:vAlign w:val="center"/>
          </w:tcPr>
          <w:p>
            <w:pPr>
              <w:pStyle w:val="14"/>
            </w:pPr>
            <w:r>
              <w:t>大调解工作差旅费用</w:t>
            </w:r>
          </w:p>
        </w:tc>
        <w:tc>
          <w:tcPr>
            <w:tcW w:w="1276" w:type="dxa"/>
            <w:vAlign w:val="center"/>
          </w:tcPr>
          <w:p>
            <w:pPr>
              <w:pStyle w:val="14"/>
            </w:pPr>
            <w:r>
              <w:t>≤0.5万元</w:t>
            </w:r>
          </w:p>
        </w:tc>
        <w:tc>
          <w:tcPr>
            <w:tcW w:w="1843" w:type="dxa"/>
            <w:vAlign w:val="center"/>
          </w:tcPr>
          <w:p>
            <w:pPr>
              <w:pStyle w:val="14"/>
            </w:pPr>
            <w:r>
              <w:t>预算测算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印刷费金额</w:t>
            </w:r>
          </w:p>
        </w:tc>
        <w:tc>
          <w:tcPr>
            <w:tcW w:w="2891" w:type="dxa"/>
            <w:vAlign w:val="center"/>
          </w:tcPr>
          <w:p>
            <w:pPr>
              <w:pStyle w:val="14"/>
            </w:pPr>
            <w:r>
              <w:t>大调解工作印刷费用</w:t>
            </w:r>
          </w:p>
        </w:tc>
        <w:tc>
          <w:tcPr>
            <w:tcW w:w="1276" w:type="dxa"/>
            <w:vAlign w:val="center"/>
          </w:tcPr>
          <w:p>
            <w:pPr>
              <w:pStyle w:val="14"/>
            </w:pPr>
            <w:r>
              <w:t>≤0.5万元</w:t>
            </w:r>
          </w:p>
        </w:tc>
        <w:tc>
          <w:tcPr>
            <w:tcW w:w="1843" w:type="dxa"/>
            <w:vAlign w:val="center"/>
          </w:tcPr>
          <w:p>
            <w:pPr>
              <w:pStyle w:val="14"/>
            </w:pPr>
            <w:r>
              <w:t>预算测算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社会稳定水平</w:t>
            </w:r>
          </w:p>
        </w:tc>
        <w:tc>
          <w:tcPr>
            <w:tcW w:w="2891" w:type="dxa"/>
            <w:vAlign w:val="center"/>
          </w:tcPr>
          <w:p>
            <w:pPr>
              <w:pStyle w:val="14"/>
            </w:pPr>
            <w:r>
              <w:t>开展矛盾纠纷排查调处、维护社会稳定、防范邪教工作</w:t>
            </w:r>
          </w:p>
        </w:tc>
        <w:tc>
          <w:tcPr>
            <w:tcW w:w="1276" w:type="dxa"/>
            <w:vAlign w:val="center"/>
          </w:tcPr>
          <w:p>
            <w:pPr>
              <w:pStyle w:val="14"/>
            </w:pPr>
            <w:r>
              <w:t>社会稳定水平</w:t>
            </w:r>
          </w:p>
        </w:tc>
        <w:tc>
          <w:tcPr>
            <w:tcW w:w="1843" w:type="dxa"/>
            <w:vAlign w:val="center"/>
          </w:tcPr>
          <w:p>
            <w:pPr>
              <w:pStyle w:val="14"/>
            </w:pPr>
            <w:r>
              <w:t>社会稳定水平持续提高</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满意度调查</w:t>
            </w:r>
          </w:p>
        </w:tc>
        <w:tc>
          <w:tcPr>
            <w:tcW w:w="2891" w:type="dxa"/>
            <w:vAlign w:val="center"/>
          </w:tcPr>
          <w:p>
            <w:pPr>
              <w:pStyle w:val="14"/>
            </w:pPr>
            <w:r>
              <w:t>满意度调查</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5、党建工作经费绩效目标表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13010724P000112101478</w:t>
            </w:r>
          </w:p>
        </w:tc>
        <w:tc>
          <w:tcPr>
            <w:tcW w:w="1587" w:type="dxa"/>
            <w:vAlign w:val="center"/>
          </w:tcPr>
          <w:p>
            <w:pPr>
              <w:pStyle w:val="12"/>
            </w:pPr>
            <w:r>
              <w:t>项目名称</w:t>
            </w:r>
          </w:p>
        </w:tc>
        <w:tc>
          <w:tcPr>
            <w:tcW w:w="4423" w:type="dxa"/>
            <w:gridSpan w:val="3"/>
            <w:vAlign w:val="center"/>
          </w:tcPr>
          <w:p>
            <w:pPr>
              <w:pStyle w:val="14"/>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0.06</w:t>
            </w:r>
          </w:p>
        </w:tc>
        <w:tc>
          <w:tcPr>
            <w:tcW w:w="1587" w:type="dxa"/>
            <w:vAlign w:val="center"/>
          </w:tcPr>
          <w:p>
            <w:pPr>
              <w:pStyle w:val="12"/>
            </w:pPr>
            <w:r>
              <w:t>其中：财政    资金</w:t>
            </w:r>
          </w:p>
        </w:tc>
        <w:tc>
          <w:tcPr>
            <w:tcW w:w="1304" w:type="dxa"/>
            <w:vAlign w:val="center"/>
          </w:tcPr>
          <w:p>
            <w:pPr>
              <w:pStyle w:val="14"/>
            </w:pPr>
            <w:r>
              <w:t>0.06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加强党建工作，落实“三会一课”，丰富党建活动载体，开展政治思想教育。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1.加强党建工作，落实“三会一课”，丰富党建活动载体，开展政治思想教育。</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参与率</w:t>
            </w:r>
          </w:p>
        </w:tc>
        <w:tc>
          <w:tcPr>
            <w:tcW w:w="2891" w:type="dxa"/>
            <w:vAlign w:val="center"/>
          </w:tcPr>
          <w:p>
            <w:pPr>
              <w:pStyle w:val="14"/>
            </w:pPr>
            <w:r>
              <w:t>党员活动参与率</w:t>
            </w:r>
          </w:p>
        </w:tc>
        <w:tc>
          <w:tcPr>
            <w:tcW w:w="1276" w:type="dxa"/>
            <w:vAlign w:val="center"/>
          </w:tcPr>
          <w:p>
            <w:pPr>
              <w:pStyle w:val="14"/>
            </w:pPr>
            <w:r>
              <w:t>≥95%</w:t>
            </w:r>
          </w:p>
        </w:tc>
        <w:tc>
          <w:tcPr>
            <w:tcW w:w="1843" w:type="dxa"/>
            <w:vAlign w:val="center"/>
          </w:tcPr>
          <w:p>
            <w:pPr>
              <w:pStyle w:val="14"/>
            </w:pPr>
            <w:r>
              <w:t>参与人数/党员人数*100%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活动效果</w:t>
            </w:r>
          </w:p>
        </w:tc>
        <w:tc>
          <w:tcPr>
            <w:tcW w:w="2891" w:type="dxa"/>
            <w:vAlign w:val="center"/>
          </w:tcPr>
          <w:p>
            <w:pPr>
              <w:pStyle w:val="14"/>
            </w:pPr>
            <w:r>
              <w:t>党员开展活动效果</w:t>
            </w:r>
          </w:p>
        </w:tc>
        <w:tc>
          <w:tcPr>
            <w:tcW w:w="1276" w:type="dxa"/>
            <w:vAlign w:val="center"/>
          </w:tcPr>
          <w:p>
            <w:pPr>
              <w:pStyle w:val="14"/>
            </w:pPr>
            <w:r>
              <w:t>党支部工作手册</w:t>
            </w:r>
          </w:p>
        </w:tc>
        <w:tc>
          <w:tcPr>
            <w:tcW w:w="1843" w:type="dxa"/>
            <w:vAlign w:val="center"/>
          </w:tcPr>
          <w:p>
            <w:pPr>
              <w:pStyle w:val="14"/>
            </w:pPr>
            <w:r>
              <w:t>党支部工作手册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党员活动开展及时性</w:t>
            </w:r>
          </w:p>
        </w:tc>
        <w:tc>
          <w:tcPr>
            <w:tcW w:w="1276" w:type="dxa"/>
            <w:vAlign w:val="center"/>
          </w:tcPr>
          <w:p>
            <w:pPr>
              <w:pStyle w:val="14"/>
            </w:pPr>
            <w:r>
              <w:t>按照机关工委要求及时开展</w:t>
            </w:r>
          </w:p>
        </w:tc>
        <w:tc>
          <w:tcPr>
            <w:tcW w:w="1843" w:type="dxa"/>
            <w:vAlign w:val="center"/>
          </w:tcPr>
          <w:p>
            <w:pPr>
              <w:pStyle w:val="14"/>
            </w:pPr>
            <w:r>
              <w:t>党支部工作手册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全年预算资金额</w:t>
            </w:r>
          </w:p>
        </w:tc>
        <w:tc>
          <w:tcPr>
            <w:tcW w:w="1276" w:type="dxa"/>
            <w:vAlign w:val="center"/>
          </w:tcPr>
          <w:p>
            <w:pPr>
              <w:pStyle w:val="14"/>
            </w:pPr>
            <w:r>
              <w:t>≤0.06万元</w:t>
            </w:r>
          </w:p>
        </w:tc>
        <w:tc>
          <w:tcPr>
            <w:tcW w:w="1843" w:type="dxa"/>
            <w:vAlign w:val="center"/>
          </w:tcPr>
          <w:p>
            <w:pPr>
              <w:pStyle w:val="14"/>
            </w:pPr>
            <w:r>
              <w:t>预算资金额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良好效果率</w:t>
            </w:r>
          </w:p>
        </w:tc>
        <w:tc>
          <w:tcPr>
            <w:tcW w:w="2891" w:type="dxa"/>
            <w:vAlign w:val="center"/>
          </w:tcPr>
          <w:p>
            <w:pPr>
              <w:pStyle w:val="14"/>
            </w:pPr>
            <w:r>
              <w:t>党员活动产生的良好效果</w:t>
            </w:r>
          </w:p>
        </w:tc>
        <w:tc>
          <w:tcPr>
            <w:tcW w:w="1276" w:type="dxa"/>
            <w:vAlign w:val="center"/>
          </w:tcPr>
          <w:p>
            <w:pPr>
              <w:pStyle w:val="14"/>
            </w:pPr>
            <w:r>
              <w:t>党支部工作手册</w:t>
            </w:r>
          </w:p>
        </w:tc>
        <w:tc>
          <w:tcPr>
            <w:tcW w:w="1843" w:type="dxa"/>
            <w:vAlign w:val="center"/>
          </w:tcPr>
          <w:p>
            <w:pPr>
              <w:pStyle w:val="14"/>
            </w:pPr>
            <w:r>
              <w:t>党支部工作手册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经济效益指标</w:t>
            </w:r>
          </w:p>
        </w:tc>
        <w:tc>
          <w:tcPr>
            <w:tcW w:w="1332" w:type="dxa"/>
            <w:vAlign w:val="center"/>
          </w:tcPr>
          <w:p>
            <w:pPr>
              <w:pStyle w:val="14"/>
            </w:pPr>
            <w:r>
              <w:t>对社会经济发展的影响</w:t>
            </w:r>
          </w:p>
        </w:tc>
        <w:tc>
          <w:tcPr>
            <w:tcW w:w="2891" w:type="dxa"/>
            <w:vAlign w:val="center"/>
          </w:tcPr>
          <w:p>
            <w:pPr>
              <w:pStyle w:val="14"/>
            </w:pPr>
            <w:r>
              <w:t>开展党员活动对社会经济发展的影响</w:t>
            </w:r>
          </w:p>
        </w:tc>
        <w:tc>
          <w:tcPr>
            <w:tcW w:w="1276" w:type="dxa"/>
            <w:vAlign w:val="center"/>
          </w:tcPr>
          <w:p>
            <w:pPr>
              <w:pStyle w:val="14"/>
            </w:pPr>
            <w:r>
              <w:t>党支部工作手册</w:t>
            </w:r>
          </w:p>
        </w:tc>
        <w:tc>
          <w:tcPr>
            <w:tcW w:w="1843" w:type="dxa"/>
            <w:vAlign w:val="center"/>
          </w:tcPr>
          <w:p>
            <w:pPr>
              <w:pStyle w:val="14"/>
            </w:pPr>
            <w:r>
              <w:t>党支部工作手册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服务对象的满意度</w:t>
            </w:r>
          </w:p>
        </w:tc>
        <w:tc>
          <w:tcPr>
            <w:tcW w:w="2891" w:type="dxa"/>
            <w:vAlign w:val="center"/>
          </w:tcPr>
          <w:p>
            <w:pPr>
              <w:pStyle w:val="14"/>
            </w:pPr>
            <w:r>
              <w:t>服务对象的满意度</w:t>
            </w:r>
          </w:p>
        </w:tc>
        <w:tc>
          <w:tcPr>
            <w:tcW w:w="1276" w:type="dxa"/>
            <w:vAlign w:val="center"/>
          </w:tcPr>
          <w:p>
            <w:pPr>
              <w:pStyle w:val="14"/>
            </w:pPr>
            <w:r>
              <w:t>≥95%</w:t>
            </w:r>
          </w:p>
        </w:tc>
        <w:tc>
          <w:tcPr>
            <w:tcW w:w="1843"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6、见义勇为经费绩效目标表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13010724P00011210146L</w:t>
            </w:r>
          </w:p>
        </w:tc>
        <w:tc>
          <w:tcPr>
            <w:tcW w:w="1587" w:type="dxa"/>
            <w:vAlign w:val="center"/>
          </w:tcPr>
          <w:p>
            <w:pPr>
              <w:pStyle w:val="12"/>
            </w:pPr>
            <w:r>
              <w:t>项目名称</w:t>
            </w:r>
          </w:p>
        </w:tc>
        <w:tc>
          <w:tcPr>
            <w:tcW w:w="4423" w:type="dxa"/>
            <w:gridSpan w:val="3"/>
            <w:vAlign w:val="center"/>
          </w:tcPr>
          <w:p>
            <w:pPr>
              <w:pStyle w:val="14"/>
            </w:pPr>
            <w:r>
              <w:t>见义勇为经费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w:t>
            </w:r>
          </w:p>
        </w:tc>
        <w:tc>
          <w:tcPr>
            <w:tcW w:w="1587" w:type="dxa"/>
            <w:vAlign w:val="center"/>
          </w:tcPr>
          <w:p>
            <w:pPr>
              <w:pStyle w:val="12"/>
            </w:pPr>
            <w:r>
              <w:t>其中：财政    资金</w:t>
            </w:r>
          </w:p>
        </w:tc>
        <w:tc>
          <w:tcPr>
            <w:tcW w:w="1304" w:type="dxa"/>
            <w:vAlign w:val="center"/>
          </w:tcPr>
          <w:p>
            <w:pPr>
              <w:pStyle w:val="14"/>
            </w:pPr>
            <w:r>
              <w:t>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根据《河北省奖励和保护见义勇为条例》，结合矿区实际开展见义勇为工作，弘扬社会正气，促进社会平安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1.根据《河北省奖励和保护见义勇为条例》，结合矿区实际开展见义勇为工作，弘扬社会正气，促进社会平安</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申报人群覆盖率</w:t>
            </w:r>
          </w:p>
        </w:tc>
        <w:tc>
          <w:tcPr>
            <w:tcW w:w="2891" w:type="dxa"/>
            <w:vAlign w:val="center"/>
          </w:tcPr>
          <w:p>
            <w:pPr>
              <w:pStyle w:val="14"/>
            </w:pPr>
            <w:r>
              <w:t>奖金覆盖区域比例</w:t>
            </w:r>
          </w:p>
        </w:tc>
        <w:tc>
          <w:tcPr>
            <w:tcW w:w="1276" w:type="dxa"/>
            <w:vAlign w:val="center"/>
          </w:tcPr>
          <w:p>
            <w:pPr>
              <w:pStyle w:val="14"/>
            </w:pPr>
            <w:r>
              <w:t>100%</w:t>
            </w:r>
          </w:p>
        </w:tc>
        <w:tc>
          <w:tcPr>
            <w:tcW w:w="1843" w:type="dxa"/>
            <w:vAlign w:val="center"/>
          </w:tcPr>
          <w:p>
            <w:pPr>
              <w:pStyle w:val="14"/>
            </w:pPr>
            <w:r>
              <w:t>全区范围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奖金发放准确率</w:t>
            </w:r>
          </w:p>
        </w:tc>
        <w:tc>
          <w:tcPr>
            <w:tcW w:w="2891" w:type="dxa"/>
            <w:vAlign w:val="center"/>
          </w:tcPr>
          <w:p>
            <w:pPr>
              <w:pStyle w:val="14"/>
            </w:pPr>
            <w:r>
              <w:t>见义勇为奖金发放准确率</w:t>
            </w:r>
          </w:p>
        </w:tc>
        <w:tc>
          <w:tcPr>
            <w:tcW w:w="1276" w:type="dxa"/>
            <w:vAlign w:val="center"/>
          </w:tcPr>
          <w:p>
            <w:pPr>
              <w:pStyle w:val="14"/>
            </w:pPr>
            <w:r>
              <w:t>100%</w:t>
            </w:r>
          </w:p>
        </w:tc>
        <w:tc>
          <w:tcPr>
            <w:tcW w:w="1843" w:type="dxa"/>
            <w:vAlign w:val="center"/>
          </w:tcPr>
          <w:p>
            <w:pPr>
              <w:pStyle w:val="14"/>
            </w:pPr>
            <w:r>
              <w:t>参照《河北省奖励和保护见义勇为条例》及实际情况、文件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奖金发放完成时间</w:t>
            </w:r>
          </w:p>
        </w:tc>
        <w:tc>
          <w:tcPr>
            <w:tcW w:w="2891" w:type="dxa"/>
            <w:vAlign w:val="center"/>
          </w:tcPr>
          <w:p>
            <w:pPr>
              <w:pStyle w:val="14"/>
            </w:pPr>
            <w:r>
              <w:t>见义勇为奖金发放完成时间</w:t>
            </w:r>
          </w:p>
        </w:tc>
        <w:tc>
          <w:tcPr>
            <w:tcW w:w="1276" w:type="dxa"/>
            <w:vAlign w:val="center"/>
          </w:tcPr>
          <w:p>
            <w:pPr>
              <w:pStyle w:val="14"/>
            </w:pPr>
            <w:r>
              <w:t>2024年12月底前</w:t>
            </w:r>
          </w:p>
        </w:tc>
        <w:tc>
          <w:tcPr>
            <w:tcW w:w="1843" w:type="dxa"/>
            <w:vAlign w:val="center"/>
          </w:tcPr>
          <w:p>
            <w:pPr>
              <w:pStyle w:val="14"/>
            </w:pPr>
            <w:r>
              <w:t>发放凭证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见义勇为经费</w:t>
            </w:r>
          </w:p>
        </w:tc>
        <w:tc>
          <w:tcPr>
            <w:tcW w:w="2891" w:type="dxa"/>
            <w:vAlign w:val="center"/>
          </w:tcPr>
          <w:p>
            <w:pPr>
              <w:pStyle w:val="14"/>
            </w:pPr>
            <w:r>
              <w:t>全年预算资金额</w:t>
            </w:r>
          </w:p>
        </w:tc>
        <w:tc>
          <w:tcPr>
            <w:tcW w:w="1276" w:type="dxa"/>
            <w:vAlign w:val="center"/>
          </w:tcPr>
          <w:p>
            <w:pPr>
              <w:pStyle w:val="14"/>
            </w:pPr>
            <w:r>
              <w:t>≤1万元</w:t>
            </w:r>
          </w:p>
        </w:tc>
        <w:tc>
          <w:tcPr>
            <w:tcW w:w="1843" w:type="dxa"/>
            <w:vAlign w:val="center"/>
          </w:tcPr>
          <w:p>
            <w:pPr>
              <w:pStyle w:val="14"/>
            </w:pPr>
            <w:r>
              <w:t>参照《河北省奖励和保护见义勇为条例》及实际情况、文件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社会稳定</w:t>
            </w:r>
          </w:p>
        </w:tc>
        <w:tc>
          <w:tcPr>
            <w:tcW w:w="2891" w:type="dxa"/>
            <w:vAlign w:val="center"/>
          </w:tcPr>
          <w:p>
            <w:pPr>
              <w:pStyle w:val="14"/>
            </w:pPr>
            <w:r>
              <w:t>促进社会稳定</w:t>
            </w:r>
          </w:p>
        </w:tc>
        <w:tc>
          <w:tcPr>
            <w:tcW w:w="1276" w:type="dxa"/>
            <w:vAlign w:val="center"/>
          </w:tcPr>
          <w:p>
            <w:pPr>
              <w:pStyle w:val="14"/>
            </w:pPr>
            <w:r>
              <w:t>≥95%</w:t>
            </w:r>
          </w:p>
        </w:tc>
        <w:tc>
          <w:tcPr>
            <w:tcW w:w="1843" w:type="dxa"/>
            <w:vAlign w:val="center"/>
          </w:tcPr>
          <w:p>
            <w:pPr>
              <w:pStyle w:val="14"/>
            </w:pPr>
            <w:r>
              <w:t>社会稳定水平提高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奖励人员满意度</w:t>
            </w:r>
          </w:p>
        </w:tc>
        <w:tc>
          <w:tcPr>
            <w:tcW w:w="1276" w:type="dxa"/>
            <w:vAlign w:val="center"/>
          </w:tcPr>
          <w:p>
            <w:pPr>
              <w:pStyle w:val="14"/>
            </w:pPr>
            <w:r>
              <w:t>≥95%</w:t>
            </w:r>
          </w:p>
        </w:tc>
        <w:tc>
          <w:tcPr>
            <w:tcW w:w="1843"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7、区域视联网系统运行维护费绩效目标表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13010724P00011210292T</w:t>
            </w:r>
          </w:p>
        </w:tc>
        <w:tc>
          <w:tcPr>
            <w:tcW w:w="1587" w:type="dxa"/>
            <w:vAlign w:val="center"/>
          </w:tcPr>
          <w:p>
            <w:pPr>
              <w:pStyle w:val="12"/>
            </w:pPr>
            <w:r>
              <w:t>项目名称</w:t>
            </w:r>
          </w:p>
        </w:tc>
        <w:tc>
          <w:tcPr>
            <w:tcW w:w="4423" w:type="dxa"/>
            <w:gridSpan w:val="3"/>
            <w:vAlign w:val="center"/>
          </w:tcPr>
          <w:p>
            <w:pPr>
              <w:pStyle w:val="14"/>
            </w:pPr>
            <w:r>
              <w:t>区域视联网系统运行维护费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65.44</w:t>
            </w:r>
          </w:p>
        </w:tc>
        <w:tc>
          <w:tcPr>
            <w:tcW w:w="1587" w:type="dxa"/>
            <w:vAlign w:val="center"/>
          </w:tcPr>
          <w:p>
            <w:pPr>
              <w:pStyle w:val="12"/>
            </w:pPr>
            <w:r>
              <w:t>其中：财政    资金</w:t>
            </w:r>
          </w:p>
        </w:tc>
        <w:tc>
          <w:tcPr>
            <w:tcW w:w="1304" w:type="dxa"/>
            <w:vAlign w:val="center"/>
          </w:tcPr>
          <w:p>
            <w:pPr>
              <w:pStyle w:val="14"/>
            </w:pPr>
            <w:r>
              <w:t>65.44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通过确保区域视联网系统正常运行，保障公共安全，维护社会和谐稳定。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32.72</w:t>
            </w:r>
          </w:p>
        </w:tc>
        <w:tc>
          <w:tcPr>
            <w:tcW w:w="1304" w:type="dxa"/>
            <w:vAlign w:val="center"/>
          </w:tcPr>
          <w:p>
            <w:pPr>
              <w:pStyle w:val="15"/>
            </w:pPr>
            <w:r>
              <w:t xml:space="preserve"> </w:t>
            </w:r>
          </w:p>
        </w:tc>
        <w:tc>
          <w:tcPr>
            <w:tcW w:w="3119" w:type="dxa"/>
            <w:gridSpan w:val="2"/>
            <w:vAlign w:val="center"/>
          </w:tcPr>
          <w:p>
            <w:pPr>
              <w:pStyle w:val="15"/>
            </w:pPr>
            <w:r>
              <w:t>65.44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1.通过确保区域视联网系统正常运行，保障公共安全，维护社会和谐稳定。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视频监控覆盖率</w:t>
            </w:r>
          </w:p>
        </w:tc>
        <w:tc>
          <w:tcPr>
            <w:tcW w:w="2891" w:type="dxa"/>
            <w:vAlign w:val="center"/>
          </w:tcPr>
          <w:p>
            <w:pPr>
              <w:pStyle w:val="14"/>
            </w:pPr>
            <w:r>
              <w:t>区域视联网在路口、主要路段视频监控覆盖率及实际使用率</w:t>
            </w:r>
          </w:p>
        </w:tc>
        <w:tc>
          <w:tcPr>
            <w:tcW w:w="1276" w:type="dxa"/>
            <w:vAlign w:val="center"/>
          </w:tcPr>
          <w:p>
            <w:pPr>
              <w:pStyle w:val="14"/>
            </w:pPr>
            <w:r>
              <w:t>≥95%</w:t>
            </w:r>
          </w:p>
        </w:tc>
        <w:tc>
          <w:tcPr>
            <w:tcW w:w="1843" w:type="dxa"/>
            <w:vAlign w:val="center"/>
          </w:tcPr>
          <w:p>
            <w:pPr>
              <w:pStyle w:val="14"/>
            </w:pPr>
            <w:r>
              <w:t>视频监控覆盖率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监控优良率</w:t>
            </w:r>
          </w:p>
        </w:tc>
        <w:tc>
          <w:tcPr>
            <w:tcW w:w="2891" w:type="dxa"/>
            <w:vAlign w:val="center"/>
          </w:tcPr>
          <w:p>
            <w:pPr>
              <w:pStyle w:val="14"/>
            </w:pPr>
            <w:r>
              <w:t>区域视联网监控优良率</w:t>
            </w:r>
          </w:p>
        </w:tc>
        <w:tc>
          <w:tcPr>
            <w:tcW w:w="1276" w:type="dxa"/>
            <w:vAlign w:val="center"/>
          </w:tcPr>
          <w:p>
            <w:pPr>
              <w:pStyle w:val="14"/>
            </w:pPr>
            <w:r>
              <w:t>≥95%</w:t>
            </w:r>
          </w:p>
        </w:tc>
        <w:tc>
          <w:tcPr>
            <w:tcW w:w="1843"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信息传输及时率</w:t>
            </w:r>
          </w:p>
        </w:tc>
        <w:tc>
          <w:tcPr>
            <w:tcW w:w="2891" w:type="dxa"/>
            <w:vAlign w:val="center"/>
          </w:tcPr>
          <w:p>
            <w:pPr>
              <w:pStyle w:val="14"/>
            </w:pPr>
            <w:r>
              <w:t>区域视联网信息传输及时率</w:t>
            </w:r>
          </w:p>
        </w:tc>
        <w:tc>
          <w:tcPr>
            <w:tcW w:w="1276" w:type="dxa"/>
            <w:vAlign w:val="center"/>
          </w:tcPr>
          <w:p>
            <w:pPr>
              <w:pStyle w:val="14"/>
            </w:pPr>
            <w:r>
              <w:t>≥95%</w:t>
            </w:r>
          </w:p>
        </w:tc>
        <w:tc>
          <w:tcPr>
            <w:tcW w:w="1843"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系统运行费用</w:t>
            </w:r>
          </w:p>
        </w:tc>
        <w:tc>
          <w:tcPr>
            <w:tcW w:w="2891" w:type="dxa"/>
            <w:vAlign w:val="center"/>
          </w:tcPr>
          <w:p>
            <w:pPr>
              <w:pStyle w:val="14"/>
            </w:pPr>
            <w:r>
              <w:t>区域视联网正常运行系统费用</w:t>
            </w:r>
          </w:p>
        </w:tc>
        <w:tc>
          <w:tcPr>
            <w:tcW w:w="1276" w:type="dxa"/>
            <w:vAlign w:val="center"/>
          </w:tcPr>
          <w:p>
            <w:pPr>
              <w:pStyle w:val="14"/>
            </w:pPr>
            <w:r>
              <w:t>≤65.44万元</w:t>
            </w:r>
          </w:p>
        </w:tc>
        <w:tc>
          <w:tcPr>
            <w:tcW w:w="1843"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保障服务水平</w:t>
            </w:r>
          </w:p>
        </w:tc>
        <w:tc>
          <w:tcPr>
            <w:tcW w:w="2891" w:type="dxa"/>
            <w:vAlign w:val="center"/>
          </w:tcPr>
          <w:p>
            <w:pPr>
              <w:pStyle w:val="14"/>
            </w:pPr>
            <w:r>
              <w:t>保障视频在线，维护社会稳定</w:t>
            </w:r>
          </w:p>
        </w:tc>
        <w:tc>
          <w:tcPr>
            <w:tcW w:w="1276" w:type="dxa"/>
            <w:vAlign w:val="center"/>
          </w:tcPr>
          <w:p>
            <w:pPr>
              <w:pStyle w:val="14"/>
            </w:pPr>
            <w:r>
              <w:t>社会稳定水平持续提高</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满意度调查</w:t>
            </w:r>
          </w:p>
        </w:tc>
        <w:tc>
          <w:tcPr>
            <w:tcW w:w="2891" w:type="dxa"/>
            <w:vAlign w:val="center"/>
          </w:tcPr>
          <w:p>
            <w:pPr>
              <w:pStyle w:val="14"/>
            </w:pPr>
            <w:r>
              <w:t>满意度调查</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8、社会治安综合治理专项经费绩效目标表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13010724P00011210188B</w:t>
            </w:r>
          </w:p>
        </w:tc>
        <w:tc>
          <w:tcPr>
            <w:tcW w:w="1587" w:type="dxa"/>
            <w:vAlign w:val="center"/>
          </w:tcPr>
          <w:p>
            <w:pPr>
              <w:pStyle w:val="12"/>
            </w:pPr>
            <w:r>
              <w:t>项目名称</w:t>
            </w:r>
          </w:p>
        </w:tc>
        <w:tc>
          <w:tcPr>
            <w:tcW w:w="4423" w:type="dxa"/>
            <w:gridSpan w:val="3"/>
            <w:vAlign w:val="center"/>
          </w:tcPr>
          <w:p>
            <w:pPr>
              <w:pStyle w:val="14"/>
            </w:pPr>
            <w:r>
              <w:t>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5.50</w:t>
            </w:r>
          </w:p>
        </w:tc>
        <w:tc>
          <w:tcPr>
            <w:tcW w:w="1587" w:type="dxa"/>
            <w:vAlign w:val="center"/>
          </w:tcPr>
          <w:p>
            <w:pPr>
              <w:pStyle w:val="12"/>
            </w:pPr>
            <w:r>
              <w:t>其中：财政    资金</w:t>
            </w:r>
          </w:p>
        </w:tc>
        <w:tc>
          <w:tcPr>
            <w:tcW w:w="1304" w:type="dxa"/>
            <w:vAlign w:val="center"/>
          </w:tcPr>
          <w:p>
            <w:pPr>
              <w:pStyle w:val="14"/>
            </w:pPr>
            <w:r>
              <w:t>5.50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1、引导支持开展平安建设群众安全感工作，鼓舞激励先进</w:t>
            </w:r>
          </w:p>
          <w:p>
            <w:pPr>
              <w:pStyle w:val="14"/>
            </w:pPr>
            <w:r>
              <w:t>2、充分调动基层组织创建星级平安村（社区）的工作主动性和创造性，进一步提升全市平安建设水平</w:t>
            </w:r>
          </w:p>
          <w:p>
            <w:pPr>
              <w:pStyle w:val="14"/>
            </w:pPr>
            <w:r>
              <w:t>3、强化国家安全意识，维护社会稳定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1.引导和支持我区开展平安建设群众安全感工作，鼓励激励先进。</w:t>
            </w:r>
          </w:p>
          <w:p>
            <w:pPr>
              <w:pStyle w:val="14"/>
            </w:pPr>
          </w:p>
          <w:p>
            <w:pPr>
              <w:pStyle w:val="14"/>
            </w:pPr>
            <w:r>
              <w:t>2.充分调动基层组织创建星级平安村（社区）的工作主动性和创造性，进一步提升全区平安建设水平。</w:t>
            </w:r>
          </w:p>
          <w:p>
            <w:pPr>
              <w:pStyle w:val="14"/>
            </w:pPr>
            <w:r>
              <w:t>3.强化国家安全意识，维护全区社会稳定。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总成本控制</w:t>
            </w:r>
          </w:p>
        </w:tc>
        <w:tc>
          <w:tcPr>
            <w:tcW w:w="2891" w:type="dxa"/>
            <w:vAlign w:val="center"/>
          </w:tcPr>
          <w:p>
            <w:pPr>
              <w:pStyle w:val="14"/>
            </w:pPr>
            <w:r>
              <w:t>支出总成本</w:t>
            </w:r>
          </w:p>
        </w:tc>
        <w:tc>
          <w:tcPr>
            <w:tcW w:w="1276" w:type="dxa"/>
            <w:vAlign w:val="center"/>
          </w:tcPr>
          <w:p>
            <w:pPr>
              <w:pStyle w:val="14"/>
            </w:pPr>
            <w:r>
              <w:t>≤5.5万元</w:t>
            </w:r>
          </w:p>
        </w:tc>
        <w:tc>
          <w:tcPr>
            <w:tcW w:w="1843"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资金使用率</w:t>
            </w:r>
          </w:p>
        </w:tc>
        <w:tc>
          <w:tcPr>
            <w:tcW w:w="2891" w:type="dxa"/>
            <w:vAlign w:val="center"/>
          </w:tcPr>
          <w:p>
            <w:pPr>
              <w:pStyle w:val="14"/>
            </w:pPr>
            <w:r>
              <w:t>资金使用情况</w:t>
            </w:r>
          </w:p>
        </w:tc>
        <w:tc>
          <w:tcPr>
            <w:tcW w:w="1276" w:type="dxa"/>
            <w:vAlign w:val="center"/>
          </w:tcPr>
          <w:p>
            <w:pPr>
              <w:pStyle w:val="14"/>
            </w:pPr>
            <w:r>
              <w:t>发挥资金效益</w:t>
            </w:r>
          </w:p>
        </w:tc>
        <w:tc>
          <w:tcPr>
            <w:tcW w:w="1843" w:type="dxa"/>
            <w:vAlign w:val="center"/>
          </w:tcPr>
          <w:p>
            <w:pPr>
              <w:pStyle w:val="14"/>
            </w:pPr>
            <w:r>
              <w:t xml:space="preserve">使用情况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资金下达时效</w:t>
            </w:r>
          </w:p>
        </w:tc>
        <w:tc>
          <w:tcPr>
            <w:tcW w:w="2891" w:type="dxa"/>
            <w:vAlign w:val="center"/>
          </w:tcPr>
          <w:p>
            <w:pPr>
              <w:pStyle w:val="14"/>
            </w:pPr>
            <w:r>
              <w:t>资金下达时效</w:t>
            </w:r>
          </w:p>
        </w:tc>
        <w:tc>
          <w:tcPr>
            <w:tcW w:w="1276" w:type="dxa"/>
            <w:vAlign w:val="center"/>
          </w:tcPr>
          <w:p>
            <w:pPr>
              <w:pStyle w:val="14"/>
            </w:pPr>
            <w:r>
              <w:t>足额发放</w:t>
            </w:r>
          </w:p>
        </w:tc>
        <w:tc>
          <w:tcPr>
            <w:tcW w:w="1843"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平安建设水平</w:t>
            </w:r>
          </w:p>
        </w:tc>
        <w:tc>
          <w:tcPr>
            <w:tcW w:w="2891" w:type="dxa"/>
            <w:vAlign w:val="center"/>
          </w:tcPr>
          <w:p>
            <w:pPr>
              <w:pStyle w:val="14"/>
            </w:pPr>
            <w:r>
              <w:t>平安建设水平</w:t>
            </w:r>
          </w:p>
        </w:tc>
        <w:tc>
          <w:tcPr>
            <w:tcW w:w="1276" w:type="dxa"/>
            <w:vAlign w:val="center"/>
          </w:tcPr>
          <w:p>
            <w:pPr>
              <w:pStyle w:val="14"/>
            </w:pPr>
            <w:r>
              <w:t>全区平安建设水平进一步提升</w:t>
            </w:r>
          </w:p>
        </w:tc>
        <w:tc>
          <w:tcPr>
            <w:tcW w:w="1843" w:type="dxa"/>
            <w:vAlign w:val="center"/>
          </w:tcPr>
          <w:p>
            <w:pPr>
              <w:pStyle w:val="14"/>
            </w:pPr>
            <w:r>
              <w:t>文件、成果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社会效益指标</w:t>
            </w:r>
          </w:p>
        </w:tc>
        <w:tc>
          <w:tcPr>
            <w:tcW w:w="1332" w:type="dxa"/>
            <w:vAlign w:val="center"/>
          </w:tcPr>
          <w:p>
            <w:pPr>
              <w:pStyle w:val="14"/>
            </w:pPr>
            <w:r>
              <w:t>安全意识及社会稳定持续影响</w:t>
            </w:r>
          </w:p>
        </w:tc>
        <w:tc>
          <w:tcPr>
            <w:tcW w:w="2891" w:type="dxa"/>
            <w:vAlign w:val="center"/>
          </w:tcPr>
          <w:p>
            <w:pPr>
              <w:pStyle w:val="14"/>
            </w:pPr>
            <w:r>
              <w:t>安全意识、社会稳定水平</w:t>
            </w:r>
          </w:p>
        </w:tc>
        <w:tc>
          <w:tcPr>
            <w:tcW w:w="1276" w:type="dxa"/>
            <w:vAlign w:val="center"/>
          </w:tcPr>
          <w:p>
            <w:pPr>
              <w:pStyle w:val="14"/>
            </w:pPr>
            <w:r>
              <w:t>国家安全意识进一步增强，社会和谐稳定</w:t>
            </w:r>
          </w:p>
        </w:tc>
        <w:tc>
          <w:tcPr>
            <w:tcW w:w="1843" w:type="dxa"/>
            <w:vAlign w:val="center"/>
          </w:tcPr>
          <w:p>
            <w:pPr>
              <w:pStyle w:val="14"/>
            </w:pPr>
            <w:r>
              <w:t>文件、成果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人民群众满意度</w:t>
            </w:r>
          </w:p>
        </w:tc>
        <w:tc>
          <w:tcPr>
            <w:tcW w:w="2891" w:type="dxa"/>
            <w:vAlign w:val="center"/>
          </w:tcPr>
          <w:p>
            <w:pPr>
              <w:pStyle w:val="14"/>
            </w:pPr>
            <w:r>
              <w:t>群众安全感</w:t>
            </w:r>
          </w:p>
        </w:tc>
        <w:tc>
          <w:tcPr>
            <w:tcW w:w="1276" w:type="dxa"/>
            <w:vAlign w:val="center"/>
          </w:tcPr>
          <w:p>
            <w:pPr>
              <w:pStyle w:val="14"/>
            </w:pPr>
            <w:r>
              <w:t>≥90%</w:t>
            </w:r>
          </w:p>
        </w:tc>
        <w:tc>
          <w:tcPr>
            <w:tcW w:w="1843" w:type="dxa"/>
            <w:vAlign w:val="center"/>
          </w:tcPr>
          <w:p>
            <w:pPr>
              <w:pStyle w:val="14"/>
            </w:pPr>
            <w:r>
              <w:t>群众安全感调查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9、市域社会治理现代化及常态化扫黑除恶经费绩效目标表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13010724P00011210140Y</w:t>
            </w:r>
          </w:p>
        </w:tc>
        <w:tc>
          <w:tcPr>
            <w:tcW w:w="1587" w:type="dxa"/>
            <w:vAlign w:val="center"/>
          </w:tcPr>
          <w:p>
            <w:pPr>
              <w:pStyle w:val="12"/>
            </w:pPr>
            <w:r>
              <w:t>项目名称</w:t>
            </w:r>
          </w:p>
        </w:tc>
        <w:tc>
          <w:tcPr>
            <w:tcW w:w="4423" w:type="dxa"/>
            <w:gridSpan w:val="3"/>
            <w:vAlign w:val="center"/>
          </w:tcPr>
          <w:p>
            <w:pPr>
              <w:pStyle w:val="14"/>
            </w:pPr>
            <w:r>
              <w:t>市域社会治理现代化及常态化扫黑除恶经费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以市域社会现代化为抓手，开展常态化扫黑除恶，发挥综治中心实战化作用，开展系列平安建设创建活动，提升社会治理水平。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1.50</w:t>
            </w:r>
          </w:p>
        </w:tc>
        <w:tc>
          <w:tcPr>
            <w:tcW w:w="1304" w:type="dxa"/>
            <w:vAlign w:val="center"/>
          </w:tcPr>
          <w:p>
            <w:pPr>
              <w:pStyle w:val="15"/>
            </w:pPr>
            <w:r>
              <w:t xml:space="preserve"> </w:t>
            </w:r>
          </w:p>
        </w:tc>
        <w:tc>
          <w:tcPr>
            <w:tcW w:w="3119" w:type="dxa"/>
            <w:gridSpan w:val="2"/>
            <w:vAlign w:val="center"/>
          </w:tcPr>
          <w:p>
            <w:pPr>
              <w:pStyle w:val="15"/>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1.以市域社会现代化为抓手，开展常态化扫黑除恶，发挥综治中心实战化作用，开展系列平安建设创建活动，提升社会治理水平。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保障工作种类</w:t>
            </w:r>
          </w:p>
        </w:tc>
        <w:tc>
          <w:tcPr>
            <w:tcW w:w="2891" w:type="dxa"/>
            <w:vAlign w:val="center"/>
          </w:tcPr>
          <w:p>
            <w:pPr>
              <w:pStyle w:val="14"/>
            </w:pPr>
            <w:r>
              <w:t>保障宣传、办公等日常工作种类</w:t>
            </w:r>
          </w:p>
        </w:tc>
        <w:tc>
          <w:tcPr>
            <w:tcW w:w="1276" w:type="dxa"/>
            <w:vAlign w:val="center"/>
          </w:tcPr>
          <w:p>
            <w:pPr>
              <w:pStyle w:val="14"/>
            </w:pPr>
            <w:r>
              <w:t>3类</w:t>
            </w:r>
          </w:p>
        </w:tc>
        <w:tc>
          <w:tcPr>
            <w:tcW w:w="1843" w:type="dxa"/>
            <w:vAlign w:val="center"/>
          </w:tcPr>
          <w:p>
            <w:pPr>
              <w:pStyle w:val="14"/>
            </w:pPr>
            <w:r>
              <w:t>参照往年实际情况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工作完成率</w:t>
            </w:r>
          </w:p>
        </w:tc>
        <w:tc>
          <w:tcPr>
            <w:tcW w:w="2891" w:type="dxa"/>
            <w:vAlign w:val="center"/>
          </w:tcPr>
          <w:p>
            <w:pPr>
              <w:pStyle w:val="14"/>
            </w:pPr>
            <w:r>
              <w:t>常态化扫黑除恶工作完成情况</w:t>
            </w:r>
          </w:p>
        </w:tc>
        <w:tc>
          <w:tcPr>
            <w:tcW w:w="1276" w:type="dxa"/>
            <w:vAlign w:val="center"/>
          </w:tcPr>
          <w:p>
            <w:pPr>
              <w:pStyle w:val="14"/>
            </w:pPr>
            <w:r>
              <w:t>≥95%</w:t>
            </w:r>
          </w:p>
        </w:tc>
        <w:tc>
          <w:tcPr>
            <w:tcW w:w="1843" w:type="dxa"/>
            <w:vAlign w:val="center"/>
          </w:tcPr>
          <w:p>
            <w:pPr>
              <w:pStyle w:val="14"/>
            </w:pPr>
            <w:r>
              <w:t>参照往年实际情况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各项工作及时性</w:t>
            </w:r>
          </w:p>
        </w:tc>
        <w:tc>
          <w:tcPr>
            <w:tcW w:w="2891" w:type="dxa"/>
            <w:vAlign w:val="center"/>
          </w:tcPr>
          <w:p>
            <w:pPr>
              <w:pStyle w:val="14"/>
            </w:pPr>
            <w:r>
              <w:t>根据工作安排，任务完成的及时性</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办公费金额</w:t>
            </w:r>
          </w:p>
        </w:tc>
        <w:tc>
          <w:tcPr>
            <w:tcW w:w="2891" w:type="dxa"/>
            <w:vAlign w:val="center"/>
          </w:tcPr>
          <w:p>
            <w:pPr>
              <w:pStyle w:val="14"/>
            </w:pPr>
            <w:r>
              <w:t>常态化扫黑除恶办公费用</w:t>
            </w:r>
          </w:p>
        </w:tc>
        <w:tc>
          <w:tcPr>
            <w:tcW w:w="1276" w:type="dxa"/>
            <w:vAlign w:val="center"/>
          </w:tcPr>
          <w:p>
            <w:pPr>
              <w:pStyle w:val="14"/>
            </w:pPr>
            <w:r>
              <w:t>≤2万元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差旅费金额</w:t>
            </w:r>
          </w:p>
        </w:tc>
        <w:tc>
          <w:tcPr>
            <w:tcW w:w="2891" w:type="dxa"/>
            <w:vAlign w:val="center"/>
          </w:tcPr>
          <w:p>
            <w:pPr>
              <w:pStyle w:val="14"/>
            </w:pPr>
            <w:r>
              <w:t>常态化扫黑除恶差旅费用</w:t>
            </w:r>
          </w:p>
        </w:tc>
        <w:tc>
          <w:tcPr>
            <w:tcW w:w="1276" w:type="dxa"/>
            <w:vAlign w:val="center"/>
          </w:tcPr>
          <w:p>
            <w:pPr>
              <w:pStyle w:val="14"/>
            </w:pPr>
            <w:r>
              <w:t>≤0.5万元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印刷费金额</w:t>
            </w:r>
          </w:p>
        </w:tc>
        <w:tc>
          <w:tcPr>
            <w:tcW w:w="2891" w:type="dxa"/>
            <w:vAlign w:val="center"/>
          </w:tcPr>
          <w:p>
            <w:pPr>
              <w:pStyle w:val="14"/>
            </w:pPr>
            <w:r>
              <w:t>常态化扫黑除恶印刷费用</w:t>
            </w:r>
          </w:p>
        </w:tc>
        <w:tc>
          <w:tcPr>
            <w:tcW w:w="1276" w:type="dxa"/>
            <w:vAlign w:val="center"/>
          </w:tcPr>
          <w:p>
            <w:pPr>
              <w:pStyle w:val="14"/>
            </w:pPr>
            <w:r>
              <w:t>≤0.5万元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社会稳定水平</w:t>
            </w:r>
          </w:p>
        </w:tc>
        <w:tc>
          <w:tcPr>
            <w:tcW w:w="2891" w:type="dxa"/>
            <w:vAlign w:val="center"/>
          </w:tcPr>
          <w:p>
            <w:pPr>
              <w:pStyle w:val="14"/>
            </w:pPr>
            <w:r>
              <w:t>社会稳定水平持续提高</w:t>
            </w:r>
          </w:p>
        </w:tc>
        <w:tc>
          <w:tcPr>
            <w:tcW w:w="1276" w:type="dxa"/>
            <w:vAlign w:val="center"/>
          </w:tcPr>
          <w:p>
            <w:pPr>
              <w:pStyle w:val="14"/>
            </w:pPr>
            <w:r>
              <w:t>社会稳定水平持续提高</w:t>
            </w:r>
          </w:p>
        </w:tc>
        <w:tc>
          <w:tcPr>
            <w:tcW w:w="1843" w:type="dxa"/>
            <w:vAlign w:val="center"/>
          </w:tcPr>
          <w:p>
            <w:pPr>
              <w:pStyle w:val="14"/>
            </w:pPr>
            <w:r>
              <w:t>社会稳定水平持续提高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10、网格工作经费绩效目标表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13010724P000112101380</w:t>
            </w:r>
          </w:p>
        </w:tc>
        <w:tc>
          <w:tcPr>
            <w:tcW w:w="1587" w:type="dxa"/>
            <w:vAlign w:val="center"/>
          </w:tcPr>
          <w:p>
            <w:pPr>
              <w:pStyle w:val="12"/>
            </w:pPr>
            <w:r>
              <w:t>项目名称</w:t>
            </w:r>
          </w:p>
        </w:tc>
        <w:tc>
          <w:tcPr>
            <w:tcW w:w="4423" w:type="dxa"/>
            <w:gridSpan w:val="3"/>
            <w:vAlign w:val="center"/>
          </w:tcPr>
          <w:p>
            <w:pPr>
              <w:pStyle w:val="14"/>
            </w:pPr>
            <w:r>
              <w:t>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1.08</w:t>
            </w:r>
          </w:p>
        </w:tc>
        <w:tc>
          <w:tcPr>
            <w:tcW w:w="1587" w:type="dxa"/>
            <w:vAlign w:val="center"/>
          </w:tcPr>
          <w:p>
            <w:pPr>
              <w:pStyle w:val="12"/>
            </w:pPr>
            <w:r>
              <w:t>其中：财政    资金</w:t>
            </w:r>
          </w:p>
        </w:tc>
        <w:tc>
          <w:tcPr>
            <w:tcW w:w="1304" w:type="dxa"/>
            <w:vAlign w:val="center"/>
          </w:tcPr>
          <w:p>
            <w:pPr>
              <w:pStyle w:val="14"/>
            </w:pPr>
            <w:r>
              <w:t>1.08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用于提升网格化服务管理水平，保障视联网传输服务正常运转。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1.用于提升网格化服务管理水平，保障视联网传输服务正常运转。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覆盖数量</w:t>
            </w:r>
          </w:p>
        </w:tc>
        <w:tc>
          <w:tcPr>
            <w:tcW w:w="2891" w:type="dxa"/>
            <w:vAlign w:val="center"/>
          </w:tcPr>
          <w:p>
            <w:pPr>
              <w:pStyle w:val="14"/>
            </w:pPr>
            <w:r>
              <w:t>政法委视联网覆盖数量</w:t>
            </w:r>
          </w:p>
        </w:tc>
        <w:tc>
          <w:tcPr>
            <w:tcW w:w="1276" w:type="dxa"/>
            <w:vAlign w:val="center"/>
          </w:tcPr>
          <w:p>
            <w:pPr>
              <w:pStyle w:val="14"/>
            </w:pPr>
            <w:r>
              <w:t>≤49端口</w:t>
            </w:r>
          </w:p>
        </w:tc>
        <w:tc>
          <w:tcPr>
            <w:tcW w:w="1843" w:type="dxa"/>
            <w:vAlign w:val="center"/>
          </w:tcPr>
          <w:p>
            <w:pPr>
              <w:pStyle w:val="14"/>
            </w:pPr>
            <w:r>
              <w:t>全区视联网会议系统点位数量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故障率</w:t>
            </w:r>
          </w:p>
        </w:tc>
        <w:tc>
          <w:tcPr>
            <w:tcW w:w="2891" w:type="dxa"/>
            <w:vAlign w:val="center"/>
          </w:tcPr>
          <w:p>
            <w:pPr>
              <w:pStyle w:val="14"/>
            </w:pPr>
            <w:r>
              <w:t>系统故障率</w:t>
            </w:r>
          </w:p>
        </w:tc>
        <w:tc>
          <w:tcPr>
            <w:tcW w:w="1276" w:type="dxa"/>
            <w:vAlign w:val="center"/>
          </w:tcPr>
          <w:p>
            <w:pPr>
              <w:pStyle w:val="14"/>
            </w:pPr>
            <w:r>
              <w:t>≤30%</w:t>
            </w:r>
          </w:p>
        </w:tc>
        <w:tc>
          <w:tcPr>
            <w:tcW w:w="1843" w:type="dxa"/>
            <w:vAlign w:val="center"/>
          </w:tcPr>
          <w:p>
            <w:pPr>
              <w:pStyle w:val="14"/>
            </w:pPr>
            <w:r>
              <w:t>故障记录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信号服务精准度</w:t>
            </w:r>
          </w:p>
        </w:tc>
        <w:tc>
          <w:tcPr>
            <w:tcW w:w="1276" w:type="dxa"/>
            <w:vAlign w:val="center"/>
          </w:tcPr>
          <w:p>
            <w:pPr>
              <w:pStyle w:val="14"/>
            </w:pPr>
            <w:r>
              <w:t>≥95%</w:t>
            </w:r>
          </w:p>
        </w:tc>
        <w:tc>
          <w:tcPr>
            <w:tcW w:w="1843" w:type="dxa"/>
            <w:vAlign w:val="center"/>
          </w:tcPr>
          <w:p>
            <w:pPr>
              <w:pStyle w:val="14"/>
            </w:pPr>
            <w:r>
              <w:t>会议如期举行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视联网传输服务费</w:t>
            </w:r>
          </w:p>
        </w:tc>
        <w:tc>
          <w:tcPr>
            <w:tcW w:w="1276" w:type="dxa"/>
            <w:vAlign w:val="center"/>
          </w:tcPr>
          <w:p>
            <w:pPr>
              <w:pStyle w:val="14"/>
            </w:pPr>
            <w:r>
              <w:t>≤1.08万元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社会稳定水平</w:t>
            </w:r>
          </w:p>
        </w:tc>
        <w:tc>
          <w:tcPr>
            <w:tcW w:w="2891" w:type="dxa"/>
            <w:vAlign w:val="center"/>
          </w:tcPr>
          <w:p>
            <w:pPr>
              <w:pStyle w:val="14"/>
            </w:pPr>
            <w:r>
              <w:t>社会稳定水平</w:t>
            </w:r>
          </w:p>
        </w:tc>
        <w:tc>
          <w:tcPr>
            <w:tcW w:w="1276" w:type="dxa"/>
            <w:vAlign w:val="center"/>
          </w:tcPr>
          <w:p>
            <w:pPr>
              <w:pStyle w:val="14"/>
            </w:pPr>
            <w:r>
              <w:t>社会稳定水平</w:t>
            </w:r>
          </w:p>
        </w:tc>
        <w:tc>
          <w:tcPr>
            <w:tcW w:w="1843" w:type="dxa"/>
            <w:vAlign w:val="center"/>
          </w:tcPr>
          <w:p>
            <w:pPr>
              <w:pStyle w:val="14"/>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满意度调查</w:t>
            </w:r>
          </w:p>
        </w:tc>
        <w:tc>
          <w:tcPr>
            <w:tcW w:w="2891" w:type="dxa"/>
            <w:vAlign w:val="center"/>
          </w:tcPr>
          <w:p>
            <w:pPr>
              <w:pStyle w:val="14"/>
            </w:pPr>
            <w:r>
              <w:t>满意度调查</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11、严重精神障碍患者责任人责任险经费绩效目标表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13010724P00011210139K</w:t>
            </w:r>
          </w:p>
        </w:tc>
        <w:tc>
          <w:tcPr>
            <w:tcW w:w="1587" w:type="dxa"/>
            <w:vAlign w:val="center"/>
          </w:tcPr>
          <w:p>
            <w:pPr>
              <w:pStyle w:val="12"/>
            </w:pPr>
            <w:r>
              <w:t>项目名称</w:t>
            </w:r>
          </w:p>
        </w:tc>
        <w:tc>
          <w:tcPr>
            <w:tcW w:w="4423" w:type="dxa"/>
            <w:gridSpan w:val="3"/>
            <w:vAlign w:val="center"/>
          </w:tcPr>
          <w:p>
            <w:pPr>
              <w:pStyle w:val="14"/>
            </w:pPr>
            <w:r>
              <w:t>严重精神障碍患者责任人责任险经费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4.31</w:t>
            </w:r>
          </w:p>
        </w:tc>
        <w:tc>
          <w:tcPr>
            <w:tcW w:w="1587" w:type="dxa"/>
            <w:vAlign w:val="center"/>
          </w:tcPr>
          <w:p>
            <w:pPr>
              <w:pStyle w:val="12"/>
            </w:pPr>
            <w:r>
              <w:t>其中：财政    资金</w:t>
            </w:r>
          </w:p>
        </w:tc>
        <w:tc>
          <w:tcPr>
            <w:tcW w:w="1304" w:type="dxa"/>
            <w:vAlign w:val="center"/>
          </w:tcPr>
          <w:p>
            <w:pPr>
              <w:pStyle w:val="14"/>
            </w:pPr>
            <w:r>
              <w:t>4.31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全区精神障碍患者责任人责任险实现全覆盖，促进社会稳定水平持续提高。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4.31</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1.全区精神障碍患者责任人责任险实现全覆盖，促进社会稳定水平持续提高。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覆盖率</w:t>
            </w:r>
          </w:p>
        </w:tc>
        <w:tc>
          <w:tcPr>
            <w:tcW w:w="2891" w:type="dxa"/>
            <w:vAlign w:val="center"/>
          </w:tcPr>
          <w:p>
            <w:pPr>
              <w:pStyle w:val="14"/>
            </w:pPr>
            <w:r>
              <w:t>精神障碍患者覆盖率</w:t>
            </w:r>
          </w:p>
        </w:tc>
        <w:tc>
          <w:tcPr>
            <w:tcW w:w="1276" w:type="dxa"/>
            <w:vAlign w:val="center"/>
          </w:tcPr>
          <w:p>
            <w:pPr>
              <w:pStyle w:val="14"/>
            </w:pPr>
            <w:r>
              <w:t>≥95%</w:t>
            </w:r>
          </w:p>
        </w:tc>
        <w:tc>
          <w:tcPr>
            <w:tcW w:w="1843" w:type="dxa"/>
            <w:vAlign w:val="center"/>
          </w:tcPr>
          <w:p>
            <w:pPr>
              <w:pStyle w:val="14"/>
            </w:pPr>
            <w:r>
              <w:t>精神障碍患者名册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优良率</w:t>
            </w:r>
          </w:p>
        </w:tc>
        <w:tc>
          <w:tcPr>
            <w:tcW w:w="2891" w:type="dxa"/>
            <w:vAlign w:val="center"/>
          </w:tcPr>
          <w:p>
            <w:pPr>
              <w:pStyle w:val="14"/>
            </w:pPr>
            <w:r>
              <w:t>保险保障精准度</w:t>
            </w:r>
          </w:p>
        </w:tc>
        <w:tc>
          <w:tcPr>
            <w:tcW w:w="1276" w:type="dxa"/>
            <w:vAlign w:val="center"/>
          </w:tcPr>
          <w:p>
            <w:pPr>
              <w:pStyle w:val="14"/>
            </w:pPr>
            <w:r>
              <w:t>≥95%</w:t>
            </w:r>
          </w:p>
        </w:tc>
        <w:tc>
          <w:tcPr>
            <w:tcW w:w="1843" w:type="dxa"/>
            <w:vAlign w:val="center"/>
          </w:tcPr>
          <w:p>
            <w:pPr>
              <w:pStyle w:val="14"/>
            </w:pPr>
            <w:r>
              <w:t>保险单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完成及时率</w:t>
            </w:r>
          </w:p>
        </w:tc>
        <w:tc>
          <w:tcPr>
            <w:tcW w:w="2891" w:type="dxa"/>
            <w:vAlign w:val="center"/>
          </w:tcPr>
          <w:p>
            <w:pPr>
              <w:pStyle w:val="14"/>
            </w:pPr>
            <w:r>
              <w:t>保险续接时限</w:t>
            </w:r>
          </w:p>
        </w:tc>
        <w:tc>
          <w:tcPr>
            <w:tcW w:w="1276" w:type="dxa"/>
            <w:vAlign w:val="center"/>
          </w:tcPr>
          <w:p>
            <w:pPr>
              <w:pStyle w:val="14"/>
            </w:pPr>
            <w:r>
              <w:t>按年度正常续接</w:t>
            </w:r>
          </w:p>
        </w:tc>
        <w:tc>
          <w:tcPr>
            <w:tcW w:w="1843" w:type="dxa"/>
            <w:vAlign w:val="center"/>
          </w:tcPr>
          <w:p>
            <w:pPr>
              <w:pStyle w:val="14"/>
            </w:pPr>
            <w:r>
              <w:t>保险单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全年预算资金额</w:t>
            </w:r>
          </w:p>
        </w:tc>
        <w:tc>
          <w:tcPr>
            <w:tcW w:w="1276" w:type="dxa"/>
            <w:vAlign w:val="center"/>
          </w:tcPr>
          <w:p>
            <w:pPr>
              <w:pStyle w:val="14"/>
            </w:pPr>
            <w:r>
              <w:t>≤4.31万元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保障服务水平</w:t>
            </w:r>
          </w:p>
        </w:tc>
        <w:tc>
          <w:tcPr>
            <w:tcW w:w="2891" w:type="dxa"/>
            <w:vAlign w:val="center"/>
          </w:tcPr>
          <w:p>
            <w:pPr>
              <w:pStyle w:val="14"/>
            </w:pPr>
            <w:r>
              <w:t>维护社会稳定</w:t>
            </w:r>
          </w:p>
        </w:tc>
        <w:tc>
          <w:tcPr>
            <w:tcW w:w="1276" w:type="dxa"/>
            <w:vAlign w:val="center"/>
          </w:tcPr>
          <w:p>
            <w:pPr>
              <w:pStyle w:val="14"/>
            </w:pPr>
            <w:r>
              <w:t>社会稳定水平</w:t>
            </w:r>
          </w:p>
        </w:tc>
        <w:tc>
          <w:tcPr>
            <w:tcW w:w="1843" w:type="dxa"/>
            <w:vAlign w:val="center"/>
          </w:tcPr>
          <w:p>
            <w:pPr>
              <w:pStyle w:val="14"/>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满意度调查</w:t>
            </w:r>
          </w:p>
        </w:tc>
        <w:tc>
          <w:tcPr>
            <w:tcW w:w="2891" w:type="dxa"/>
            <w:vAlign w:val="center"/>
          </w:tcPr>
          <w:p>
            <w:pPr>
              <w:pStyle w:val="14"/>
            </w:pPr>
            <w:r>
              <w:t>满意度调查</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12、政法四级网运保费绩效目标表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13010724P000112101426</w:t>
            </w:r>
          </w:p>
        </w:tc>
        <w:tc>
          <w:tcPr>
            <w:tcW w:w="1587" w:type="dxa"/>
            <w:vAlign w:val="center"/>
          </w:tcPr>
          <w:p>
            <w:pPr>
              <w:pStyle w:val="12"/>
            </w:pPr>
            <w:r>
              <w:t>项目名称</w:t>
            </w:r>
          </w:p>
        </w:tc>
        <w:tc>
          <w:tcPr>
            <w:tcW w:w="4423" w:type="dxa"/>
            <w:gridSpan w:val="3"/>
            <w:vAlign w:val="center"/>
          </w:tcPr>
          <w:p>
            <w:pPr>
              <w:pStyle w:val="14"/>
            </w:pPr>
            <w:r>
              <w:t>政法四级网运保费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80.20</w:t>
            </w:r>
          </w:p>
        </w:tc>
        <w:tc>
          <w:tcPr>
            <w:tcW w:w="1587" w:type="dxa"/>
            <w:vAlign w:val="center"/>
          </w:tcPr>
          <w:p>
            <w:pPr>
              <w:pStyle w:val="12"/>
            </w:pPr>
            <w:r>
              <w:t>其中：财政    资金</w:t>
            </w:r>
          </w:p>
        </w:tc>
        <w:tc>
          <w:tcPr>
            <w:tcW w:w="1304" w:type="dxa"/>
            <w:vAlign w:val="center"/>
          </w:tcPr>
          <w:p>
            <w:pPr>
              <w:pStyle w:val="14"/>
            </w:pPr>
            <w:r>
              <w:t>80.20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保障政法四级网设备安全稳定运行，确保政法系统内网信息传输环境安全。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40.10</w:t>
            </w:r>
          </w:p>
        </w:tc>
        <w:tc>
          <w:tcPr>
            <w:tcW w:w="1304" w:type="dxa"/>
            <w:vAlign w:val="center"/>
          </w:tcPr>
          <w:p>
            <w:pPr>
              <w:pStyle w:val="15"/>
            </w:pPr>
            <w:r>
              <w:t xml:space="preserve"> </w:t>
            </w:r>
          </w:p>
        </w:tc>
        <w:tc>
          <w:tcPr>
            <w:tcW w:w="3119" w:type="dxa"/>
            <w:gridSpan w:val="2"/>
            <w:vAlign w:val="center"/>
          </w:tcPr>
          <w:p>
            <w:pPr>
              <w:pStyle w:val="15"/>
            </w:pPr>
            <w:r>
              <w:t>80.20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1.保障政法四级网设备安全稳定运行，确保政法系统内网信息传输环境安全。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网络正常运行天数</w:t>
            </w:r>
          </w:p>
        </w:tc>
        <w:tc>
          <w:tcPr>
            <w:tcW w:w="2891" w:type="dxa"/>
            <w:vAlign w:val="center"/>
          </w:tcPr>
          <w:p>
            <w:pPr>
              <w:pStyle w:val="14"/>
            </w:pPr>
            <w:r>
              <w:t>政法四级网正常运行天数</w:t>
            </w:r>
          </w:p>
        </w:tc>
        <w:tc>
          <w:tcPr>
            <w:tcW w:w="1276" w:type="dxa"/>
            <w:vAlign w:val="center"/>
          </w:tcPr>
          <w:p>
            <w:pPr>
              <w:pStyle w:val="14"/>
            </w:pPr>
            <w:r>
              <w:t>≥360天</w:t>
            </w:r>
          </w:p>
        </w:tc>
        <w:tc>
          <w:tcPr>
            <w:tcW w:w="1843"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网络系统故障率</w:t>
            </w:r>
          </w:p>
        </w:tc>
        <w:tc>
          <w:tcPr>
            <w:tcW w:w="2891" w:type="dxa"/>
            <w:vAlign w:val="center"/>
          </w:tcPr>
          <w:p>
            <w:pPr>
              <w:pStyle w:val="14"/>
            </w:pPr>
            <w:r>
              <w:t>政法四级网网络系统故障率</w:t>
            </w:r>
          </w:p>
        </w:tc>
        <w:tc>
          <w:tcPr>
            <w:tcW w:w="1276" w:type="dxa"/>
            <w:vAlign w:val="center"/>
          </w:tcPr>
          <w:p>
            <w:pPr>
              <w:pStyle w:val="14"/>
            </w:pPr>
            <w:r>
              <w:t>≤5%</w:t>
            </w:r>
          </w:p>
        </w:tc>
        <w:tc>
          <w:tcPr>
            <w:tcW w:w="1843"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故障响应时效</w:t>
            </w:r>
          </w:p>
        </w:tc>
        <w:tc>
          <w:tcPr>
            <w:tcW w:w="2891" w:type="dxa"/>
            <w:vAlign w:val="center"/>
          </w:tcPr>
          <w:p>
            <w:pPr>
              <w:pStyle w:val="14"/>
            </w:pPr>
            <w:r>
              <w:t>政法四级网系统发生故障响应时间</w:t>
            </w:r>
          </w:p>
        </w:tc>
        <w:tc>
          <w:tcPr>
            <w:tcW w:w="1276" w:type="dxa"/>
            <w:vAlign w:val="center"/>
          </w:tcPr>
          <w:p>
            <w:pPr>
              <w:pStyle w:val="14"/>
            </w:pPr>
            <w:r>
              <w:t>≤24小时</w:t>
            </w:r>
          </w:p>
        </w:tc>
        <w:tc>
          <w:tcPr>
            <w:tcW w:w="1843"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运行系统费用</w:t>
            </w:r>
          </w:p>
        </w:tc>
        <w:tc>
          <w:tcPr>
            <w:tcW w:w="2891" w:type="dxa"/>
            <w:vAlign w:val="center"/>
          </w:tcPr>
          <w:p>
            <w:pPr>
              <w:pStyle w:val="14"/>
            </w:pPr>
            <w:r>
              <w:t>政法四级网正产运行系统维护费用</w:t>
            </w:r>
          </w:p>
        </w:tc>
        <w:tc>
          <w:tcPr>
            <w:tcW w:w="1276" w:type="dxa"/>
            <w:vAlign w:val="center"/>
          </w:tcPr>
          <w:p>
            <w:pPr>
              <w:pStyle w:val="14"/>
            </w:pPr>
            <w:r>
              <w:t>≤80.2万元</w:t>
            </w:r>
          </w:p>
        </w:tc>
        <w:tc>
          <w:tcPr>
            <w:tcW w:w="1843"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保障业务传输安全</w:t>
            </w:r>
          </w:p>
        </w:tc>
        <w:tc>
          <w:tcPr>
            <w:tcW w:w="2891" w:type="dxa"/>
            <w:vAlign w:val="center"/>
          </w:tcPr>
          <w:p>
            <w:pPr>
              <w:pStyle w:val="14"/>
            </w:pPr>
            <w:r>
              <w:t>传输无泄密事件发生</w:t>
            </w:r>
          </w:p>
        </w:tc>
        <w:tc>
          <w:tcPr>
            <w:tcW w:w="1276" w:type="dxa"/>
            <w:vAlign w:val="center"/>
          </w:tcPr>
          <w:p>
            <w:pPr>
              <w:pStyle w:val="14"/>
            </w:pPr>
            <w:r>
              <w:t>内网信息传输安全可靠达到物理隔离</w:t>
            </w:r>
          </w:p>
        </w:tc>
        <w:tc>
          <w:tcPr>
            <w:tcW w:w="1843" w:type="dxa"/>
            <w:vAlign w:val="center"/>
          </w:tcPr>
          <w:p>
            <w:pPr>
              <w:pStyle w:val="14"/>
            </w:pPr>
            <w:r>
              <w:t>参照实际情况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用户满意度</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13、政法信息专网线路传输服务经费绩效目标表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13010724P00011210137C</w:t>
            </w:r>
          </w:p>
        </w:tc>
        <w:tc>
          <w:tcPr>
            <w:tcW w:w="1587" w:type="dxa"/>
            <w:vAlign w:val="center"/>
          </w:tcPr>
          <w:p>
            <w:pPr>
              <w:pStyle w:val="12"/>
            </w:pPr>
            <w:r>
              <w:t>项目名称</w:t>
            </w:r>
          </w:p>
        </w:tc>
        <w:tc>
          <w:tcPr>
            <w:tcW w:w="4423" w:type="dxa"/>
            <w:gridSpan w:val="3"/>
            <w:vAlign w:val="center"/>
          </w:tcPr>
          <w:p>
            <w:pPr>
              <w:pStyle w:val="14"/>
            </w:pPr>
            <w:r>
              <w:t>政法信息专网线路传输服务经费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2.88</w:t>
            </w:r>
          </w:p>
        </w:tc>
        <w:tc>
          <w:tcPr>
            <w:tcW w:w="1587" w:type="dxa"/>
            <w:vAlign w:val="center"/>
          </w:tcPr>
          <w:p>
            <w:pPr>
              <w:pStyle w:val="12"/>
            </w:pPr>
            <w:r>
              <w:t>其中：财政    资金</w:t>
            </w:r>
          </w:p>
        </w:tc>
        <w:tc>
          <w:tcPr>
            <w:tcW w:w="1304" w:type="dxa"/>
            <w:vAlign w:val="center"/>
          </w:tcPr>
          <w:p>
            <w:pPr>
              <w:pStyle w:val="14"/>
            </w:pPr>
            <w:r>
              <w:t>2.88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加强政法网运行维护，确保内网信息传输系统正常运行，提升政法工作智能化水平。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1.加强政法网运行维护，确保内网信息传输系统正常运行，提升政法工作智能化水平。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运行天数</w:t>
            </w:r>
          </w:p>
        </w:tc>
        <w:tc>
          <w:tcPr>
            <w:tcW w:w="2891" w:type="dxa"/>
            <w:vAlign w:val="center"/>
          </w:tcPr>
          <w:p>
            <w:pPr>
              <w:pStyle w:val="14"/>
            </w:pPr>
            <w:r>
              <w:t>系统运行天数</w:t>
            </w:r>
          </w:p>
        </w:tc>
        <w:tc>
          <w:tcPr>
            <w:tcW w:w="1276" w:type="dxa"/>
            <w:vAlign w:val="center"/>
          </w:tcPr>
          <w:p>
            <w:pPr>
              <w:pStyle w:val="14"/>
            </w:pPr>
            <w:r>
              <w:t>≥360天</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运行质量</w:t>
            </w:r>
          </w:p>
        </w:tc>
        <w:tc>
          <w:tcPr>
            <w:tcW w:w="2891" w:type="dxa"/>
            <w:vAlign w:val="center"/>
          </w:tcPr>
          <w:p>
            <w:pPr>
              <w:pStyle w:val="14"/>
            </w:pPr>
            <w:r>
              <w:t>系统运行质量</w:t>
            </w:r>
          </w:p>
        </w:tc>
        <w:tc>
          <w:tcPr>
            <w:tcW w:w="1276" w:type="dxa"/>
            <w:vAlign w:val="center"/>
          </w:tcPr>
          <w:p>
            <w:pPr>
              <w:pStyle w:val="14"/>
            </w:pPr>
            <w:r>
              <w:t>≥99%</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及时率</w:t>
            </w:r>
          </w:p>
        </w:tc>
        <w:tc>
          <w:tcPr>
            <w:tcW w:w="2891" w:type="dxa"/>
            <w:vAlign w:val="center"/>
          </w:tcPr>
          <w:p>
            <w:pPr>
              <w:pStyle w:val="14"/>
            </w:pPr>
            <w:r>
              <w:t>维护任务完成及时率</w:t>
            </w:r>
          </w:p>
        </w:tc>
        <w:tc>
          <w:tcPr>
            <w:tcW w:w="1276" w:type="dxa"/>
            <w:vAlign w:val="center"/>
          </w:tcPr>
          <w:p>
            <w:pPr>
              <w:pStyle w:val="14"/>
            </w:pPr>
            <w:r>
              <w:t>≥95%</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预算资金额</w:t>
            </w:r>
          </w:p>
        </w:tc>
        <w:tc>
          <w:tcPr>
            <w:tcW w:w="2891" w:type="dxa"/>
            <w:vAlign w:val="center"/>
          </w:tcPr>
          <w:p>
            <w:pPr>
              <w:pStyle w:val="14"/>
            </w:pPr>
            <w:r>
              <w:t>全年预算资金额</w:t>
            </w:r>
          </w:p>
        </w:tc>
        <w:tc>
          <w:tcPr>
            <w:tcW w:w="1276" w:type="dxa"/>
            <w:vAlign w:val="center"/>
          </w:tcPr>
          <w:p>
            <w:pPr>
              <w:pStyle w:val="14"/>
            </w:pPr>
            <w:r>
              <w:t>≤2.88万元</w:t>
            </w:r>
          </w:p>
        </w:tc>
        <w:tc>
          <w:tcPr>
            <w:tcW w:w="1843" w:type="dxa"/>
            <w:vAlign w:val="center"/>
          </w:tcPr>
          <w:p>
            <w:pPr>
              <w:pStyle w:val="14"/>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服务保障水平</w:t>
            </w:r>
          </w:p>
        </w:tc>
        <w:tc>
          <w:tcPr>
            <w:tcW w:w="2891" w:type="dxa"/>
            <w:vAlign w:val="center"/>
          </w:tcPr>
          <w:p>
            <w:pPr>
              <w:pStyle w:val="14"/>
            </w:pPr>
            <w:r>
              <w:t>提升智能化水平</w:t>
            </w:r>
          </w:p>
        </w:tc>
        <w:tc>
          <w:tcPr>
            <w:tcW w:w="1276" w:type="dxa"/>
            <w:vAlign w:val="center"/>
          </w:tcPr>
          <w:p>
            <w:pPr>
              <w:pStyle w:val="14"/>
            </w:pPr>
            <w:r>
              <w:t>≥95%</w:t>
            </w:r>
          </w:p>
        </w:tc>
        <w:tc>
          <w:tcPr>
            <w:tcW w:w="1843" w:type="dxa"/>
            <w:vAlign w:val="center"/>
          </w:tcPr>
          <w:p>
            <w:pPr>
              <w:pStyle w:val="14"/>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群众满意度</w:t>
            </w:r>
          </w:p>
        </w:tc>
        <w:tc>
          <w:tcPr>
            <w:tcW w:w="1276" w:type="dxa"/>
            <w:vAlign w:val="center"/>
          </w:tcPr>
          <w:p>
            <w:pPr>
              <w:pStyle w:val="14"/>
            </w:pPr>
            <w:r>
              <w:t>≥95%</w:t>
            </w:r>
          </w:p>
        </w:tc>
        <w:tc>
          <w:tcPr>
            <w:tcW w:w="1843"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14、治安保险经费绩效目标表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13010724P00011210141J</w:t>
            </w:r>
          </w:p>
        </w:tc>
        <w:tc>
          <w:tcPr>
            <w:tcW w:w="1587" w:type="dxa"/>
            <w:vAlign w:val="center"/>
          </w:tcPr>
          <w:p>
            <w:pPr>
              <w:pStyle w:val="12"/>
            </w:pPr>
            <w:r>
              <w:t>项目名称</w:t>
            </w:r>
          </w:p>
        </w:tc>
        <w:tc>
          <w:tcPr>
            <w:tcW w:w="4423" w:type="dxa"/>
            <w:gridSpan w:val="3"/>
            <w:vAlign w:val="center"/>
          </w:tcPr>
          <w:p>
            <w:pPr>
              <w:pStyle w:val="14"/>
            </w:pPr>
            <w:r>
              <w:t>治安保险经费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11.50</w:t>
            </w:r>
          </w:p>
        </w:tc>
        <w:tc>
          <w:tcPr>
            <w:tcW w:w="1587" w:type="dxa"/>
            <w:vAlign w:val="center"/>
          </w:tcPr>
          <w:p>
            <w:pPr>
              <w:pStyle w:val="12"/>
            </w:pPr>
            <w:r>
              <w:t>其中：财政    资金</w:t>
            </w:r>
          </w:p>
        </w:tc>
        <w:tc>
          <w:tcPr>
            <w:tcW w:w="1304" w:type="dxa"/>
            <w:vAlign w:val="center"/>
          </w:tcPr>
          <w:p>
            <w:pPr>
              <w:pStyle w:val="14"/>
            </w:pPr>
            <w:r>
              <w:t>11.50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保障治安保险实现全覆盖，促进社会稳定水平逐步提高。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 xml:space="preserve"> </w:t>
            </w:r>
          </w:p>
        </w:tc>
        <w:tc>
          <w:tcPr>
            <w:tcW w:w="1587" w:type="dxa"/>
            <w:vAlign w:val="center"/>
          </w:tcPr>
          <w:p>
            <w:pPr>
              <w:pStyle w:val="15"/>
            </w:pPr>
            <w:r>
              <w:t>11.50</w:t>
            </w:r>
          </w:p>
        </w:tc>
        <w:tc>
          <w:tcPr>
            <w:tcW w:w="1304" w:type="dxa"/>
            <w:vAlign w:val="center"/>
          </w:tcPr>
          <w:p>
            <w:pPr>
              <w:pStyle w:val="15"/>
            </w:pPr>
            <w:r>
              <w:t xml:space="preserve"> </w:t>
            </w:r>
          </w:p>
        </w:tc>
        <w:tc>
          <w:tcPr>
            <w:tcW w:w="3119"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1.保障治安保险实现全覆盖，促进社会稳定水平逐步提高。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覆盖率</w:t>
            </w:r>
          </w:p>
        </w:tc>
        <w:tc>
          <w:tcPr>
            <w:tcW w:w="2891" w:type="dxa"/>
            <w:vAlign w:val="center"/>
          </w:tcPr>
          <w:p>
            <w:pPr>
              <w:pStyle w:val="14"/>
            </w:pPr>
            <w:r>
              <w:t>参保家庭覆盖率</w:t>
            </w:r>
          </w:p>
        </w:tc>
        <w:tc>
          <w:tcPr>
            <w:tcW w:w="1276" w:type="dxa"/>
            <w:vAlign w:val="center"/>
          </w:tcPr>
          <w:p>
            <w:pPr>
              <w:pStyle w:val="14"/>
            </w:pPr>
            <w:r>
              <w:t>≥95%</w:t>
            </w:r>
          </w:p>
        </w:tc>
        <w:tc>
          <w:tcPr>
            <w:tcW w:w="1843" w:type="dxa"/>
            <w:vAlign w:val="center"/>
          </w:tcPr>
          <w:p>
            <w:pPr>
              <w:pStyle w:val="14"/>
            </w:pPr>
            <w:r>
              <w:t>《“和谐家园”治安家庭财产定额组合保险保单》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优良率</w:t>
            </w:r>
          </w:p>
        </w:tc>
        <w:tc>
          <w:tcPr>
            <w:tcW w:w="2891" w:type="dxa"/>
            <w:vAlign w:val="center"/>
          </w:tcPr>
          <w:p>
            <w:pPr>
              <w:pStyle w:val="14"/>
            </w:pPr>
            <w:r>
              <w:t>保险保障精准度</w:t>
            </w:r>
          </w:p>
        </w:tc>
        <w:tc>
          <w:tcPr>
            <w:tcW w:w="1276" w:type="dxa"/>
            <w:vAlign w:val="center"/>
          </w:tcPr>
          <w:p>
            <w:pPr>
              <w:pStyle w:val="14"/>
            </w:pPr>
            <w:r>
              <w:t>≥95%</w:t>
            </w:r>
          </w:p>
        </w:tc>
        <w:tc>
          <w:tcPr>
            <w:tcW w:w="1843" w:type="dxa"/>
            <w:vAlign w:val="center"/>
          </w:tcPr>
          <w:p>
            <w:pPr>
              <w:pStyle w:val="14"/>
            </w:pPr>
            <w:r>
              <w:t>《“和谐家园”治安家庭财产定额组合保险保单》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处理时间及时率</w:t>
            </w:r>
          </w:p>
        </w:tc>
        <w:tc>
          <w:tcPr>
            <w:tcW w:w="1276" w:type="dxa"/>
            <w:vAlign w:val="center"/>
          </w:tcPr>
          <w:p>
            <w:pPr>
              <w:pStyle w:val="14"/>
            </w:pPr>
            <w:r>
              <w:t>≥95%</w:t>
            </w:r>
          </w:p>
        </w:tc>
        <w:tc>
          <w:tcPr>
            <w:tcW w:w="1843" w:type="dxa"/>
            <w:vAlign w:val="center"/>
          </w:tcPr>
          <w:p>
            <w:pPr>
              <w:pStyle w:val="14"/>
            </w:pPr>
            <w:r>
              <w:t>《“和谐家园”治安家庭财产定额组合保险保单》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项目预算成本</w:t>
            </w:r>
          </w:p>
        </w:tc>
        <w:tc>
          <w:tcPr>
            <w:tcW w:w="2891" w:type="dxa"/>
            <w:vAlign w:val="center"/>
          </w:tcPr>
          <w:p>
            <w:pPr>
              <w:pStyle w:val="14"/>
            </w:pPr>
            <w:r>
              <w:t>全年预算资金额</w:t>
            </w:r>
          </w:p>
        </w:tc>
        <w:tc>
          <w:tcPr>
            <w:tcW w:w="1276" w:type="dxa"/>
            <w:vAlign w:val="center"/>
          </w:tcPr>
          <w:p>
            <w:pPr>
              <w:pStyle w:val="14"/>
            </w:pPr>
            <w:r>
              <w:t>≤11.5万元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服务水平</w:t>
            </w:r>
          </w:p>
        </w:tc>
        <w:tc>
          <w:tcPr>
            <w:tcW w:w="2891" w:type="dxa"/>
            <w:vAlign w:val="center"/>
          </w:tcPr>
          <w:p>
            <w:pPr>
              <w:pStyle w:val="14"/>
            </w:pPr>
            <w:r>
              <w:t>提供优质服务</w:t>
            </w:r>
          </w:p>
        </w:tc>
        <w:tc>
          <w:tcPr>
            <w:tcW w:w="1276" w:type="dxa"/>
            <w:vAlign w:val="center"/>
          </w:tcPr>
          <w:p>
            <w:pPr>
              <w:pStyle w:val="14"/>
            </w:pPr>
            <w:r>
              <w:t>≥95%</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经济效益指标</w:t>
            </w:r>
          </w:p>
        </w:tc>
        <w:tc>
          <w:tcPr>
            <w:tcW w:w="1332" w:type="dxa"/>
            <w:vAlign w:val="center"/>
          </w:tcPr>
          <w:p>
            <w:pPr>
              <w:pStyle w:val="14"/>
            </w:pPr>
            <w:r>
              <w:t>对社会经济发展的影响</w:t>
            </w:r>
          </w:p>
        </w:tc>
        <w:tc>
          <w:tcPr>
            <w:tcW w:w="2891" w:type="dxa"/>
            <w:vAlign w:val="center"/>
          </w:tcPr>
          <w:p>
            <w:pPr>
              <w:pStyle w:val="14"/>
            </w:pPr>
            <w:r>
              <w:t>对社会经济发展提供良好环境</w:t>
            </w:r>
          </w:p>
        </w:tc>
        <w:tc>
          <w:tcPr>
            <w:tcW w:w="1276" w:type="dxa"/>
            <w:vAlign w:val="center"/>
          </w:tcPr>
          <w:p>
            <w:pPr>
              <w:pStyle w:val="14"/>
            </w:pPr>
            <w:r>
              <w:t>≥95%</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≥95%</w:t>
            </w:r>
          </w:p>
        </w:tc>
        <w:tc>
          <w:tcPr>
            <w:tcW w:w="1843" w:type="dxa"/>
            <w:vAlign w:val="center"/>
          </w:tcPr>
          <w:p>
            <w:pPr>
              <w:pStyle w:val="14"/>
            </w:pPr>
            <w:r>
              <w:t>工作反馈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15、综合治理经费绩效目标表</w:t>
      </w:r>
    </w:p>
    <w:tbl>
      <w:tblPr>
        <w:tblStyle w:val="7"/>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13010724P000112101451</w:t>
            </w:r>
          </w:p>
        </w:tc>
        <w:tc>
          <w:tcPr>
            <w:tcW w:w="1587" w:type="dxa"/>
            <w:vAlign w:val="center"/>
          </w:tcPr>
          <w:p>
            <w:pPr>
              <w:pStyle w:val="12"/>
            </w:pPr>
            <w:r>
              <w:t>项目名称</w:t>
            </w:r>
          </w:p>
        </w:tc>
        <w:tc>
          <w:tcPr>
            <w:tcW w:w="4423" w:type="dxa"/>
            <w:gridSpan w:val="3"/>
            <w:vAlign w:val="center"/>
          </w:tcPr>
          <w:p>
            <w:pPr>
              <w:pStyle w:val="14"/>
            </w:pPr>
            <w:r>
              <w:t>综合治理经费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7.94</w:t>
            </w:r>
          </w:p>
        </w:tc>
        <w:tc>
          <w:tcPr>
            <w:tcW w:w="1587" w:type="dxa"/>
            <w:vAlign w:val="center"/>
          </w:tcPr>
          <w:p>
            <w:pPr>
              <w:pStyle w:val="12"/>
            </w:pPr>
            <w:r>
              <w:t>其中：财政    资金</w:t>
            </w:r>
          </w:p>
        </w:tc>
        <w:tc>
          <w:tcPr>
            <w:tcW w:w="1304" w:type="dxa"/>
            <w:vAlign w:val="center"/>
          </w:tcPr>
          <w:p>
            <w:pPr>
              <w:pStyle w:val="14"/>
            </w:pPr>
            <w:r>
              <w:t>7.94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4"/>
            </w:pPr>
            <w:r>
              <w:t>通过安排部署平安建设工作，加强重点人群管理、开展矛盾风险排查处置，推动平安建设宣传、督导等各项工作，维护社会稳定。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5"/>
            </w:pPr>
            <w:r>
              <w:t>2.00</w:t>
            </w:r>
          </w:p>
        </w:tc>
        <w:tc>
          <w:tcPr>
            <w:tcW w:w="1587" w:type="dxa"/>
            <w:vAlign w:val="center"/>
          </w:tcPr>
          <w:p>
            <w:pPr>
              <w:pStyle w:val="15"/>
            </w:pPr>
            <w:r>
              <w:t>4.00</w:t>
            </w:r>
          </w:p>
        </w:tc>
        <w:tc>
          <w:tcPr>
            <w:tcW w:w="1304" w:type="dxa"/>
            <w:vAlign w:val="center"/>
          </w:tcPr>
          <w:p>
            <w:pPr>
              <w:pStyle w:val="15"/>
            </w:pPr>
            <w:r>
              <w:t>6.00</w:t>
            </w:r>
          </w:p>
        </w:tc>
        <w:tc>
          <w:tcPr>
            <w:tcW w:w="3119" w:type="dxa"/>
            <w:gridSpan w:val="2"/>
            <w:vAlign w:val="center"/>
          </w:tcPr>
          <w:p>
            <w:pPr>
              <w:pStyle w:val="15"/>
            </w:pPr>
            <w:r>
              <w:t>7.94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1.通过安排部署平安建设工作，加强重点人群管理、开展矛盾风险排查处置，推动平安建设宣传、督导等各项工作，维护社会稳定。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保障工作种类</w:t>
            </w:r>
          </w:p>
        </w:tc>
        <w:tc>
          <w:tcPr>
            <w:tcW w:w="2891" w:type="dxa"/>
            <w:vAlign w:val="center"/>
          </w:tcPr>
          <w:p>
            <w:pPr>
              <w:pStyle w:val="14"/>
            </w:pPr>
            <w:r>
              <w:t>保障宣传、办公等日常工作种类</w:t>
            </w:r>
          </w:p>
        </w:tc>
        <w:tc>
          <w:tcPr>
            <w:tcW w:w="1276" w:type="dxa"/>
            <w:vAlign w:val="center"/>
          </w:tcPr>
          <w:p>
            <w:pPr>
              <w:pStyle w:val="14"/>
            </w:pPr>
            <w:r>
              <w:t>3类</w:t>
            </w:r>
          </w:p>
        </w:tc>
        <w:tc>
          <w:tcPr>
            <w:tcW w:w="1843" w:type="dxa"/>
            <w:vAlign w:val="center"/>
          </w:tcPr>
          <w:p>
            <w:pPr>
              <w:pStyle w:val="14"/>
            </w:pPr>
            <w:r>
              <w:t>参照往年实际情况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质量指标</w:t>
            </w:r>
          </w:p>
        </w:tc>
        <w:tc>
          <w:tcPr>
            <w:tcW w:w="1332" w:type="dxa"/>
            <w:vAlign w:val="center"/>
          </w:tcPr>
          <w:p>
            <w:pPr>
              <w:pStyle w:val="14"/>
            </w:pPr>
            <w:r>
              <w:t>工作完成率</w:t>
            </w:r>
          </w:p>
        </w:tc>
        <w:tc>
          <w:tcPr>
            <w:tcW w:w="2891" w:type="dxa"/>
            <w:vAlign w:val="center"/>
          </w:tcPr>
          <w:p>
            <w:pPr>
              <w:pStyle w:val="14"/>
            </w:pPr>
            <w:r>
              <w:t>综合治理工作完成情况</w:t>
            </w:r>
          </w:p>
        </w:tc>
        <w:tc>
          <w:tcPr>
            <w:tcW w:w="1276" w:type="dxa"/>
            <w:vAlign w:val="center"/>
          </w:tcPr>
          <w:p>
            <w:pPr>
              <w:pStyle w:val="14"/>
            </w:pPr>
            <w:r>
              <w:t>≥95%</w:t>
            </w:r>
          </w:p>
        </w:tc>
        <w:tc>
          <w:tcPr>
            <w:tcW w:w="1843" w:type="dxa"/>
            <w:vAlign w:val="center"/>
          </w:tcPr>
          <w:p>
            <w:pPr>
              <w:pStyle w:val="14"/>
            </w:pPr>
            <w:r>
              <w:t>参照往年实际情况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时效指标</w:t>
            </w:r>
          </w:p>
        </w:tc>
        <w:tc>
          <w:tcPr>
            <w:tcW w:w="1332" w:type="dxa"/>
            <w:vAlign w:val="center"/>
          </w:tcPr>
          <w:p>
            <w:pPr>
              <w:pStyle w:val="14"/>
            </w:pPr>
            <w:r>
              <w:t>各项工作及时性</w:t>
            </w:r>
          </w:p>
        </w:tc>
        <w:tc>
          <w:tcPr>
            <w:tcW w:w="2891" w:type="dxa"/>
            <w:vAlign w:val="center"/>
          </w:tcPr>
          <w:p>
            <w:pPr>
              <w:pStyle w:val="14"/>
            </w:pPr>
            <w:r>
              <w:t>根据工作安排，任务完成的及时性</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办公费金额</w:t>
            </w:r>
          </w:p>
        </w:tc>
        <w:tc>
          <w:tcPr>
            <w:tcW w:w="2891" w:type="dxa"/>
            <w:vAlign w:val="center"/>
          </w:tcPr>
          <w:p>
            <w:pPr>
              <w:pStyle w:val="14"/>
            </w:pPr>
            <w:r>
              <w:t>综合治理办公费用</w:t>
            </w:r>
          </w:p>
        </w:tc>
        <w:tc>
          <w:tcPr>
            <w:tcW w:w="1276" w:type="dxa"/>
            <w:vAlign w:val="center"/>
          </w:tcPr>
          <w:p>
            <w:pPr>
              <w:pStyle w:val="14"/>
            </w:pPr>
            <w:r>
              <w:t>≤5万元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差旅费金额</w:t>
            </w:r>
          </w:p>
        </w:tc>
        <w:tc>
          <w:tcPr>
            <w:tcW w:w="2891" w:type="dxa"/>
            <w:vAlign w:val="center"/>
          </w:tcPr>
          <w:p>
            <w:pPr>
              <w:pStyle w:val="14"/>
            </w:pPr>
            <w:r>
              <w:t>综合治理差旅费用</w:t>
            </w:r>
          </w:p>
        </w:tc>
        <w:tc>
          <w:tcPr>
            <w:tcW w:w="1276" w:type="dxa"/>
            <w:vAlign w:val="center"/>
          </w:tcPr>
          <w:p>
            <w:pPr>
              <w:pStyle w:val="14"/>
            </w:pPr>
            <w:r>
              <w:t>≤1万元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4"/>
            </w:pPr>
            <w:r>
              <w:t>成本指标</w:t>
            </w:r>
          </w:p>
        </w:tc>
        <w:tc>
          <w:tcPr>
            <w:tcW w:w="1332" w:type="dxa"/>
            <w:vAlign w:val="center"/>
          </w:tcPr>
          <w:p>
            <w:pPr>
              <w:pStyle w:val="14"/>
            </w:pPr>
            <w:r>
              <w:t>印刷费金额</w:t>
            </w:r>
          </w:p>
        </w:tc>
        <w:tc>
          <w:tcPr>
            <w:tcW w:w="2891" w:type="dxa"/>
            <w:vAlign w:val="center"/>
          </w:tcPr>
          <w:p>
            <w:pPr>
              <w:pStyle w:val="14"/>
            </w:pPr>
            <w:r>
              <w:t>综合治理印刷费用</w:t>
            </w:r>
          </w:p>
        </w:tc>
        <w:tc>
          <w:tcPr>
            <w:tcW w:w="1276" w:type="dxa"/>
            <w:vAlign w:val="center"/>
          </w:tcPr>
          <w:p>
            <w:pPr>
              <w:pStyle w:val="14"/>
            </w:pPr>
            <w:r>
              <w:t>≤1.94万元</w:t>
            </w:r>
          </w:p>
        </w:tc>
        <w:tc>
          <w:tcPr>
            <w:tcW w:w="1843" w:type="dxa"/>
            <w:vAlign w:val="center"/>
          </w:tcPr>
          <w:p>
            <w:pPr>
              <w:pStyle w:val="14"/>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社会稳定水平</w:t>
            </w:r>
          </w:p>
        </w:tc>
        <w:tc>
          <w:tcPr>
            <w:tcW w:w="2891" w:type="dxa"/>
            <w:vAlign w:val="center"/>
          </w:tcPr>
          <w:p>
            <w:pPr>
              <w:pStyle w:val="14"/>
            </w:pPr>
            <w:r>
              <w:t>社会稳定水平持续提高</w:t>
            </w:r>
          </w:p>
        </w:tc>
        <w:tc>
          <w:tcPr>
            <w:tcW w:w="1276" w:type="dxa"/>
            <w:vAlign w:val="center"/>
          </w:tcPr>
          <w:p>
            <w:pPr>
              <w:pStyle w:val="14"/>
            </w:pPr>
            <w:r>
              <w:t>社会稳定持续影响</w:t>
            </w:r>
          </w:p>
        </w:tc>
        <w:tc>
          <w:tcPr>
            <w:tcW w:w="1843" w:type="dxa"/>
            <w:vAlign w:val="center"/>
          </w:tcPr>
          <w:p>
            <w:pPr>
              <w:pStyle w:val="14"/>
            </w:pPr>
            <w:r>
              <w:t>平安建设水平进一步提高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≥95%</w:t>
            </w:r>
          </w:p>
        </w:tc>
        <w:tc>
          <w:tcPr>
            <w:tcW w:w="1843" w:type="dxa"/>
            <w:vAlign w:val="center"/>
          </w:tcPr>
          <w:p>
            <w:pPr>
              <w:pStyle w:val="14"/>
            </w:pPr>
            <w:r>
              <w:t>反馈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1.66</w:t>
            </w:r>
          </w:p>
        </w:tc>
        <w:tc>
          <w:tcPr>
            <w:tcW w:w="964" w:type="dxa"/>
            <w:vAlign w:val="center"/>
          </w:tcPr>
          <w:p>
            <w:pPr>
              <w:pStyle w:val="17"/>
            </w:pPr>
            <w:r>
              <w:t>1.66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中共石家庄市井陉矿区委政法委员会小计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1.66</w:t>
            </w:r>
          </w:p>
        </w:tc>
        <w:tc>
          <w:tcPr>
            <w:tcW w:w="964" w:type="dxa"/>
            <w:vAlign w:val="center"/>
          </w:tcPr>
          <w:p>
            <w:pPr>
              <w:pStyle w:val="17"/>
            </w:pPr>
            <w:r>
              <w:t>1.66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2024年年初公用经费表（三保）</w:t>
            </w:r>
          </w:p>
        </w:tc>
        <w:tc>
          <w:tcPr>
            <w:tcW w:w="964" w:type="dxa"/>
            <w:vAlign w:val="center"/>
          </w:tcPr>
          <w:p>
            <w:pPr>
              <w:pStyle w:val="13"/>
            </w:pPr>
            <w:r>
              <w:t>3.80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次</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2024年年初公用经费表（三保）</w:t>
            </w:r>
          </w:p>
        </w:tc>
        <w:tc>
          <w:tcPr>
            <w:tcW w:w="964" w:type="dxa"/>
            <w:vAlign w:val="center"/>
          </w:tcPr>
          <w:p>
            <w:pPr>
              <w:pStyle w:val="13"/>
            </w:pPr>
            <w:r>
              <w:t>3.80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吨</w:t>
            </w:r>
          </w:p>
        </w:tc>
        <w:tc>
          <w:tcPr>
            <w:tcW w:w="850" w:type="dxa"/>
            <w:vAlign w:val="center"/>
          </w:tcPr>
          <w:p>
            <w:pPr>
              <w:pStyle w:val="13"/>
            </w:pPr>
            <w:r>
              <w:t>.825</w:t>
            </w:r>
          </w:p>
        </w:tc>
        <w:tc>
          <w:tcPr>
            <w:tcW w:w="850" w:type="dxa"/>
            <w:vAlign w:val="center"/>
          </w:tcPr>
          <w:p>
            <w:pPr>
              <w:pStyle w:val="13"/>
            </w:pPr>
            <w:r>
              <w:t>0.80</w:t>
            </w:r>
          </w:p>
        </w:tc>
        <w:tc>
          <w:tcPr>
            <w:tcW w:w="964" w:type="dxa"/>
            <w:vAlign w:val="center"/>
          </w:tcPr>
          <w:p>
            <w:pPr>
              <w:pStyle w:val="13"/>
            </w:pPr>
            <w:r>
              <w:t>0.66</w:t>
            </w:r>
          </w:p>
        </w:tc>
        <w:tc>
          <w:tcPr>
            <w:tcW w:w="964" w:type="dxa"/>
            <w:vAlign w:val="center"/>
          </w:tcPr>
          <w:p>
            <w:pPr>
              <w:pStyle w:val="13"/>
            </w:pPr>
            <w:r>
              <w:t>0.66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中共石家庄市井陉矿区委政法委员会</w:t>
      </w:r>
      <w:r>
        <w:rPr>
          <w:rFonts w:hint="eastAsia" w:eastAsiaTheme="minorEastAsia"/>
          <w:color w:val="000000"/>
          <w:sz w:val="28"/>
          <w:lang w:eastAsia="zh-CN"/>
        </w:rPr>
        <w:t>（本级）</w:t>
      </w:r>
      <w:r>
        <w:rPr>
          <w:rFonts w:eastAsia="方正仿宋_GBK"/>
          <w:color w:val="000000"/>
          <w:sz w:val="28"/>
        </w:rPr>
        <w:t>上年末固定资产金额为</w:t>
      </w:r>
      <w:r>
        <w:rPr>
          <w:rFonts w:hint="eastAsia" w:eastAsia="方正仿宋_GBK"/>
          <w:color w:val="000000"/>
          <w:sz w:val="28"/>
          <w:lang w:val="en-US" w:eastAsia="zh-CN"/>
        </w:rPr>
        <w:t>75.72</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eastAsiaTheme="minorEastAsia"/>
                <w:lang w:eastAsia="zh-CN"/>
              </w:rPr>
            </w:pPr>
            <w:r>
              <w:t>216001中共石家庄市井陉矿区委政法委员会</w:t>
            </w:r>
            <w:r>
              <w:rPr>
                <w:rFonts w:hint="eastAsia" w:eastAsiaTheme="minor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eastAsia" w:eastAsia="方正书宋_GBK"/>
                <w:lang w:val="en-US" w:eastAsia="zh-CN"/>
              </w:rPr>
            </w:pPr>
            <w:r>
              <w:rPr>
                <w:rFonts w:hint="eastAsia"/>
                <w:lang w:val="en-US" w:eastAsia="zh-CN"/>
              </w:rPr>
              <w:t>162</w:t>
            </w:r>
          </w:p>
        </w:tc>
        <w:tc>
          <w:tcPr>
            <w:tcW w:w="2835" w:type="dxa"/>
            <w:vAlign w:val="center"/>
          </w:tcPr>
          <w:p>
            <w:pPr>
              <w:pStyle w:val="13"/>
              <w:rPr>
                <w:rFonts w:hint="eastAsia" w:eastAsia="方正书宋_GBK"/>
                <w:lang w:val="en-US" w:eastAsia="zh-CN"/>
              </w:rPr>
            </w:pPr>
            <w:r>
              <w:rPr>
                <w:rFonts w:hint="eastAsia"/>
                <w:lang w:val="en-US" w:eastAsia="zh-CN"/>
              </w:rPr>
              <w:t>75.72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eastAsia" w:eastAsia="方正书宋_GBK"/>
                <w:lang w:val="en-US" w:eastAsia="zh-CN"/>
              </w:rPr>
            </w:pPr>
            <w:r>
              <w:rPr>
                <w:rFonts w:hint="eastAsia"/>
                <w:lang w:val="en-US" w:eastAsia="zh-CN"/>
              </w:rPr>
              <w:t>161</w:t>
            </w:r>
          </w:p>
        </w:tc>
        <w:tc>
          <w:tcPr>
            <w:tcW w:w="2835" w:type="dxa"/>
            <w:vAlign w:val="center"/>
          </w:tcPr>
          <w:p>
            <w:pPr>
              <w:pStyle w:val="13"/>
              <w:rPr>
                <w:rFonts w:hint="eastAsia" w:eastAsia="方正书宋_GBK"/>
                <w:lang w:val="en-US" w:eastAsia="zh-CN"/>
              </w:rPr>
            </w:pPr>
            <w:r>
              <w:rPr>
                <w:rFonts w:hint="eastAsia"/>
                <w:lang w:val="en-US" w:eastAsia="zh-CN"/>
              </w:rPr>
              <w:t>56.82</w:t>
            </w:r>
            <w:bookmarkStart w:id="1" w:name="_GoBack"/>
            <w:bookmarkEnd w:id="1"/>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方正楷体_GBK">
    <w:altName w:val="宋体"/>
    <w:panose1 w:val="00000000000000000000"/>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zMDZkNDRiZDdhZjExNTAyZWE2ZWI4OGU2YzBiY2EifQ=="/>
  </w:docVars>
  <w:rsids>
    <w:rsidRoot w:val="00D879B6"/>
    <w:rsid w:val="00360CD7"/>
    <w:rsid w:val="00464B55"/>
    <w:rsid w:val="005F033F"/>
    <w:rsid w:val="00D30FAF"/>
    <w:rsid w:val="00D879B6"/>
    <w:rsid w:val="2AA952C3"/>
    <w:rsid w:val="569D614C"/>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25"/>
    <w:unhideWhenUsed/>
    <w:qFormat/>
    <w:uiPriority w:val="99"/>
    <w:pPr>
      <w:tabs>
        <w:tab w:val="center" w:pos="4153"/>
        <w:tab w:val="right" w:pos="8306"/>
      </w:tabs>
      <w:snapToGrid w:val="0"/>
    </w:pPr>
    <w:rPr>
      <w:sz w:val="18"/>
      <w:szCs w:val="18"/>
    </w:rPr>
  </w:style>
  <w:style w:type="paragraph" w:styleId="3">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paragraph" w:styleId="5">
    <w:name w:val="toc 4"/>
    <w:basedOn w:val="1"/>
    <w:next w:val="1"/>
    <w:qFormat/>
    <w:uiPriority w:val="0"/>
    <w:pPr>
      <w:ind w:left="72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line="500" w:lineRule="exact"/>
      <w:ind w:firstLine="560"/>
    </w:pPr>
    <w:rPr>
      <w:rFonts w:eastAsia="方正仿宋_GBK"/>
      <w:sz w:val="28"/>
    </w:rPr>
  </w:style>
  <w:style w:type="paragraph" w:customStyle="1" w:styleId="2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character" w:customStyle="1" w:styleId="24">
    <w:name w:val="页眉 Char"/>
    <w:basedOn w:val="6"/>
    <w:link w:val="3"/>
    <w:qFormat/>
    <w:uiPriority w:val="99"/>
    <w:rPr>
      <w:rFonts w:eastAsia="Times New Roman"/>
      <w:sz w:val="18"/>
      <w:szCs w:val="18"/>
      <w:lang w:eastAsia="uk-UA"/>
    </w:rPr>
  </w:style>
  <w:style w:type="character" w:customStyle="1" w:styleId="25">
    <w:name w:val="页脚 Char"/>
    <w:basedOn w:val="6"/>
    <w:link w:val="2"/>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2024-02-01T15:14:07Z</dcterms:created>
  <dcterms:modified xsi:type="dcterms:W3CDTF">2024-02-01T07:14:07Z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2024-02-01T15:13:53Z</dcterms:created>
  <dcterms:modified xsi:type="dcterms:W3CDTF">2024-02-01T07:13:53Z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2024-02-01T15:14:03Z</dcterms:created>
  <dcterms:modified xsi:type="dcterms:W3CDTF">2024-02-01T07:14:03Z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2024-02-01T15:14:00Z</dcterms:created>
  <dcterms:modified xsi:type="dcterms:W3CDTF">2024-02-01T07:14:00Z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2024-02-01T15:14:03Z</dcterms:created>
  <dcterms:modified xsi:type="dcterms:W3CDTF">2024-02-01T07:14:03Z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2024-02-01T15:14:05Z</dcterms:created>
  <dcterms:modified xsi:type="dcterms:W3CDTF">2024-02-01T07:14:05Z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2024-02-01T15:14:02Z</dcterms:created>
  <dcterms:modified xsi:type="dcterms:W3CDTF">2024-02-01T07:14:02Z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2024-02-01T15:14:04Z</dcterms:created>
  <dcterms:modified xsi:type="dcterms:W3CDTF">2024-02-01T07:14:04Z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2024-02-01T15:14:07Z</dcterms:created>
  <dcterms:modified xsi:type="dcterms:W3CDTF">2024-02-01T07:14:07Z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2024-02-01T15:14:06Z</dcterms:created>
  <dcterms:modified xsi:type="dcterms:W3CDTF">2024-02-01T07:14:06Z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2024-02-01T15:14:08Z</dcterms:created>
  <dcterms:modified xsi:type="dcterms:W3CDTF">2024-02-01T07:14:08Z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2024-02-01T15:14:02Z</dcterms:created>
  <dcterms:modified xsi:type="dcterms:W3CDTF">2024-02-01T07:14:02Z</dcterms:modified>
</cp:coreProperties>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2024-02-01T15:14:05Z</dcterms:created>
  <dcterms:modified xsi:type="dcterms:W3CDTF">2024-02-01T07:14:05Z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2024-02-01T15:14:04Z</dcterms:created>
  <dcterms:modified xsi:type="dcterms:W3CDTF">2024-02-01T07:14:04Z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2024-02-01T15:14:03Z</dcterms:created>
  <dcterms:modified xsi:type="dcterms:W3CDTF">2024-02-01T07:14:03Z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2024-02-01T15:14:05Z</dcterms:created>
  <dcterms:modified xsi:type="dcterms:W3CDTF">2024-02-01T07:14:05Z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2024-02-01T15:14:08Z</dcterms:created>
  <dcterms:modified xsi:type="dcterms:W3CDTF">2024-02-01T07:14:08Z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2024-02-01T15:14:02Z</dcterms:created>
  <dcterms:modified xsi:type="dcterms:W3CDTF">2024-02-01T07:14:02Z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944A13B-7172-4DA7-891D-3650EEE2BD99}">
  <ds:schemaRefs/>
</ds:datastoreItem>
</file>

<file path=customXml/itemProps11.xml><?xml version="1.0" encoding="utf-8"?>
<ds:datastoreItem xmlns:ds="http://schemas.openxmlformats.org/officeDocument/2006/customXml" ds:itemID="{0185FA98-42EA-4E26-988B-195C09864879}">
  <ds:schemaRefs/>
</ds:datastoreItem>
</file>

<file path=customXml/itemProps12.xml><?xml version="1.0" encoding="utf-8"?>
<ds:datastoreItem xmlns:ds="http://schemas.openxmlformats.org/officeDocument/2006/customXml" ds:itemID="{65F656A7-802F-4304-9AF7-9739E0D91926}">
  <ds:schemaRefs/>
</ds:datastoreItem>
</file>

<file path=customXml/itemProps13.xml><?xml version="1.0" encoding="utf-8"?>
<ds:datastoreItem xmlns:ds="http://schemas.openxmlformats.org/officeDocument/2006/customXml" ds:itemID="{A91BBDE4-73A8-4CB3-9183-566B49E58E92}">
  <ds:schemaRefs/>
</ds:datastoreItem>
</file>

<file path=customXml/itemProps14.xml><?xml version="1.0" encoding="utf-8"?>
<ds:datastoreItem xmlns:ds="http://schemas.openxmlformats.org/officeDocument/2006/customXml" ds:itemID="{C258349F-DB69-4084-97D4-F28167AFDE2E}">
  <ds:schemaRefs/>
</ds:datastoreItem>
</file>

<file path=customXml/itemProps15.xml><?xml version="1.0" encoding="utf-8"?>
<ds:datastoreItem xmlns:ds="http://schemas.openxmlformats.org/officeDocument/2006/customXml" ds:itemID="{5AC61010-4F04-4E2B-BA43-E18C192D94E0}">
  <ds:schemaRefs/>
</ds:datastoreItem>
</file>

<file path=customXml/itemProps16.xml><?xml version="1.0" encoding="utf-8"?>
<ds:datastoreItem xmlns:ds="http://schemas.openxmlformats.org/officeDocument/2006/customXml" ds:itemID="{F23FD7C3-F2EB-40C2-9199-632F2B9BB700}">
  <ds:schemaRefs/>
</ds:datastoreItem>
</file>

<file path=customXml/itemProps17.xml><?xml version="1.0" encoding="utf-8"?>
<ds:datastoreItem xmlns:ds="http://schemas.openxmlformats.org/officeDocument/2006/customXml" ds:itemID="{C3B9861B-092A-4766-AA64-B217A4BC31E0}">
  <ds:schemaRefs/>
</ds:datastoreItem>
</file>

<file path=customXml/itemProps18.xml><?xml version="1.0" encoding="utf-8"?>
<ds:datastoreItem xmlns:ds="http://schemas.openxmlformats.org/officeDocument/2006/customXml" ds:itemID="{CB94CBD5-CE1F-46FA-B99B-21D297EE641B}">
  <ds:schemaRefs/>
</ds:datastoreItem>
</file>

<file path=customXml/itemProps19.xml><?xml version="1.0" encoding="utf-8"?>
<ds:datastoreItem xmlns:ds="http://schemas.openxmlformats.org/officeDocument/2006/customXml" ds:itemID="{63684533-2A22-429A-8722-AC7894AA3C34}">
  <ds:schemaRefs/>
</ds:datastoreItem>
</file>

<file path=customXml/itemProps2.xml><?xml version="1.0" encoding="utf-8"?>
<ds:datastoreItem xmlns:ds="http://schemas.openxmlformats.org/officeDocument/2006/customXml" ds:itemID="{411C21AA-EA02-4447-89D3-CED701095466}">
  <ds:schemaRefs/>
</ds:datastoreItem>
</file>

<file path=customXml/itemProps20.xml><?xml version="1.0" encoding="utf-8"?>
<ds:datastoreItem xmlns:ds="http://schemas.openxmlformats.org/officeDocument/2006/customXml" ds:itemID="{BC275281-5CF2-4B50-A2BA-32938C7CE3B9}">
  <ds:schemaRefs/>
</ds:datastoreItem>
</file>

<file path=customXml/itemProps21.xml><?xml version="1.0" encoding="utf-8"?>
<ds:datastoreItem xmlns:ds="http://schemas.openxmlformats.org/officeDocument/2006/customXml" ds:itemID="{B5A82EFA-8A06-4AE9-8EAC-72BFD9E06DE0}">
  <ds:schemaRefs/>
</ds:datastoreItem>
</file>

<file path=customXml/itemProps22.xml><?xml version="1.0" encoding="utf-8"?>
<ds:datastoreItem xmlns:ds="http://schemas.openxmlformats.org/officeDocument/2006/customXml" ds:itemID="{3C10C1BF-3468-480E-8343-20340C924A0C}">
  <ds:schemaRefs/>
</ds:datastoreItem>
</file>

<file path=customXml/itemProps23.xml><?xml version="1.0" encoding="utf-8"?>
<ds:datastoreItem xmlns:ds="http://schemas.openxmlformats.org/officeDocument/2006/customXml" ds:itemID="{B36D7D81-A25E-4427-9F7C-F8ADA4711986}">
  <ds:schemaRefs/>
</ds:datastoreItem>
</file>

<file path=customXml/itemProps24.xml><?xml version="1.0" encoding="utf-8"?>
<ds:datastoreItem xmlns:ds="http://schemas.openxmlformats.org/officeDocument/2006/customXml" ds:itemID="{FA650A4E-1CCA-423C-90AA-74A1C6B5880D}">
  <ds:schemaRefs/>
</ds:datastoreItem>
</file>

<file path=customXml/itemProps25.xml><?xml version="1.0" encoding="utf-8"?>
<ds:datastoreItem xmlns:ds="http://schemas.openxmlformats.org/officeDocument/2006/customXml" ds:itemID="{7506E7F7-EC48-4023-94CF-EDFD17DC1E94}">
  <ds:schemaRefs/>
</ds:datastoreItem>
</file>

<file path=customXml/itemProps26.xml><?xml version="1.0" encoding="utf-8"?>
<ds:datastoreItem xmlns:ds="http://schemas.openxmlformats.org/officeDocument/2006/customXml" ds:itemID="{BF0C56BE-A3CF-4D8F-B20C-DED4B25F5723}">
  <ds:schemaRefs/>
</ds:datastoreItem>
</file>

<file path=customXml/itemProps27.xml><?xml version="1.0" encoding="utf-8"?>
<ds:datastoreItem xmlns:ds="http://schemas.openxmlformats.org/officeDocument/2006/customXml" ds:itemID="{A9EE75E3-0238-43C6-BB6E-72675FB37060}">
  <ds:schemaRefs/>
</ds:datastoreItem>
</file>

<file path=customXml/itemProps28.xml><?xml version="1.0" encoding="utf-8"?>
<ds:datastoreItem xmlns:ds="http://schemas.openxmlformats.org/officeDocument/2006/customXml" ds:itemID="{15941478-5ED0-425E-9E31-ED79049FB2F5}">
  <ds:schemaRefs/>
</ds:datastoreItem>
</file>

<file path=customXml/itemProps29.xml><?xml version="1.0" encoding="utf-8"?>
<ds:datastoreItem xmlns:ds="http://schemas.openxmlformats.org/officeDocument/2006/customXml" ds:itemID="{D8C82208-80F4-45C6-AA2E-765C9126CBF5}">
  <ds:schemaRefs/>
</ds:datastoreItem>
</file>

<file path=customXml/itemProps3.xml><?xml version="1.0" encoding="utf-8"?>
<ds:datastoreItem xmlns:ds="http://schemas.openxmlformats.org/officeDocument/2006/customXml" ds:itemID="{750BF99A-40A8-48E6-9C0F-082F27F3A03F}">
  <ds:schemaRefs/>
</ds:datastoreItem>
</file>

<file path=customXml/itemProps30.xml><?xml version="1.0" encoding="utf-8"?>
<ds:datastoreItem xmlns:ds="http://schemas.openxmlformats.org/officeDocument/2006/customXml" ds:itemID="{D9F4BBF4-ACC7-46D5-8E9D-296D7B2EB6BF}">
  <ds:schemaRefs/>
</ds:datastoreItem>
</file>

<file path=customXml/itemProps31.xml><?xml version="1.0" encoding="utf-8"?>
<ds:datastoreItem xmlns:ds="http://schemas.openxmlformats.org/officeDocument/2006/customXml" ds:itemID="{178A5780-5613-4B60-A486-9329461E4CED}">
  <ds:schemaRefs/>
</ds:datastoreItem>
</file>

<file path=customXml/itemProps32.xml><?xml version="1.0" encoding="utf-8"?>
<ds:datastoreItem xmlns:ds="http://schemas.openxmlformats.org/officeDocument/2006/customXml" ds:itemID="{129B80D0-4AAC-46F7-AE18-50F5EE39EBEA}">
  <ds:schemaRefs/>
</ds:datastoreItem>
</file>

<file path=customXml/itemProps33.xml><?xml version="1.0" encoding="utf-8"?>
<ds:datastoreItem xmlns:ds="http://schemas.openxmlformats.org/officeDocument/2006/customXml" ds:itemID="{1B38DCE0-7F32-4879-80FF-030EB5D146A6}">
  <ds:schemaRefs/>
</ds:datastoreItem>
</file>

<file path=customXml/itemProps34.xml><?xml version="1.0" encoding="utf-8"?>
<ds:datastoreItem xmlns:ds="http://schemas.openxmlformats.org/officeDocument/2006/customXml" ds:itemID="{D8327771-FA91-4C3F-9CED-A5A47FB8E7D8}">
  <ds:schemaRefs/>
</ds:datastoreItem>
</file>

<file path=customXml/itemProps35.xml><?xml version="1.0" encoding="utf-8"?>
<ds:datastoreItem xmlns:ds="http://schemas.openxmlformats.org/officeDocument/2006/customXml" ds:itemID="{251F0951-5799-40B4-B473-2350EA20D9AE}">
  <ds:schemaRefs/>
</ds:datastoreItem>
</file>

<file path=customXml/itemProps36.xml><?xml version="1.0" encoding="utf-8"?>
<ds:datastoreItem xmlns:ds="http://schemas.openxmlformats.org/officeDocument/2006/customXml" ds:itemID="{A49AB39C-070E-40AF-8F6B-06BC330F28C0}">
  <ds:schemaRefs/>
</ds:datastoreItem>
</file>

<file path=customXml/itemProps37.xml><?xml version="1.0" encoding="utf-8"?>
<ds:datastoreItem xmlns:ds="http://schemas.openxmlformats.org/officeDocument/2006/customXml" ds:itemID="{DEC84466-0BE7-4C7A-8EA1-DBF70166A948}">
  <ds:schemaRefs/>
</ds:datastoreItem>
</file>

<file path=customXml/itemProps38.xml><?xml version="1.0" encoding="utf-8"?>
<ds:datastoreItem xmlns:ds="http://schemas.openxmlformats.org/officeDocument/2006/customXml" ds:itemID="{5C923DC1-189A-407C-AF13-98F971A95F28}">
  <ds:schemaRefs/>
</ds:datastoreItem>
</file>

<file path=customXml/itemProps4.xml><?xml version="1.0" encoding="utf-8"?>
<ds:datastoreItem xmlns:ds="http://schemas.openxmlformats.org/officeDocument/2006/customXml" ds:itemID="{A24728C1-40F3-48C9-8681-7FBC77000898}">
  <ds:schemaRefs/>
</ds:datastoreItem>
</file>

<file path=customXml/itemProps5.xml><?xml version="1.0" encoding="utf-8"?>
<ds:datastoreItem xmlns:ds="http://schemas.openxmlformats.org/officeDocument/2006/customXml" ds:itemID="{0B68C534-BED1-4662-8C92-265DD8C94059}">
  <ds:schemaRefs/>
</ds:datastoreItem>
</file>

<file path=customXml/itemProps6.xml><?xml version="1.0" encoding="utf-8"?>
<ds:datastoreItem xmlns:ds="http://schemas.openxmlformats.org/officeDocument/2006/customXml" ds:itemID="{0E20BA5D-7BD3-44D7-8C1D-14888CC7324C}">
  <ds:schemaRefs/>
</ds:datastoreItem>
</file>

<file path=customXml/itemProps7.xml><?xml version="1.0" encoding="utf-8"?>
<ds:datastoreItem xmlns:ds="http://schemas.openxmlformats.org/officeDocument/2006/customXml" ds:itemID="{2DD6E119-7989-48B2-A50F-27F35C0FDFB0}">
  <ds:schemaRefs/>
</ds:datastoreItem>
</file>

<file path=customXml/itemProps8.xml><?xml version="1.0" encoding="utf-8"?>
<ds:datastoreItem xmlns:ds="http://schemas.openxmlformats.org/officeDocument/2006/customXml" ds:itemID="{36FABAE2-E259-4B35-99CC-A3EBE80F64A9}">
  <ds:schemaRefs/>
</ds:datastoreItem>
</file>

<file path=customXml/itemProps9.xml><?xml version="1.0" encoding="utf-8"?>
<ds:datastoreItem xmlns:ds="http://schemas.openxmlformats.org/officeDocument/2006/customXml" ds:itemID="{8B01C7DE-03E2-42B5-9B64-7D41937A460E}">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43</Pages>
  <Words>12956</Words>
  <Characters>15329</Characters>
  <Lines>133</Lines>
  <Paragraphs>37</Paragraphs>
  <TotalTime>0</TotalTime>
  <ScaleCrop>false</ScaleCrop>
  <LinksUpToDate>false</LinksUpToDate>
  <CharactersWithSpaces>15602</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2024-02-01T15:14:00Z</dcterms:created>
  <dc:creator>CZJ</dc:creator>
  <cp:lastModifiedBy>Administrator</cp:lastModifiedBy>
  <dcterms:modified xsi:type="dcterms:W3CDTF">2024-08-13T08:05:23Z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BF8D01ACF86946308339F8ABFF178CE4_12</vt:lpwstr>
  </property>
</Properties>
</file>