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_GBK" w:hAnsi="?????_GBK"/>
          <w:b w:val="0"/>
          <w:bCs w:val="0"/>
          <w:sz w:val="30"/>
        </w:rPr>
      </w:pPr>
      <w:bookmarkStart w:id="2" w:name="_GoBack"/>
      <w:bookmarkEnd w:id="2"/>
      <w:bookmarkStart w:id="0" w:name="_Toc24724704"/>
      <w:r>
        <w:rPr>
          <w:rFonts w:hint="eastAsia" w:ascii="宋体" w:hAnsi="宋体" w:cs="宋体"/>
          <w:b w:val="0"/>
          <w:bCs w:val="0"/>
          <w:sz w:val="30"/>
        </w:rPr>
        <w:t>（一）重大建设项目领域基层政务公开标准目录</w:t>
      </w:r>
    </w:p>
    <w:tbl>
      <w:tblPr>
        <w:tblStyle w:val="9"/>
        <w:tblW w:w="151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
        <w:gridCol w:w="900"/>
        <w:gridCol w:w="887"/>
        <w:gridCol w:w="2173"/>
        <w:gridCol w:w="2700"/>
        <w:gridCol w:w="1620"/>
        <w:gridCol w:w="1080"/>
        <w:gridCol w:w="2700"/>
        <w:gridCol w:w="540"/>
        <w:gridCol w:w="720"/>
        <w:gridCol w:w="540"/>
        <w:gridCol w:w="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585" w:type="dxa"/>
            <w:vMerge w:val="restart"/>
            <w:vAlign w:val="center"/>
          </w:tcPr>
          <w:p>
            <w:pPr>
              <w:widowControl/>
              <w:jc w:val="center"/>
              <w:rPr>
                <w:rFonts w:ascii="Times New Roman" w:hAnsi="Times New Roman" w:eastAsia="黑体"/>
                <w:color w:val="000000"/>
                <w:kern w:val="0"/>
                <w:sz w:val="22"/>
              </w:rPr>
            </w:pPr>
            <w:r>
              <w:rPr>
                <w:rFonts w:hint="eastAsia" w:ascii="Times New Roman" w:hAnsi="Times New Roman" w:eastAsia="黑体"/>
                <w:color w:val="000000"/>
                <w:kern w:val="0"/>
                <w:sz w:val="22"/>
              </w:rPr>
              <w:t>序号</w:t>
            </w:r>
          </w:p>
        </w:tc>
        <w:tc>
          <w:tcPr>
            <w:tcW w:w="1787"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7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7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70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6"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jc w:val="center"/>
        </w:trPr>
        <w:tc>
          <w:tcPr>
            <w:tcW w:w="585"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887"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73" w:type="dxa"/>
            <w:vMerge w:val="continue"/>
            <w:tcBorders>
              <w:top w:val="single" w:color="auto" w:sz="4" w:space="0"/>
              <w:left w:val="single" w:color="auto" w:sz="4" w:space="0"/>
              <w:right w:val="single" w:color="auto" w:sz="4" w:space="0"/>
            </w:tcBorders>
            <w:vAlign w:val="center"/>
          </w:tcPr>
          <w:p/>
        </w:tc>
        <w:tc>
          <w:tcPr>
            <w:tcW w:w="270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080" w:type="dxa"/>
            <w:vMerge w:val="continue"/>
            <w:tcBorders>
              <w:top w:val="single" w:color="auto" w:sz="4" w:space="0"/>
              <w:left w:val="single" w:color="auto" w:sz="4" w:space="0"/>
              <w:right w:val="single" w:color="auto" w:sz="4" w:space="0"/>
            </w:tcBorders>
            <w:vAlign w:val="center"/>
          </w:tcPr>
          <w:p/>
        </w:tc>
        <w:tc>
          <w:tcPr>
            <w:tcW w:w="2700" w:type="dxa"/>
            <w:vMerge w:val="continue"/>
            <w:tcBorders>
              <w:top w:val="single" w:color="auto" w:sz="4" w:space="0"/>
              <w:left w:val="single" w:color="auto" w:sz="4" w:space="0"/>
              <w:right w:val="single" w:color="auto" w:sz="4" w:space="0"/>
            </w:tcBorders>
            <w:vAlign w:val="center"/>
          </w:tcP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36"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w:t>
            </w:r>
          </w:p>
        </w:tc>
        <w:tc>
          <w:tcPr>
            <w:tcW w:w="900" w:type="dxa"/>
            <w:vMerge w:val="restart"/>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hint="eastAsia" w:ascii="仿宋_GB2312" w:hAnsi="宋体" w:eastAsia="仿宋_GB2312"/>
                <w:sz w:val="18"/>
                <w:szCs w:val="18"/>
              </w:rPr>
              <w:t>批准服务信息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办事指南</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申报材料清单、批准流程、办理时限、受理机构联系方式、申报要求等</w:t>
            </w:r>
          </w:p>
        </w:tc>
        <w:tc>
          <w:tcPr>
            <w:tcW w:w="270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实时公开</w:t>
            </w: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■公开查阅点</w:t>
            </w:r>
            <w:r>
              <w:rPr>
                <w:rFonts w:ascii="仿宋_GB2312" w:hAnsi="宋体" w:eastAsia="仿宋_GB2312"/>
                <w:sz w:val="18"/>
                <w:szCs w:val="18"/>
              </w:rPr>
              <w:t xml:space="preserve">  </w:t>
            </w:r>
            <w:r>
              <w:rPr>
                <w:rFonts w:hint="eastAsia" w:ascii="仿宋_GB2312" w:hAnsi="宋体" w:eastAsia="仿宋_GB2312"/>
                <w:sz w:val="18"/>
                <w:szCs w:val="18"/>
              </w:rPr>
              <w:t>■政务服务中心■便民服务站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r>
              <w:rPr>
                <w:rFonts w:ascii="仿宋_GB2312" w:hAnsi="宋体" w:eastAsia="仿宋_GB2312"/>
                <w:sz w:val="18"/>
                <w:szCs w:val="18"/>
              </w:rPr>
              <w:t xml:space="preserve"> </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办理过程信息</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事项名称、事项办理部门、办理进展等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及时公开</w:t>
            </w: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720" w:type="dxa"/>
            <w:tcBorders>
              <w:top w:val="single" w:color="auto" w:sz="4" w:space="0"/>
              <w:left w:val="single" w:color="auto" w:sz="4" w:space="0"/>
              <w:right w:val="single" w:color="auto" w:sz="4" w:space="0"/>
            </w:tcBorders>
            <w:vAlign w:val="center"/>
          </w:tcPr>
          <w:p>
            <w:pPr>
              <w:spacing w:line="240" w:lineRule="exact"/>
              <w:jc w:val="left"/>
              <w:rPr>
                <w:rFonts w:ascii="Times New Roman" w:hAnsi="Times New Roman"/>
                <w:sz w:val="15"/>
                <w:szCs w:val="15"/>
              </w:rPr>
            </w:pPr>
            <w:r>
              <w:rPr>
                <w:rFonts w:hint="eastAsia" w:ascii="Times New Roman" w:hAnsi="Times New Roman"/>
                <w:sz w:val="15"/>
                <w:szCs w:val="15"/>
              </w:rPr>
              <w:t>项目单位</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6"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3</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咨询监督</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咨询电话、监督投诉电话等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实时公开</w:t>
            </w:r>
          </w:p>
          <w:p>
            <w:pPr>
              <w:spacing w:line="240" w:lineRule="exact"/>
              <w:rPr>
                <w:rFonts w:ascii="仿宋_GB2312" w:hAnsi="Times New Roman" w:eastAsia="仿宋_GB2312"/>
                <w:sz w:val="18"/>
                <w:szCs w:val="18"/>
              </w:rPr>
            </w:pPr>
          </w:p>
          <w:p>
            <w:pPr>
              <w:spacing w:line="240" w:lineRule="exact"/>
              <w:rPr>
                <w:rFonts w:ascii="仿宋_GB2312" w:hAnsi="Times New Roman" w:eastAsia="仿宋_GB2312"/>
                <w:sz w:val="18"/>
                <w:szCs w:val="18"/>
              </w:rPr>
            </w:pPr>
          </w:p>
          <w:p>
            <w:pPr>
              <w:spacing w:line="240" w:lineRule="exact"/>
              <w:jc w:val="center"/>
              <w:rPr>
                <w:rFonts w:ascii="仿宋_GB2312" w:hAnsi="Times New Roman" w:eastAsia="仿宋_GB2312"/>
                <w:sz w:val="18"/>
                <w:szCs w:val="18"/>
              </w:rPr>
            </w:pP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p>
            <w:pPr>
              <w:spacing w:line="240" w:lineRule="exact"/>
              <w:rPr>
                <w:rFonts w:ascii="仿宋_GB2312" w:hAnsi="Times New Roman" w:eastAsia="仿宋_GB2312"/>
                <w:sz w:val="18"/>
                <w:szCs w:val="18"/>
              </w:rPr>
            </w:pP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■公开查阅点</w:t>
            </w:r>
            <w:r>
              <w:rPr>
                <w:rFonts w:ascii="仿宋_GB2312" w:hAnsi="宋体" w:eastAsia="仿宋_GB2312"/>
                <w:sz w:val="18"/>
                <w:szCs w:val="18"/>
              </w:rPr>
              <w:t xml:space="preserve">   </w:t>
            </w:r>
            <w:r>
              <w:rPr>
                <w:rFonts w:hint="eastAsia" w:ascii="仿宋_GB2312" w:hAnsi="宋体" w:eastAsia="仿宋_GB2312"/>
                <w:sz w:val="18"/>
                <w:szCs w:val="18"/>
              </w:rPr>
              <w:t>■政务服务中心■便民服务站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■社区</w:t>
            </w:r>
            <w:r>
              <w:rPr>
                <w:rFonts w:ascii="仿宋_GB2312" w:hAnsi="宋体" w:eastAsia="仿宋_GB2312"/>
                <w:sz w:val="18"/>
                <w:szCs w:val="18"/>
              </w:rPr>
              <w:t>/</w:t>
            </w:r>
            <w:r>
              <w:rPr>
                <w:rFonts w:hint="eastAsia" w:ascii="仿宋_GB2312" w:hAnsi="宋体" w:eastAsia="仿宋_GB2312"/>
                <w:sz w:val="18"/>
                <w:szCs w:val="18"/>
              </w:rPr>
              <w:t>企事业单位</w:t>
            </w:r>
            <w:r>
              <w:rPr>
                <w:rFonts w:ascii="仿宋_GB2312" w:hAnsi="宋体" w:eastAsia="仿宋_GB2312"/>
                <w:sz w:val="18"/>
                <w:szCs w:val="18"/>
              </w:rPr>
              <w:t>/</w:t>
            </w:r>
            <w:r>
              <w:rPr>
                <w:rFonts w:hint="eastAsia" w:ascii="仿宋_GB2312" w:hAnsi="宋体" w:eastAsia="仿宋_GB2312"/>
                <w:sz w:val="18"/>
                <w:szCs w:val="18"/>
              </w:rPr>
              <w:t>村公示栏■投资项目在线审批监管平台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p>
            <w:pPr>
              <w:spacing w:line="240" w:lineRule="exact"/>
              <w:rPr>
                <w:rFonts w:ascii="Times New Roman" w:hAnsi="Times New Roman"/>
                <w:sz w:val="30"/>
                <w:szCs w:val="30"/>
              </w:rPr>
            </w:pPr>
          </w:p>
          <w:p>
            <w:pPr>
              <w:spacing w:line="240" w:lineRule="exact"/>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4</w:t>
            </w:r>
          </w:p>
        </w:tc>
        <w:tc>
          <w:tcPr>
            <w:tcW w:w="900"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政府投资项目建议书审批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w:t>
            </w:r>
            <w:r>
              <w:rPr>
                <w:rFonts w:ascii="仿宋_GB2312" w:hAnsi="Times New Roman" w:eastAsia="仿宋_GB2312"/>
                <w:sz w:val="18"/>
                <w:szCs w:val="18"/>
              </w:rPr>
              <w:t>20</w:t>
            </w:r>
            <w:r>
              <w:rPr>
                <w:rFonts w:hint="eastAsia" w:ascii="仿宋_GB2312" w:hAnsi="Times New Roman" w:eastAsia="仿宋_GB2312"/>
                <w:sz w:val="18"/>
                <w:szCs w:val="18"/>
              </w:rPr>
              <w:t>个工作日内公开；其中行政许可、行政处罚事项应自作出行政决定之日起</w:t>
            </w:r>
            <w:r>
              <w:rPr>
                <w:rFonts w:ascii="仿宋_GB2312" w:hAnsi="Times New Roman" w:eastAsia="仿宋_GB2312"/>
                <w:sz w:val="18"/>
                <w:szCs w:val="18"/>
              </w:rPr>
              <w:t>7</w:t>
            </w:r>
            <w:r>
              <w:rPr>
                <w:rFonts w:hint="eastAsia" w:ascii="仿宋_GB2312" w:hAnsi="Times New Roman" w:eastAsia="仿宋_GB2312"/>
                <w:sz w:val="18"/>
                <w:szCs w:val="18"/>
              </w:rPr>
              <w:t>个工作日内公示</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5</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政府投资项目可行性研究报告审批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6</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政府投资项目初步设计审批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7</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企业投资项目核准</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8</w:t>
            </w:r>
          </w:p>
        </w:tc>
        <w:tc>
          <w:tcPr>
            <w:tcW w:w="900"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企业投资项目备案</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备案号、备案时间、备案单位、项目名称、项目统一代码等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9</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节能审查</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审查结果、批复时间、批复单位、批复文号、项目名称、项目统一代码等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10</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建设项目用地预审与选址意见书</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审批结果、批复时间、批复文号、项目名称、项目统一代码等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11</w:t>
            </w:r>
          </w:p>
        </w:tc>
        <w:tc>
          <w:tcPr>
            <w:tcW w:w="900"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建设项目环境影响评价审批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12</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建设用地（含临时用地）规划许可证核发</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审核结果、建设用地（含临时用地）规划许可证号、许可时间、发证机关、项目名称、项目统一代码等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spacing w:line="240" w:lineRule="exact"/>
              <w:rPr>
                <w:rFonts w:ascii="仿宋_GB2312"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13</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建设工程规划许可证核发</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审核结果、建设工程规划许可证号、许可时间、发证机关、项目名称、项目统一代码等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14</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乡村建设规划许可证核发</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审核结果、乡村建设规划许可证号、许可时间、发证机关、项目名称、项目统一代码等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15</w:t>
            </w:r>
          </w:p>
        </w:tc>
        <w:tc>
          <w:tcPr>
            <w:tcW w:w="900"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建筑工程施工许可证核发</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16</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招标事项审批核准结果</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17</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取水许可审批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18</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生产建设项目水土保持方案审批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19</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洪水影响评价审批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20</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招标投标信息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招标投标</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招标公告、中标候选人公示、中标结果公示、合同订立及备案情况、招标投标违法处罚信息</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招标人及其招标代理机构或相关行政监督部门</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■公共资源交易平台</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■信用中国网站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■招投标公共服务平台</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8"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21</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征收土地信息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征收土地信息</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征地告知书以及履行征地报批前程序的相关证明材料、建设项目用地呈报说明书、农用地转用方案、补充耕地方案、征收土地方案、供地方案、征地批后实施中征地公告、征地补偿安置方案公告等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22</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重大设计变更信息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重大设计变更审批</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项目设计变更原因、主要变更内容、批准单位、变更结果等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23</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施工有关信息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施工管理服务</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施工图审查机构、审查人员、审查结果、审查时限，项目法人单位及其主要负责人信息，设计、施工、监理单位及其主要负责人、项目负责人信息、资质情况等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24</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质量安全监督机构及其联系方式、质量安全行政处罚情况</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相关主管部门</w:t>
            </w:r>
          </w:p>
        </w:tc>
        <w:tc>
          <w:tcPr>
            <w:tcW w:w="2700" w:type="dxa"/>
            <w:tcBorders>
              <w:top w:val="single" w:color="auto" w:sz="4" w:space="0"/>
              <w:left w:val="single" w:color="auto" w:sz="4" w:space="0"/>
              <w:right w:val="single" w:color="auto" w:sz="4" w:space="0"/>
            </w:tcBorders>
          </w:tcPr>
          <w:p>
            <w:pPr>
              <w:spacing w:line="240" w:lineRule="exact"/>
              <w:jc w:val="lef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w:t>
            </w:r>
            <w:r>
              <w:rPr>
                <w:rFonts w:hint="eastAsia" w:ascii="仿宋_GB2312" w:hAnsi="宋体" w:eastAsia="仿宋_GB2312"/>
                <w:sz w:val="18"/>
                <w:szCs w:val="18"/>
                <w:lang w:eastAsia="zh-CN"/>
              </w:rPr>
              <w:t>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ascii="仿宋_GB2312" w:hAnsi="Times New Roman" w:eastAsia="仿宋_GB2312"/>
                <w:sz w:val="18"/>
                <w:szCs w:val="18"/>
              </w:rPr>
              <w:t>25</w:t>
            </w:r>
          </w:p>
        </w:tc>
        <w:tc>
          <w:tcPr>
            <w:tcW w:w="90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竣工有关信息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竣工验收审批（备案）</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竣工验收时间、竣工验收结果，竣工验收备案时间、备案编号、备案部门等</w:t>
            </w:r>
          </w:p>
        </w:tc>
        <w:tc>
          <w:tcPr>
            <w:tcW w:w="2700" w:type="dxa"/>
            <w:tcBorders>
              <w:top w:val="single" w:color="auto" w:sz="4" w:space="0"/>
              <w:left w:val="single" w:color="auto" w:sz="4" w:space="0"/>
              <w:right w:val="single" w:color="auto" w:sz="4" w:space="0"/>
            </w:tcBorders>
          </w:tcPr>
          <w:p>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区住房和城乡建设局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26</w:t>
            </w:r>
          </w:p>
        </w:tc>
        <w:tc>
          <w:tcPr>
            <w:tcW w:w="900" w:type="dxa"/>
            <w:vMerge w:val="restart"/>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color w:val="000000"/>
                <w:sz w:val="18"/>
                <w:szCs w:val="18"/>
              </w:rPr>
            </w:pPr>
            <w:r>
              <w:rPr>
                <w:rFonts w:hint="eastAsia" w:ascii="仿宋_GB2312" w:hAnsi="宋体" w:eastAsia="仿宋_GB2312"/>
                <w:color w:val="000000"/>
                <w:sz w:val="18"/>
                <w:szCs w:val="18"/>
              </w:rPr>
              <w:t>批准结果信息</w:t>
            </w: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商品房预售许可</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color w:val="000000"/>
                <w:sz w:val="18"/>
                <w:szCs w:val="18"/>
                <w:lang w:eastAsia="zh-CN"/>
              </w:rPr>
            </w:pPr>
            <w:r>
              <w:rPr>
                <w:rFonts w:hint="eastAsia" w:ascii="仿宋_GB2312" w:hAnsi="Times New Roman" w:eastAsia="仿宋_GB2312"/>
                <w:color w:val="000000"/>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spacing w:line="240" w:lineRule="exac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r>
              <w:rPr>
                <w:rFonts w:ascii="仿宋_GB2312" w:hAnsi="宋体" w:eastAsia="仿宋_GB2312"/>
                <w:color w:val="000000"/>
                <w:sz w:val="18"/>
                <w:szCs w:val="18"/>
              </w:rPr>
              <w:t xml:space="preserve">       </w:t>
            </w:r>
          </w:p>
          <w:p>
            <w:pPr>
              <w:spacing w:line="240" w:lineRule="exact"/>
              <w:jc w:val="left"/>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color w:val="000000"/>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color w:val="00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27</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县级政府投资项目投资计划的下达</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color w:val="000000"/>
                <w:sz w:val="18"/>
                <w:szCs w:val="18"/>
                <w:lang w:eastAsia="zh-CN"/>
              </w:rPr>
            </w:pPr>
            <w:r>
              <w:rPr>
                <w:rFonts w:hint="eastAsia" w:ascii="仿宋_GB2312" w:hAnsi="Times New Roman" w:eastAsia="仿宋_GB2312"/>
                <w:color w:val="000000"/>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color w:val="000000"/>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color w:val="00000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28</w:t>
            </w:r>
          </w:p>
        </w:tc>
        <w:tc>
          <w:tcPr>
            <w:tcW w:w="900" w:type="dxa"/>
            <w:vMerge w:val="continue"/>
            <w:tcBorders>
              <w:top w:val="single" w:color="auto" w:sz="4" w:space="0"/>
              <w:left w:val="single" w:color="auto" w:sz="4" w:space="0"/>
              <w:right w:val="single" w:color="auto" w:sz="4" w:space="0"/>
            </w:tcBorders>
            <w:vAlign w:val="center"/>
          </w:tcPr>
          <w:p/>
        </w:tc>
        <w:tc>
          <w:tcPr>
            <w:tcW w:w="887"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重大固定资产投资项目社会稳定风险评估</w:t>
            </w:r>
          </w:p>
        </w:tc>
        <w:tc>
          <w:tcPr>
            <w:tcW w:w="2173"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Borders>
              <w:top w:val="single" w:color="auto" w:sz="4" w:space="0"/>
              <w:left w:val="single" w:color="auto" w:sz="4" w:space="0"/>
              <w:right w:val="single" w:color="auto" w:sz="4" w:space="0"/>
            </w:tcBorders>
          </w:tcPr>
          <w:p>
            <w:pPr>
              <w:spacing w:line="240" w:lineRule="exact"/>
              <w:rPr>
                <w:rFonts w:hint="eastAsia" w:ascii="仿宋_GB2312" w:hAnsi="Times New Roman" w:eastAsia="仿宋_GB2312"/>
                <w:color w:val="000000"/>
                <w:sz w:val="18"/>
                <w:szCs w:val="18"/>
                <w:lang w:eastAsia="zh-CN"/>
              </w:rPr>
            </w:pPr>
            <w:r>
              <w:rPr>
                <w:rFonts w:hint="eastAsia" w:ascii="仿宋_GB2312" w:hAnsi="Times New Roman" w:eastAsia="仿宋_GB2312"/>
                <w:color w:val="000000"/>
                <w:sz w:val="18"/>
                <w:szCs w:val="18"/>
                <w:lang w:eastAsia="zh-CN"/>
              </w:rPr>
              <w:t>区行政审批局</w:t>
            </w:r>
          </w:p>
        </w:tc>
        <w:tc>
          <w:tcPr>
            <w:tcW w:w="2700" w:type="dxa"/>
            <w:tcBorders>
              <w:top w:val="single" w:color="auto" w:sz="4" w:space="0"/>
              <w:left w:val="single" w:color="auto" w:sz="4" w:space="0"/>
              <w:right w:val="single" w:color="auto" w:sz="4" w:space="0"/>
            </w:tcBorders>
          </w:tcPr>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p>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color w:val="000000"/>
                <w:sz w:val="30"/>
                <w:szCs w:val="30"/>
              </w:rPr>
            </w:pPr>
          </w:p>
        </w:tc>
        <w:tc>
          <w:tcPr>
            <w:tcW w:w="540" w:type="dxa"/>
            <w:tcBorders>
              <w:top w:val="single" w:color="auto" w:sz="4" w:space="0"/>
              <w:left w:val="single" w:color="auto" w:sz="4" w:space="0"/>
              <w:right w:val="single" w:color="auto" w:sz="4" w:space="0"/>
            </w:tcBorders>
            <w:vAlign w:val="center"/>
          </w:tcPr>
          <w:p>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tcBorders>
              <w:top w:val="single" w:color="auto" w:sz="4" w:space="0"/>
              <w:left w:val="single" w:color="auto" w:sz="4" w:space="0"/>
              <w:right w:val="single" w:color="auto" w:sz="4" w:space="0"/>
            </w:tcBorders>
            <w:vAlign w:val="center"/>
          </w:tcPr>
          <w:p>
            <w:pPr>
              <w:spacing w:line="240" w:lineRule="exact"/>
              <w:jc w:val="center"/>
              <w:rPr>
                <w:rFonts w:ascii="Times New Roman" w:hAnsi="Times New Roman"/>
                <w:color w:val="000000"/>
                <w:sz w:val="30"/>
                <w:szCs w:val="30"/>
              </w:rPr>
            </w:pPr>
          </w:p>
        </w:tc>
      </w:tr>
    </w:tbl>
    <w:p>
      <w:pPr>
        <w:jc w:val="center"/>
        <w:rPr>
          <w:rFonts w:ascii="Times New Roman" w:hAnsi="Times New Roman"/>
          <w:sz w:val="28"/>
          <w:szCs w:val="28"/>
        </w:rPr>
      </w:pPr>
    </w:p>
    <w:p>
      <w:pPr>
        <w:jc w:val="center"/>
        <w:rPr>
          <w:rFonts w:ascii="Times New Roman" w:hAnsi="Times New Roman"/>
          <w:sz w:val="28"/>
          <w:szCs w:val="28"/>
        </w:rPr>
      </w:pPr>
    </w:p>
    <w:p>
      <w:pPr>
        <w:rPr>
          <w:rFonts w:ascii="Times New Roman" w:hAnsi="Times New Roman"/>
          <w:sz w:val="28"/>
          <w:szCs w:val="28"/>
        </w:rPr>
      </w:pPr>
    </w:p>
    <w:p>
      <w:pPr>
        <w:pStyle w:val="2"/>
        <w:jc w:val="center"/>
        <w:rPr>
          <w:rFonts w:ascii="?????_GBK" w:hAnsi="?????_GBK"/>
          <w:b w:val="0"/>
          <w:bCs w:val="0"/>
          <w:sz w:val="30"/>
        </w:rPr>
      </w:pPr>
      <w:r>
        <w:br w:type="page"/>
      </w:r>
      <w:r>
        <w:rPr>
          <w:rFonts w:hint="eastAsia" w:ascii="宋体" w:hAnsi="宋体" w:cs="宋体"/>
          <w:b w:val="0"/>
          <w:bCs w:val="0"/>
          <w:sz w:val="30"/>
        </w:rPr>
        <w:t>（二）公共资源交易领域基层政务公开标准目录</w:t>
      </w:r>
    </w:p>
    <w:tbl>
      <w:tblPr>
        <w:tblStyle w:val="9"/>
        <w:tblW w:w="15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776"/>
        <w:gridCol w:w="3364"/>
        <w:gridCol w:w="2340"/>
        <w:gridCol w:w="1620"/>
        <w:gridCol w:w="956"/>
        <w:gridCol w:w="1856"/>
        <w:gridCol w:w="720"/>
        <w:gridCol w:w="900"/>
        <w:gridCol w:w="788"/>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仿宋_GB2312" w:hAnsi="Times New Roman" w:eastAsia="仿宋_GB2312"/>
                <w:kern w:val="0"/>
                <w:sz w:val="18"/>
                <w:szCs w:val="18"/>
              </w:rPr>
            </w:pPr>
            <w:r>
              <w:rPr>
                <w:rFonts w:hint="eastAsia" w:ascii="黑体" w:hAnsi="宋体" w:eastAsia="黑体" w:cs="宋体"/>
                <w:kern w:val="0"/>
                <w:sz w:val="22"/>
              </w:rPr>
              <w:t>序号</w:t>
            </w:r>
          </w:p>
        </w:tc>
        <w:tc>
          <w:tcPr>
            <w:tcW w:w="1676"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公开事项</w:t>
            </w:r>
          </w:p>
        </w:tc>
        <w:tc>
          <w:tcPr>
            <w:tcW w:w="3364"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公开内容（要素）</w:t>
            </w:r>
          </w:p>
        </w:tc>
        <w:tc>
          <w:tcPr>
            <w:tcW w:w="23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公开依据</w:t>
            </w:r>
          </w:p>
        </w:tc>
        <w:tc>
          <w:tcPr>
            <w:tcW w:w="16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w:t>
            </w:r>
          </w:p>
          <w:p>
            <w:pPr>
              <w:widowControl/>
              <w:jc w:val="center"/>
              <w:rPr>
                <w:rFonts w:ascii="黑体" w:hAnsi="宋体" w:eastAsia="黑体" w:cs="宋体"/>
                <w:kern w:val="0"/>
                <w:sz w:val="22"/>
              </w:rPr>
            </w:pPr>
            <w:r>
              <w:rPr>
                <w:rFonts w:hint="eastAsia" w:ascii="黑体" w:hAnsi="宋体" w:eastAsia="黑体" w:cs="宋体"/>
                <w:kern w:val="0"/>
                <w:sz w:val="22"/>
              </w:rPr>
              <w:t>时限</w:t>
            </w:r>
          </w:p>
        </w:tc>
        <w:tc>
          <w:tcPr>
            <w:tcW w:w="95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w:t>
            </w:r>
          </w:p>
          <w:p>
            <w:pPr>
              <w:widowControl/>
              <w:jc w:val="center"/>
              <w:rPr>
                <w:rFonts w:ascii="黑体" w:hAnsi="宋体" w:eastAsia="黑体" w:cs="宋体"/>
                <w:kern w:val="0"/>
                <w:sz w:val="22"/>
              </w:rPr>
            </w:pPr>
            <w:r>
              <w:rPr>
                <w:rFonts w:hint="eastAsia" w:ascii="黑体" w:hAnsi="宋体" w:eastAsia="黑体" w:cs="宋体"/>
                <w:kern w:val="0"/>
                <w:sz w:val="22"/>
              </w:rPr>
              <w:t>主体</w:t>
            </w:r>
          </w:p>
        </w:tc>
        <w:tc>
          <w:tcPr>
            <w:tcW w:w="185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620"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公开对象</w:t>
            </w:r>
          </w:p>
        </w:tc>
        <w:tc>
          <w:tcPr>
            <w:tcW w:w="1688"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一级事项</w:t>
            </w:r>
          </w:p>
        </w:tc>
        <w:tc>
          <w:tcPr>
            <w:tcW w:w="776"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二级事项</w:t>
            </w:r>
          </w:p>
        </w:tc>
        <w:tc>
          <w:tcPr>
            <w:tcW w:w="3364" w:type="dxa"/>
            <w:vMerge w:val="continue"/>
            <w:tcBorders>
              <w:top w:val="single" w:color="auto" w:sz="4" w:space="0"/>
              <w:left w:val="single" w:color="auto" w:sz="4" w:space="0"/>
              <w:right w:val="single" w:color="auto" w:sz="4" w:space="0"/>
            </w:tcBorders>
            <w:vAlign w:val="center"/>
          </w:tcPr>
          <w:p/>
        </w:tc>
        <w:tc>
          <w:tcPr>
            <w:tcW w:w="234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956" w:type="dxa"/>
            <w:vMerge w:val="continue"/>
            <w:tcBorders>
              <w:top w:val="single" w:color="auto" w:sz="4" w:space="0"/>
              <w:left w:val="single" w:color="auto" w:sz="4" w:space="0"/>
              <w:right w:val="single" w:color="auto" w:sz="4" w:space="0"/>
            </w:tcBorders>
            <w:vAlign w:val="center"/>
          </w:tcPr>
          <w:p/>
        </w:tc>
        <w:tc>
          <w:tcPr>
            <w:tcW w:w="185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全社会</w:t>
            </w: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特定</w:t>
            </w:r>
          </w:p>
          <w:p>
            <w:pPr>
              <w:widowControl/>
              <w:jc w:val="center"/>
              <w:rPr>
                <w:rFonts w:ascii="黑体" w:hAnsi="宋体" w:eastAsia="黑体" w:cs="宋体"/>
                <w:kern w:val="0"/>
                <w:sz w:val="22"/>
              </w:rPr>
            </w:pPr>
            <w:r>
              <w:rPr>
                <w:rFonts w:hint="eastAsia" w:ascii="黑体" w:hAnsi="宋体" w:eastAsia="黑体" w:cs="宋体"/>
                <w:kern w:val="0"/>
                <w:sz w:val="22"/>
              </w:rPr>
              <w:t>群众</w:t>
            </w:r>
          </w:p>
        </w:tc>
        <w:tc>
          <w:tcPr>
            <w:tcW w:w="788"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主动</w:t>
            </w: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eastAsia="仿宋_GB2312"/>
                <w:sz w:val="18"/>
                <w:szCs w:val="18"/>
              </w:rPr>
              <w:t>1</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hint="eastAsia" w:ascii="仿宋_GB2312" w:hAnsi="宋体" w:eastAsia="仿宋_GB2312"/>
                <w:sz w:val="18"/>
                <w:szCs w:val="18"/>
              </w:rPr>
              <w:t>工程建设项目招标投标信息</w:t>
            </w: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审批核准信息</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招标内容、招标范围、招标组织形式、招标方式、招标估算金额、招标事项审核或核准部门。</w:t>
            </w:r>
          </w:p>
        </w:tc>
        <w:tc>
          <w:tcPr>
            <w:tcW w:w="23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、《政府信息公开条例》、《国务院办公厅关于推进公共资源配置领域政府信息公开的意见》</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负责管理的部门分别公开</w:t>
            </w:r>
          </w:p>
        </w:tc>
        <w:tc>
          <w:tcPr>
            <w:tcW w:w="18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lang w:eastAsia="zh-CN"/>
              </w:rPr>
              <w:t>■政府网站</w:t>
            </w:r>
            <w:r>
              <w:rPr>
                <w:rFonts w:hint="eastAsia" w:ascii="仿宋_GB2312" w:hAnsi="仿宋_GB2312" w:eastAsia="仿宋_GB2312" w:cs="仿宋_GB2312"/>
                <w:sz w:val="18"/>
                <w:szCs w:val="18"/>
              </w:rPr>
              <w:t></w:t>
            </w:r>
          </w:p>
          <w:p>
            <w:pPr>
              <w:rPr>
                <w:rFonts w:ascii="仿宋_GB2312" w:hAnsi="宋体" w:eastAsia="仿宋_GB2312"/>
                <w:sz w:val="18"/>
                <w:szCs w:val="18"/>
              </w:rPr>
            </w:p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eastAsia="仿宋_GB2312"/>
                <w:sz w:val="18"/>
                <w:szCs w:val="18"/>
              </w:rPr>
              <w:t>2</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hint="eastAsia" w:ascii="仿宋_GB2312" w:hAnsi="宋体" w:eastAsia="仿宋_GB2312"/>
                <w:sz w:val="18"/>
                <w:szCs w:val="18"/>
              </w:rPr>
              <w:t>工程建设项目招标投标信息　</w:t>
            </w: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资格预审公告</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资格预审文件的时间、方式；递交资格预审文件的截止时间、方式；招标人及其招标代理机构的名称、地址、联系人及联系方式；采用电子招标投标方式的，潜在投标人访问电子招标投标交易平台的网址和方法；其他依法应当载明的内容。</w:t>
            </w:r>
          </w:p>
        </w:tc>
        <w:tc>
          <w:tcPr>
            <w:tcW w:w="23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、《国务院办公厅关于推进公共资源配置领域政府信息公开的意见》、《招标公告和公示信息发布管理办法》</w:t>
            </w:r>
          </w:p>
        </w:tc>
        <w:tc>
          <w:tcPr>
            <w:tcW w:w="16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pPr>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eastAsia="仿宋_GB2312"/>
                <w:sz w:val="18"/>
                <w:szCs w:val="18"/>
              </w:rPr>
              <w:t>3</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hint="eastAsia" w:ascii="仿宋_GB2312" w:hAnsi="宋体" w:eastAsia="仿宋_GB2312"/>
                <w:sz w:val="18"/>
                <w:szCs w:val="18"/>
              </w:rPr>
              <w:t>工程建设项目招标投标信息　</w:t>
            </w:r>
          </w:p>
          <w:p>
            <w:pPr>
              <w:jc w:val="center"/>
              <w:rPr>
                <w:rFonts w:ascii="仿宋_GB2312" w:hAnsi="宋体" w:eastAsia="仿宋_GB2312" w:cs="宋体"/>
                <w:sz w:val="18"/>
                <w:szCs w:val="18"/>
              </w:rPr>
            </w:pPr>
            <w:r>
              <w:rPr>
                <w:rFonts w:hint="eastAsia" w:ascii="仿宋_GB2312" w:hAnsi="宋体" w:eastAsia="仿宋_GB2312"/>
                <w:sz w:val="18"/>
                <w:szCs w:val="18"/>
              </w:rPr>
              <w:t>　</w:t>
            </w: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招标公告</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招标文件的时间、方式；递交投标文件的截止时间、方式；招标人及其招标代理机构的名称、地址、联系人及联系方式；采用电子招标投标方式的，潜在投标人访问电子招标投标交易平台的网址和方法；其他依法应当载明的内容。</w:t>
            </w:r>
          </w:p>
        </w:tc>
        <w:tc>
          <w:tcPr>
            <w:tcW w:w="2340" w:type="dxa"/>
            <w:vMerge w:val="restart"/>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、《国务院办公厅关于推进公共资源配置领域政府信息公开的意见》、《招标公告和公示信息发布管理办法》、《电子招标投标办法》</w:t>
            </w:r>
          </w:p>
        </w:tc>
        <w:tc>
          <w:tcPr>
            <w:tcW w:w="16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eastAsia="仿宋_GB2312"/>
                <w:sz w:val="18"/>
                <w:szCs w:val="18"/>
              </w:rPr>
              <w:t>4</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中标候选人公示</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宋体" w:eastAsia="仿宋_GB2312"/>
                <w:sz w:val="18"/>
                <w:szCs w:val="18"/>
              </w:rPr>
              <w:t>中标候选人排序、名称、投标报价、质量、工期（交货期），以及评标情况；中标候选人按照招标文件要求承诺的项目负责人姓名及其相关证书名称和编号；中标候选人响应招标文件要求的资格能力条件；提出异议的渠道和方式；</w:t>
            </w:r>
            <w:r>
              <w:rPr>
                <w:rFonts w:ascii="仿宋_GB2312" w:hAnsi="宋体" w:eastAsia="仿宋_GB2312"/>
                <w:sz w:val="18"/>
                <w:szCs w:val="18"/>
              </w:rPr>
              <w:br w:type="textWrapping"/>
            </w:r>
            <w:r>
              <w:rPr>
                <w:rFonts w:hint="eastAsia" w:ascii="仿宋_GB2312" w:hAnsi="宋体" w:eastAsia="仿宋_GB2312"/>
                <w:sz w:val="18"/>
                <w:szCs w:val="18"/>
              </w:rPr>
              <w:t>招标文件规定公示的其他内容。</w:t>
            </w:r>
          </w:p>
        </w:tc>
        <w:tc>
          <w:tcPr>
            <w:tcW w:w="2340"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依法必须进行招标的项目，招标人应当自收到评标报告之日起</w:t>
            </w:r>
            <w:r>
              <w:rPr>
                <w:rFonts w:ascii="仿宋_GB2312" w:hAnsi="宋体" w:eastAsia="仿宋_GB2312"/>
                <w:sz w:val="18"/>
                <w:szCs w:val="18"/>
              </w:rPr>
              <w:t>3</w:t>
            </w:r>
            <w:r>
              <w:rPr>
                <w:rFonts w:hint="eastAsia" w:ascii="仿宋_GB2312" w:hAnsi="宋体" w:eastAsia="仿宋_GB2312"/>
                <w:sz w:val="18"/>
                <w:szCs w:val="18"/>
              </w:rPr>
              <w:t>日内公示中标候选人，公示期不得少于</w:t>
            </w:r>
            <w:r>
              <w:rPr>
                <w:rFonts w:ascii="仿宋_GB2312" w:hAnsi="宋体" w:eastAsia="仿宋_GB2312"/>
                <w:sz w:val="18"/>
                <w:szCs w:val="18"/>
              </w:rPr>
              <w:t>3</w:t>
            </w:r>
            <w:r>
              <w:rPr>
                <w:rFonts w:hint="eastAsia" w:ascii="仿宋_GB2312" w:hAnsi="宋体" w:eastAsia="仿宋_GB2312"/>
                <w:sz w:val="18"/>
                <w:szCs w:val="18"/>
              </w:rPr>
              <w:t>日</w:t>
            </w:r>
          </w:p>
        </w:tc>
        <w:tc>
          <w:tcPr>
            <w:tcW w:w="9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ascii="仿宋_GB2312" w:hAnsi="宋体" w:eastAsia="仿宋_GB2312"/>
                <w:sz w:val="18"/>
                <w:szCs w:val="18"/>
              </w:rPr>
              <w:t>5</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工程建设项目招标投标信息　</w:t>
            </w: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中标结果</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招标项目名称、中标人名称、中标价、工期、项目负责人、中标内容。</w:t>
            </w:r>
          </w:p>
        </w:tc>
        <w:tc>
          <w:tcPr>
            <w:tcW w:w="2340"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《国务院办公厅关于推进公共资源配置领域政府信息公开的意见》、《招标公告和公示信息发布管理办法》、《电子招标投标办法》</w:t>
            </w:r>
            <w:r>
              <w:rPr>
                <w:rFonts w:ascii="仿宋_GB2312" w:hAnsi="宋体" w:eastAsia="仿宋_GB2312"/>
                <w:sz w:val="18"/>
                <w:szCs w:val="18"/>
              </w:rPr>
              <w:t xml:space="preserve"> </w:t>
            </w:r>
          </w:p>
        </w:tc>
        <w:tc>
          <w:tcPr>
            <w:tcW w:w="16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eastAsia="仿宋_GB2312"/>
                <w:sz w:val="18"/>
                <w:szCs w:val="18"/>
              </w:rPr>
              <w:t>6</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合同订立信息</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包括项目名称、合同双方名称、合同价款、签约时间、合同期限。</w:t>
            </w:r>
          </w:p>
        </w:tc>
        <w:tc>
          <w:tcPr>
            <w:tcW w:w="2340" w:type="dxa"/>
            <w:vMerge w:val="restart"/>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《国务院办公厅关于推进公共资源配置领域政府信息公开的意见》、《电子招标投标办法》</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合同当事人</w:t>
            </w:r>
          </w:p>
        </w:tc>
        <w:tc>
          <w:tcPr>
            <w:tcW w:w="1856" w:type="dxa"/>
            <w:vMerge w:val="restart"/>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hAnsi="宋体"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eastAsia="仿宋_GB2312"/>
                <w:sz w:val="18"/>
                <w:szCs w:val="18"/>
              </w:rPr>
              <w:t>7</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合同履行及变更信息</w:t>
            </w:r>
          </w:p>
        </w:tc>
        <w:tc>
          <w:tcPr>
            <w:tcW w:w="336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项目名称、标段名称、建设单位、承包人、项目完成质量、期限、结算金额、合同发生的变更、解除合同通知书、违约行为的处理结果。</w:t>
            </w:r>
          </w:p>
        </w:tc>
        <w:tc>
          <w:tcPr>
            <w:tcW w:w="2340"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鼓励及时公开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合同当事人</w:t>
            </w:r>
          </w:p>
        </w:tc>
        <w:tc>
          <w:tcPr>
            <w:tcW w:w="185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宋体" w:cs="宋体"/>
                <w:sz w:val="18"/>
                <w:szCs w:val="18"/>
              </w:rPr>
            </w:pPr>
            <w:r>
              <w:rPr>
                <w:rFonts w:hint="eastAsia"/>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宋体" w:cs="宋体"/>
                <w:sz w:val="18"/>
                <w:szCs w:val="18"/>
              </w:rPr>
            </w:pPr>
            <w:r>
              <w:rPr>
                <w:rFonts w:hint="eastAsia"/>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宋体" w:cs="宋体"/>
                <w:sz w:val="18"/>
                <w:szCs w:val="18"/>
              </w:rPr>
            </w:pPr>
            <w:r>
              <w:rPr>
                <w:rFonts w:hint="eastAsia"/>
                <w:sz w:val="18"/>
                <w:szCs w:val="18"/>
              </w:rPr>
              <w:t>√</w:t>
            </w:r>
          </w:p>
        </w:tc>
        <w:tc>
          <w:tcPr>
            <w:tcW w:w="900" w:type="dxa"/>
            <w:tcBorders>
              <w:top w:val="single" w:color="auto" w:sz="4" w:space="0"/>
              <w:left w:val="single" w:color="auto" w:sz="4" w:space="0"/>
              <w:right w:val="single" w:color="auto" w:sz="4" w:space="0"/>
            </w:tcBorders>
            <w:vAlign w:val="center"/>
          </w:tcPr>
          <w:p>
            <w:pPr>
              <w:rPr>
                <w:rFonts w:asci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8</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工程建设项目招标投标信息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资格预审文件、招标文件澄清或修改</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lang w:eastAsia="zh-CN"/>
              </w:rPr>
              <w:t>《中华人民共和国招标投标法》</w:t>
            </w:r>
            <w:r>
              <w:rPr>
                <w:rFonts w:hint="eastAsia" w:ascii="仿宋_GB2312" w:eastAsia="仿宋_GB2312"/>
                <w:sz w:val="18"/>
                <w:szCs w:val="18"/>
              </w:rPr>
              <w:t>、</w:t>
            </w:r>
            <w:r>
              <w:rPr>
                <w:rFonts w:hint="eastAsia" w:ascii="仿宋_GB2312" w:eastAsia="仿宋_GB2312"/>
                <w:sz w:val="18"/>
                <w:szCs w:val="18"/>
                <w:lang w:eastAsia="zh-CN"/>
              </w:rPr>
              <w:t>《中华人民共和国招标投标法实施条例》</w:t>
            </w:r>
            <w:r>
              <w:rPr>
                <w:rFonts w:hint="eastAsia" w:ascii="仿宋_GB2312" w:eastAsia="仿宋_GB2312"/>
                <w:sz w:val="18"/>
                <w:szCs w:val="18"/>
              </w:rPr>
              <w:t>、《电子招标投标办法》</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依法必须进行招标的项目，澄清或者修改的内容可能影响资格预审申请文件或者投标文件编制的，应当在提交资格预审申请文件截止时间至少</w:t>
            </w:r>
            <w:r>
              <w:rPr>
                <w:rFonts w:ascii="仿宋_GB2312" w:eastAsia="仿宋_GB2312"/>
                <w:sz w:val="18"/>
                <w:szCs w:val="18"/>
              </w:rPr>
              <w:t>3</w:t>
            </w:r>
            <w:r>
              <w:rPr>
                <w:rFonts w:hint="eastAsia" w:ascii="仿宋_GB2312" w:eastAsia="仿宋_GB2312"/>
                <w:sz w:val="18"/>
                <w:szCs w:val="18"/>
              </w:rPr>
              <w:t>日前，或者投标截止时间至少</w:t>
            </w:r>
            <w:r>
              <w:rPr>
                <w:rFonts w:ascii="仿宋_GB2312" w:eastAsia="仿宋_GB2312"/>
                <w:sz w:val="18"/>
                <w:szCs w:val="18"/>
              </w:rPr>
              <w:t>15</w:t>
            </w:r>
            <w:r>
              <w:rPr>
                <w:rFonts w:hint="eastAsia" w:ascii="仿宋_GB2312" w:eastAsia="仿宋_GB2312"/>
                <w:sz w:val="18"/>
                <w:szCs w:val="18"/>
              </w:rPr>
              <w:t>日前</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招标投标公共服务平台</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9</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工程建设项目招标投标信息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招标公告和公示信息澄清、修改</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《招标公告和公示信息发布管理办法》</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10</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暂停、终止招标</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招标人名称、招标项目名称、招标项目编号、本项目首次公告日期、招标暂停或终止原因、联系方式、其他事项。</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《招标公告和公示信息发布管理办法》）</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11</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市场主体信用信息</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当事人的姓名或者名称、地址；违反法律、法规或者规章的事实和证据；行政处罚的种类和依据；行政处罚的履行方式和期限；不服行政处罚决定，申请行政复议或者提起行政诉讼的途径和期限；作出行政处罚决定的行政机关名称和作出决定的日期。</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《行政处罚法》、《政府信息公开条例》、《国务院办公厅关于推进公共资源配置领域政府信息公开的意见》</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信息形成之日起</w:t>
            </w:r>
            <w:r>
              <w:rPr>
                <w:rFonts w:ascii="仿宋_GB2312" w:eastAsia="仿宋_GB2312"/>
                <w:sz w:val="18"/>
                <w:szCs w:val="18"/>
              </w:rPr>
              <w:t>20</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负责管理的部门分别公开</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■信用中国</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12</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w:t>
            </w:r>
          </w:p>
          <w:p>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及其委托的采购代理机构的名称、地址和联系方法；采购项目的名称、预算金额，设定最高限价的，还应当公开最高限价；采购人的采购需求；投标人的资格要求；获取招标文件的时间、地点、方式及招标文件售价；公告期限；投标截止时间、开标时间及地点；采购项目联系人姓名和电话。</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《国务院办公厅关于推进公共资源配置领域政府信息公开的意见》、《政府采购货物和服务招标投标管理办法》、《财政部关于做好政府采购信息公开工作的通知》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13</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资格预审公告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及其委托的采购代理机构的名称、地址和联系方法；采购项目名称、预算金额，设定最高限价的，还应当公开最高限价；采购人的采购需求；投标人的资格要求；公告期限；获取资格预审文件的时间期限、地点、方式；提交资格预审申请文件的截止时间、地点及资格预审日期；采购项目联系人姓名和电话。</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《国务院办公厅关于推进公共资源配置领域政府信息公开的意见》、《政府采购货物和服务招标投标管理办法》、《财政部关于做好政府采购信息公开工作的通知》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2"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14</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　</w:t>
            </w:r>
          </w:p>
          <w:p>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竞争性谈判公告、竞争性磋商公告和询价公告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采购代理机构的名称、地址和联系方法，采购项目的名称、数量、简要规格描述或项目基本概况介绍，采购项目预算金额，采购项目需要落实的政府采购政策，对供应商的资格要求，获取谈判、磋商、询价文件的时间、地点、方式及文件售价，响应文件提交的截止时间、开启时间及地点，采购项目联系人姓名和电话。</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3</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15</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采购项目预算金额</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项目的预算金额以财政部门批复的部门预算中的政府采购预算为依据；对于部门预算批复前进行采购的项目，以预算“二上数”中的政府采购预算为依据。对于部门预算已列明具体采购项目的，按照部门预算中具体采购项目的预算金额公开；部门预算未列明采购项目的，应当根据工作实际对部门预算进行分解，按照分解后的具体采购项目预算金额公开。对于部门预算分年度安排但不宜按年度拆分的采购项目，应当公开采购项目的采购年限、概算总金额和当年安排数。</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随采购公告、采购文件公开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16</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　</w:t>
            </w:r>
          </w:p>
          <w:p>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采购文件</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招标文件、竞争性谈判文件、竞争性磋商文件和询价通知书。</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随中标、成交结果同时公告。中标、成交结果公告前采购文件已公告的，不再重复公告</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2"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17</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采购信息更正公告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采购人和采购代理机构名称、地址、联系方式；原公告的采购项目名称及首次公告日期；更正事项、内容及日期；采购项目联系人和电话。</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投标截止时间至少</w:t>
            </w:r>
            <w:r>
              <w:rPr>
                <w:rFonts w:ascii="仿宋_GB2312" w:eastAsia="仿宋_GB2312"/>
                <w:sz w:val="18"/>
                <w:szCs w:val="18"/>
              </w:rPr>
              <w:t>15</w:t>
            </w:r>
            <w:r>
              <w:rPr>
                <w:rFonts w:hint="eastAsia" w:ascii="仿宋_GB2312" w:eastAsia="仿宋_GB2312"/>
                <w:sz w:val="18"/>
                <w:szCs w:val="18"/>
              </w:rPr>
              <w:t>日前、提交资格预审申请文件截止时间至少</w:t>
            </w:r>
            <w:r>
              <w:rPr>
                <w:rFonts w:ascii="仿宋_GB2312" w:eastAsia="仿宋_GB2312"/>
                <w:sz w:val="18"/>
                <w:szCs w:val="18"/>
              </w:rPr>
              <w:t>3</w:t>
            </w:r>
            <w:r>
              <w:rPr>
                <w:rFonts w:hint="eastAsia" w:ascii="仿宋_GB2312" w:eastAsia="仿宋_GB2312"/>
                <w:sz w:val="18"/>
                <w:szCs w:val="18"/>
              </w:rPr>
              <w:t>日前，或者提交首次响应文件截止之日</w:t>
            </w:r>
            <w:r>
              <w:rPr>
                <w:rFonts w:ascii="仿宋_GB2312" w:eastAsia="仿宋_GB2312"/>
                <w:sz w:val="18"/>
                <w:szCs w:val="18"/>
              </w:rPr>
              <w:t>3</w:t>
            </w:r>
            <w:r>
              <w:rPr>
                <w:rFonts w:hint="eastAsia" w:ascii="仿宋_GB2312" w:eastAsia="仿宋_GB2312"/>
                <w:sz w:val="18"/>
                <w:szCs w:val="18"/>
              </w:rPr>
              <w:t>个工作日前</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18</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　</w:t>
            </w:r>
          </w:p>
          <w:p>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单一来源公示</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采购项目名称；拟采购的货物或者服务的说明、拟采购的货物或者服务的预算金额；采用单一来源方式的原因及相关说明；拟定的唯一供应商名称、地址；专业人员对相关供应商因专利、专有技术等原因具有唯一性的具体论证意见，以及专业人员的姓名、工作单位和职称；公示的期限；采购人、采购代理机构、财政部门的联系地址、联系人和联系电话。</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jc w:val="left"/>
              <w:rPr>
                <w:rFonts w:ascii="仿宋_GB2312" w:eastAsia="仿宋_GB2312"/>
                <w:sz w:val="18"/>
                <w:szCs w:val="18"/>
              </w:rPr>
            </w:pPr>
            <w:r>
              <w:rPr>
                <w:rFonts w:hint="eastAsia" w:ascii="仿宋_GB2312" w:eastAsia="仿宋_GB2312"/>
                <w:sz w:val="18"/>
                <w:szCs w:val="18"/>
              </w:rPr>
              <w:t>及时公开，公示期限不得少于</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8"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19</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协议供货和定点采购的具体成交记录</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采购人和成交供应商的名称、成交金额以及成交标的的名称、规格型号、数量、单价等。电子卖场、电子商城、网上超市等的具体成交记录，也应当予以公开。</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《关于进一步做好政府采购信息公开工作有关事项的通知》</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集中采购机构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20</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　</w:t>
            </w:r>
          </w:p>
          <w:p>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中标、成交结果</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项目名称和项目编号；中标或者成交供应商名称、地址和中标或者成交金额；主要中标或者成交标的的名称、规格型号、数量、单价、服务要求或者标的的基本概况；评审专家名单。协议供货、定点采购项目还应当公告入围价格、价格调整规则和优惠条件。采用书面推荐供应商参加采购活动的，还应当公告采购人和评审专家的推荐意见。</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jc w:val="left"/>
              <w:rPr>
                <w:rFonts w:ascii="仿宋_GB2312" w:eastAsia="仿宋_GB2312"/>
                <w:sz w:val="18"/>
                <w:szCs w:val="18"/>
              </w:rPr>
            </w:pPr>
            <w:r>
              <w:rPr>
                <w:rFonts w:hint="eastAsia" w:ascii="仿宋_GB2312" w:eastAsia="仿宋_GB2312"/>
                <w:sz w:val="18"/>
                <w:szCs w:val="18"/>
              </w:rPr>
              <w:t>自中标、成交供应商确定之日起</w:t>
            </w:r>
            <w:r>
              <w:rPr>
                <w:rFonts w:ascii="仿宋_GB2312" w:eastAsia="仿宋_GB2312"/>
                <w:sz w:val="18"/>
                <w:szCs w:val="18"/>
              </w:rPr>
              <w:t>2</w:t>
            </w:r>
            <w:r>
              <w:rPr>
                <w:rFonts w:hint="eastAsia" w:ascii="仿宋_GB2312" w:eastAsia="仿宋_GB2312"/>
                <w:sz w:val="18"/>
                <w:szCs w:val="18"/>
              </w:rPr>
              <w:t>个工作日内公告，公告期限为</w:t>
            </w:r>
            <w:r>
              <w:rPr>
                <w:rFonts w:ascii="仿宋_GB2312" w:eastAsia="仿宋_GB2312"/>
                <w:sz w:val="18"/>
                <w:szCs w:val="18"/>
              </w:rPr>
              <w:t>1</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21</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采购合同</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采购人和采购代理机构名称、地址、联系方式；采购项目名称、编号，合同编号；供应商名称；合同内容。</w:t>
            </w:r>
            <w:r>
              <w:rPr>
                <w:rFonts w:ascii="仿宋_GB2312" w:eastAsia="仿宋_GB2312"/>
                <w:sz w:val="18"/>
                <w:szCs w:val="18"/>
              </w:rPr>
              <w:br w:type="textWrapping"/>
            </w:r>
            <w:r>
              <w:rPr>
                <w:rFonts w:hint="eastAsia" w:ascii="仿宋_GB2312" w:eastAsia="仿宋_GB2312"/>
                <w:sz w:val="18"/>
                <w:szCs w:val="18"/>
              </w:rPr>
              <w:t>政府采购合同中涉及国家秘密、商业秘密的部分可以不公告，但其他内容应当公告。合同标的名称、规格型号、单价及合同金额等内容不得作为商业秘密。合同中涉及个人隐私的姓名、联系方式等内容，除征得权利人同意外，不得对外公告。批量集中采购项目应当公告框架协议。</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合同签订之日起</w:t>
            </w:r>
            <w:r>
              <w:rPr>
                <w:rFonts w:ascii="仿宋_GB2312" w:eastAsia="仿宋_GB2312"/>
                <w:sz w:val="18"/>
                <w:szCs w:val="18"/>
              </w:rPr>
              <w:t>2</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22</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　</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终止公告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采购人和采购代理机构名称、地址、联系方式；采购项目名称、采购编号，采购方式；采购项目终止原因；公告期限；采购项目联系人和电话。</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23</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公共服务项目采购需求</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采购对象需实现的功能或者目标，满足项目需要的所有技术、服务、安全等要求，采购对象的数量、交付或实施的时间和地点，采购对象的验收标准等。</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《财政部关于做好政府采购信息公开工作的通知》、《关于进一步加强政府采购需求和履约验收管理的指导意见》</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24</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公共服务项目验收结果</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采购人和采购代理机构名称、地址、联系方式；采购项目名称、编号，合同编号；履约供应商名称；验收单位；验收结果；验收人员。</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验收结束之日起</w:t>
            </w:r>
            <w:r>
              <w:rPr>
                <w:rFonts w:ascii="仿宋_GB2312" w:eastAsia="仿宋_GB2312"/>
                <w:sz w:val="18"/>
                <w:szCs w:val="18"/>
              </w:rPr>
              <w:t>2</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采购人</w:t>
            </w:r>
          </w:p>
        </w:tc>
        <w:tc>
          <w:tcPr>
            <w:tcW w:w="1856" w:type="dxa"/>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25</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政府采购信息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投诉、监督检查等处理决定公告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相关当事人名称及地址、投诉涉及采购项目名称及采购日期、投诉事项或监督检查主要事项、处理依据、处理结果、执法机关名称、公告日期等。</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完成并履行有关报审程序后</w:t>
            </w:r>
            <w:r>
              <w:rPr>
                <w:rFonts w:ascii="仿宋_GB2312" w:eastAsia="仿宋_GB2312"/>
                <w:sz w:val="18"/>
                <w:szCs w:val="18"/>
              </w:rPr>
              <w:t>5</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hint="eastAsia" w:ascii="仿宋_GB2312" w:eastAsia="仿宋_GB2312"/>
                <w:sz w:val="18"/>
                <w:szCs w:val="18"/>
                <w:lang w:eastAsia="zh-CN"/>
              </w:rPr>
            </w:pPr>
            <w:r>
              <w:rPr>
                <w:rFonts w:hint="eastAsia" w:ascii="仿宋_GB2312" w:eastAsia="仿宋_GB2312"/>
                <w:sz w:val="18"/>
                <w:szCs w:val="18"/>
                <w:lang w:eastAsia="zh-CN"/>
              </w:rPr>
              <w:t>区财政局</w:t>
            </w:r>
          </w:p>
        </w:tc>
        <w:tc>
          <w:tcPr>
            <w:tcW w:w="1856" w:type="dxa"/>
            <w:vMerge w:val="restart"/>
            <w:tcBorders>
              <w:top w:val="single" w:color="auto" w:sz="4" w:space="0"/>
              <w:left w:val="single" w:color="auto" w:sz="4" w:space="0"/>
              <w:right w:val="single" w:color="auto" w:sz="4" w:space="0"/>
            </w:tcBorders>
            <w:vAlign w:val="center"/>
          </w:tcPr>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26</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集中采购机构的考核结果公告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集中采购机构名称、考核内容、考核方法、考核结果、存在问题、考核单位等。</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同上</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完成并履行有关报审程序后</w:t>
            </w:r>
            <w:r>
              <w:rPr>
                <w:rFonts w:ascii="仿宋_GB2312" w:eastAsia="仿宋_GB2312"/>
                <w:sz w:val="18"/>
                <w:szCs w:val="18"/>
              </w:rPr>
              <w:t>5</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hint="eastAsia" w:ascii="仿宋_GB2312" w:eastAsia="仿宋_GB2312"/>
                <w:sz w:val="18"/>
                <w:szCs w:val="18"/>
                <w:lang w:eastAsia="zh-CN"/>
              </w:rPr>
            </w:pPr>
            <w:r>
              <w:rPr>
                <w:rFonts w:hint="eastAsia" w:ascii="仿宋_GB2312" w:eastAsia="仿宋_GB2312"/>
                <w:sz w:val="18"/>
                <w:szCs w:val="18"/>
                <w:lang w:eastAsia="zh-CN"/>
              </w:rPr>
              <w:t>区财政局</w:t>
            </w:r>
          </w:p>
        </w:tc>
        <w:tc>
          <w:tcPr>
            <w:tcW w:w="185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27</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国有土地使用权出让信息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土地出让计划</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明确国有建设用地供应指导思想和原则；提出国有建设用地供应政策导向；确定国有建设用地供应总量、结构、布局、时序和方式；落实计划供应的宗地；实施计划的保障措施。</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《国务院办公厅关于推进公共资源配置领域政府信息公开的意见》、《招标拍卖挂牌出让国有建设用地使用权规定》、《国有建设用地供应计划编制规范》（试行）</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每年</w:t>
            </w:r>
            <w:r>
              <w:rPr>
                <w:rFonts w:ascii="仿宋_GB2312" w:eastAsia="仿宋_GB2312"/>
                <w:sz w:val="18"/>
                <w:szCs w:val="18"/>
              </w:rPr>
              <w:t>3</w:t>
            </w:r>
            <w:r>
              <w:rPr>
                <w:rFonts w:hint="eastAsia" w:ascii="仿宋_GB2312" w:eastAsia="仿宋_GB2312"/>
                <w:sz w:val="18"/>
                <w:szCs w:val="18"/>
              </w:rPr>
              <w:t>月</w:t>
            </w:r>
            <w:r>
              <w:rPr>
                <w:rFonts w:ascii="仿宋_GB2312" w:eastAsia="仿宋_GB2312"/>
                <w:sz w:val="18"/>
                <w:szCs w:val="18"/>
              </w:rPr>
              <w:t>31</w:t>
            </w:r>
            <w:r>
              <w:rPr>
                <w:rFonts w:hint="eastAsia" w:ascii="仿宋_GB2312" w:eastAsia="仿宋_GB2312"/>
                <w:sz w:val="18"/>
                <w:szCs w:val="18"/>
              </w:rPr>
              <w:t>日前，公布年度国有建设用地供应计划</w:t>
            </w:r>
          </w:p>
        </w:tc>
        <w:tc>
          <w:tcPr>
            <w:tcW w:w="956" w:type="dxa"/>
            <w:tcBorders>
              <w:top w:val="single" w:color="auto" w:sz="4" w:space="0"/>
              <w:left w:val="single" w:color="auto" w:sz="4" w:space="0"/>
              <w:right w:val="single" w:color="auto" w:sz="4" w:space="0"/>
            </w:tcBorders>
            <w:vAlign w:val="center"/>
          </w:tcPr>
          <w:p>
            <w:pPr>
              <w:rPr>
                <w:rFonts w:hint="eastAsia" w:ascii="仿宋_GB2312" w:eastAsia="仿宋_GB2312"/>
                <w:sz w:val="18"/>
                <w:szCs w:val="18"/>
                <w:lang w:eastAsia="zh-CN"/>
              </w:rPr>
            </w:pPr>
            <w:r>
              <w:rPr>
                <w:rFonts w:hint="eastAsia" w:ascii="仿宋_GB2312" w:eastAsia="仿宋_GB2312"/>
                <w:sz w:val="18"/>
                <w:szCs w:val="18"/>
                <w:lang w:eastAsia="zh-CN"/>
              </w:rPr>
              <w:t>自然资源和规划分局</w:t>
            </w:r>
          </w:p>
        </w:tc>
        <w:tc>
          <w:tcPr>
            <w:tcW w:w="1856" w:type="dxa"/>
            <w:tcBorders>
              <w:top w:val="single" w:color="auto" w:sz="4" w:space="0"/>
              <w:left w:val="single" w:color="auto" w:sz="4" w:space="0"/>
              <w:right w:val="single" w:color="auto" w:sz="4" w:space="0"/>
            </w:tcBorders>
            <w:vAlign w:val="center"/>
          </w:tcPr>
          <w:p>
            <w:pPr>
              <w:rPr>
                <w:rFonts w:hint="eastAsia" w:ascii="仿宋_GB2312" w:eastAsia="仿宋_GB2312"/>
                <w:sz w:val="18"/>
                <w:szCs w:val="18"/>
                <w:lang w:eastAsia="zh-CN"/>
              </w:rPr>
            </w:pPr>
            <w:r>
              <w:rPr>
                <w:rFonts w:hint="eastAsia" w:ascii="仿宋_GB2312" w:hAnsi="宋体" w:eastAsia="仿宋_GB2312"/>
                <w:sz w:val="18"/>
                <w:szCs w:val="18"/>
                <w:lang w:eastAsia="zh-CN"/>
              </w:rPr>
              <w:t>■政府网站</w:t>
            </w:r>
          </w:p>
          <w:p>
            <w:pPr>
              <w:rPr>
                <w:rFonts w:ascii="仿宋_GB2312" w:eastAsia="仿宋_GB2312"/>
                <w:sz w:val="18"/>
                <w:szCs w:val="18"/>
              </w:rPr>
            </w:pPr>
            <w:r>
              <w:rPr>
                <w:rFonts w:hint="eastAsia" w:ascii="仿宋_GB2312" w:hAnsi="宋体" w:eastAsia="仿宋_GB2312"/>
                <w:sz w:val="18"/>
                <w:szCs w:val="18"/>
              </w:rPr>
              <w:t>■中国土地市场网</w:t>
            </w:r>
          </w:p>
          <w:p>
            <w:pPr>
              <w:rPr>
                <w:rFonts w:ascii="仿宋_GB2312" w:eastAsia="仿宋_GB2312"/>
                <w:sz w:val="18"/>
                <w:szCs w:val="18"/>
              </w:rPr>
            </w:pP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28</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招标拍卖挂牌出让公告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出让人的名称和地址；出让宗地的面积、界址、空间范围、现状、使用年期、用途、规划指标要求；投标人、竞买人的资格要求以及申请取得投标、竞买资格的办法；索取招标拍卖挂牌出让文件的时间、地点和方式；招标拍卖挂牌时间、地点、投标挂牌期限、投标和竞价方式等；确定中标人、竞得人的标准和方法；投标、竞买保证金；其他需要公告的事项。</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至少在投标、拍卖或者挂牌开始日前</w:t>
            </w:r>
            <w:r>
              <w:rPr>
                <w:rFonts w:ascii="仿宋_GB2312" w:eastAsia="仿宋_GB2312"/>
                <w:sz w:val="18"/>
                <w:szCs w:val="18"/>
              </w:rPr>
              <w:t>20</w:t>
            </w:r>
            <w:r>
              <w:rPr>
                <w:rFonts w:hint="eastAsia" w:ascii="仿宋_GB2312" w:eastAsia="仿宋_GB2312"/>
                <w:sz w:val="18"/>
                <w:szCs w:val="18"/>
              </w:rPr>
              <w:t>日。挂牌时间不得少于</w:t>
            </w:r>
            <w:r>
              <w:rPr>
                <w:rFonts w:ascii="仿宋_GB2312" w:eastAsia="仿宋_GB2312"/>
                <w:sz w:val="18"/>
                <w:szCs w:val="18"/>
              </w:rPr>
              <w:t>10</w:t>
            </w:r>
            <w:r>
              <w:rPr>
                <w:rFonts w:hint="eastAsia" w:ascii="仿宋_GB2312" w:eastAsia="仿宋_GB2312"/>
                <w:sz w:val="18"/>
                <w:szCs w:val="18"/>
              </w:rPr>
              <w:t>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lang w:eastAsia="zh-CN"/>
              </w:rPr>
              <w:t>■政府网站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p>
            <w:pPr>
              <w:rPr>
                <w:rFonts w:ascii="仿宋_GB2312" w:eastAsia="仿宋_GB2312"/>
                <w:sz w:val="18"/>
                <w:szCs w:val="18"/>
              </w:rPr>
            </w:pPr>
            <w:r>
              <w:rPr>
                <w:rFonts w:hint="eastAsia" w:ascii="仿宋_GB2312" w:hAnsi="宋体" w:eastAsia="仿宋_GB2312"/>
                <w:sz w:val="18"/>
                <w:szCs w:val="18"/>
              </w:rPr>
              <w:t>■中国土地市场网</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29</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国有土地使用权出让信息　</w:t>
            </w:r>
          </w:p>
          <w:p>
            <w:pPr>
              <w:jc w:val="center"/>
              <w:rPr>
                <w:rFonts w:ascii="仿宋_GB2312" w:eastAsia="仿宋_GB2312"/>
                <w:sz w:val="18"/>
                <w:szCs w:val="18"/>
              </w:rPr>
            </w:p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公告调整</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公开国有建设用地使用权出让公告、项目概况、澄清或者修改事项、联系方式。</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《招标拍卖挂牌出让国有土地使用权规范》</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按原公告发布渠道及时发布补充公告，涉及土地使用条件变更等影响土地价格的重大变动，补充公告发布时间距招拍挂活动开始时间少于</w:t>
            </w:r>
            <w:r>
              <w:rPr>
                <w:rFonts w:ascii="仿宋_GB2312" w:eastAsia="仿宋_GB2312"/>
                <w:sz w:val="18"/>
                <w:szCs w:val="18"/>
              </w:rPr>
              <w:t>20</w:t>
            </w:r>
            <w:r>
              <w:rPr>
                <w:rFonts w:hint="eastAsia" w:ascii="仿宋_GB2312" w:eastAsia="仿宋_GB2312"/>
                <w:sz w:val="18"/>
                <w:szCs w:val="18"/>
              </w:rPr>
              <w:t>日的，招拍挂活动相应顺延</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lang w:eastAsia="zh-CN"/>
              </w:rPr>
              <w:t>■政府网站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p>
            <w:pPr>
              <w:rPr>
                <w:rFonts w:ascii="仿宋_GB2312" w:eastAsia="仿宋_GB2312"/>
                <w:sz w:val="18"/>
                <w:szCs w:val="18"/>
              </w:rPr>
            </w:pPr>
            <w:r>
              <w:rPr>
                <w:rFonts w:hint="eastAsia" w:ascii="仿宋_GB2312" w:hAnsi="宋体" w:eastAsia="仿宋_GB2312"/>
                <w:sz w:val="18"/>
                <w:szCs w:val="18"/>
              </w:rPr>
              <w:t>■中国土地市场网</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30</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招标拍卖挂牌出让结果（成交公示）</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土地位置、面积、用途、开发程度、土地级别、容积率、出让年限、供地方式、受让人、成交价格和成交时间等。</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《国务院办公厅关于推进公共资源配置领域政府信息公开的意见》、《招标拍卖挂牌出让国有建设用地使用权规定》、《招标拍卖挂牌出让国有土地使用权规范》</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招标拍卖挂牌活动结束后的</w:t>
            </w:r>
            <w:r>
              <w:rPr>
                <w:rFonts w:ascii="仿宋_GB2312" w:eastAsia="仿宋_GB2312"/>
                <w:sz w:val="18"/>
                <w:szCs w:val="18"/>
              </w:rPr>
              <w:t>10</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lang w:eastAsia="zh-CN"/>
              </w:rPr>
              <w:t>■政府网站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p>
            <w:pPr>
              <w:rPr>
                <w:rFonts w:ascii="仿宋_GB2312" w:eastAsia="仿宋_GB2312"/>
                <w:sz w:val="18"/>
                <w:szCs w:val="18"/>
              </w:rPr>
            </w:pPr>
            <w:r>
              <w:rPr>
                <w:rFonts w:hint="eastAsia" w:ascii="仿宋_GB2312" w:hAnsi="宋体" w:eastAsia="仿宋_GB2312"/>
                <w:sz w:val="18"/>
                <w:szCs w:val="18"/>
              </w:rPr>
              <w:t>■中国土地市场网</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31</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供应结果</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国有建设用地使用权年度供应结果。</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pPr>
              <w:rPr>
                <w:rFonts w:hint="eastAsia" w:ascii="仿宋_GB2312" w:eastAsia="仿宋_GB2312"/>
                <w:sz w:val="18"/>
                <w:szCs w:val="18"/>
                <w:lang w:eastAsia="zh-CN"/>
              </w:rPr>
            </w:pPr>
            <w:r>
              <w:rPr>
                <w:rFonts w:hint="eastAsia" w:ascii="仿宋_GB2312" w:hAnsi="宋体" w:eastAsia="仿宋_GB2312"/>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32</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国有企业产权转让信息预披露</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中的相应数据）；受让方资格条件（适用于对受让方有特殊要求的情形）。</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及时公开，正式披露信息时间不得少于</w:t>
            </w:r>
            <w:r>
              <w:rPr>
                <w:rFonts w:ascii="仿宋_GB2312" w:eastAsia="仿宋_GB2312"/>
                <w:sz w:val="18"/>
                <w:szCs w:val="18"/>
              </w:rPr>
              <w:t>20</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转让方</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33</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国有企业产权转让信息披露</w:t>
            </w:r>
          </w:p>
        </w:tc>
        <w:tc>
          <w:tcPr>
            <w:tcW w:w="3364" w:type="dxa"/>
            <w:tcBorders>
              <w:top w:val="single" w:color="auto" w:sz="4" w:space="0"/>
              <w:left w:val="single" w:color="auto" w:sz="4" w:space="0"/>
              <w:right w:val="single" w:color="auto" w:sz="4" w:space="0"/>
            </w:tcBorders>
            <w:vAlign w:val="center"/>
          </w:tcPr>
          <w:p>
            <w:pPr>
              <w:rPr>
                <w:rFonts w:ascii="仿宋_GB2312" w:eastAsia="仿宋_GB2312"/>
                <w:w w:val="90"/>
                <w:sz w:val="18"/>
                <w:szCs w:val="18"/>
              </w:rPr>
            </w:pPr>
            <w:r>
              <w:rPr>
                <w:rFonts w:hint="eastAsia" w:ascii="仿宋_GB2312" w:eastAsia="仿宋_GB2312"/>
                <w:w w:val="90"/>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告中的相应数据）；受让方资格条件（适用于对受让方有特殊要求的情形）；交易条件、转让底价；企业管理层是否参与受让，有限责任公司原股东是否放弃优先受让权；竞价方式，受让方选择的相关评判标准；其他需要披露的事项。</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及时公开，正式披露信息时间不得少于</w:t>
            </w:r>
            <w:r>
              <w:rPr>
                <w:rFonts w:ascii="仿宋_GB2312" w:eastAsia="仿宋_GB2312"/>
                <w:sz w:val="18"/>
                <w:szCs w:val="18"/>
              </w:rPr>
              <w:t>20</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转让方</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34</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国有企业产权转让成交公告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交易标的名称、转让标的评估结果、转让底价、交易价格。</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及时公开，公告期不少于</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产权交易机构</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35</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国有企业资产转让信息披露</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标的基本情况、交易条件、转让底价、竞价方式、受让方选择的相关评判标准等。</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转让底价高于</w:t>
            </w:r>
            <w:r>
              <w:rPr>
                <w:rFonts w:ascii="仿宋_GB2312" w:eastAsia="仿宋_GB2312"/>
                <w:sz w:val="18"/>
                <w:szCs w:val="18"/>
              </w:rPr>
              <w:t>100</w:t>
            </w:r>
            <w:r>
              <w:rPr>
                <w:rFonts w:hint="eastAsia" w:ascii="仿宋_GB2312" w:eastAsia="仿宋_GB2312"/>
                <w:sz w:val="18"/>
                <w:szCs w:val="18"/>
              </w:rPr>
              <w:t>万元、低于</w:t>
            </w:r>
            <w:r>
              <w:rPr>
                <w:rFonts w:ascii="仿宋_GB2312" w:eastAsia="仿宋_GB2312"/>
                <w:sz w:val="18"/>
                <w:szCs w:val="18"/>
              </w:rPr>
              <w:t>1000</w:t>
            </w:r>
            <w:r>
              <w:rPr>
                <w:rFonts w:hint="eastAsia" w:ascii="仿宋_GB2312" w:eastAsia="仿宋_GB2312"/>
                <w:sz w:val="18"/>
                <w:szCs w:val="18"/>
              </w:rPr>
              <w:t>万元的资产转让项目，信息公告期应不少于</w:t>
            </w:r>
            <w:r>
              <w:rPr>
                <w:rFonts w:ascii="仿宋_GB2312" w:eastAsia="仿宋_GB2312"/>
                <w:sz w:val="18"/>
                <w:szCs w:val="18"/>
              </w:rPr>
              <w:t>10</w:t>
            </w:r>
            <w:r>
              <w:rPr>
                <w:rFonts w:hint="eastAsia" w:ascii="仿宋_GB2312" w:eastAsia="仿宋_GB2312"/>
                <w:sz w:val="18"/>
                <w:szCs w:val="18"/>
              </w:rPr>
              <w:t>个工作日；转让底价高于</w:t>
            </w:r>
            <w:r>
              <w:rPr>
                <w:rFonts w:ascii="仿宋_GB2312" w:eastAsia="仿宋_GB2312"/>
                <w:sz w:val="18"/>
                <w:szCs w:val="18"/>
              </w:rPr>
              <w:t>1000</w:t>
            </w:r>
            <w:r>
              <w:rPr>
                <w:rFonts w:hint="eastAsia" w:ascii="仿宋_GB2312" w:eastAsia="仿宋_GB2312"/>
                <w:sz w:val="18"/>
                <w:szCs w:val="18"/>
              </w:rPr>
              <w:t>万元的资产转让项目，信息公告期应不少于</w:t>
            </w:r>
            <w:r>
              <w:rPr>
                <w:rFonts w:ascii="仿宋_GB2312" w:eastAsia="仿宋_GB2312"/>
                <w:sz w:val="18"/>
                <w:szCs w:val="18"/>
              </w:rPr>
              <w:t>20</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转让方</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ascii="仿宋_GB2312" w:eastAsia="仿宋_GB2312"/>
                <w:sz w:val="18"/>
                <w:szCs w:val="18"/>
              </w:rPr>
              <w:t>36</w:t>
            </w:r>
          </w:p>
        </w:tc>
        <w:tc>
          <w:tcPr>
            <w:tcW w:w="900" w:type="dxa"/>
            <w:vMerge w:val="continue"/>
            <w:tcBorders>
              <w:top w:val="single" w:color="auto" w:sz="4" w:space="0"/>
              <w:left w:val="single" w:color="auto" w:sz="4" w:space="0"/>
              <w:right w:val="single" w:color="auto" w:sz="4" w:space="0"/>
            </w:tcBorders>
            <w:vAlign w:val="center"/>
          </w:tcPr>
          <w:p/>
        </w:tc>
        <w:tc>
          <w:tcPr>
            <w:tcW w:w="77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国有企业资产转让成交公告</w:t>
            </w:r>
          </w:p>
        </w:tc>
        <w:tc>
          <w:tcPr>
            <w:tcW w:w="3364"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交易标的名称、评估价格、转让底价、交易价格等。</w:t>
            </w:r>
          </w:p>
        </w:tc>
        <w:tc>
          <w:tcPr>
            <w:tcW w:w="234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不少于</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产权交易机构</w:t>
            </w:r>
          </w:p>
        </w:tc>
        <w:tc>
          <w:tcPr>
            <w:tcW w:w="1856"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　</w:t>
            </w:r>
          </w:p>
        </w:tc>
      </w:tr>
    </w:tbl>
    <w:p>
      <w:pPr>
        <w:pStyle w:val="2"/>
        <w:jc w:val="center"/>
        <w:rPr>
          <w:rFonts w:ascii="?????_GBK" w:hAnsi="?????_GBK"/>
          <w:b w:val="0"/>
          <w:bCs w:val="0"/>
          <w:sz w:val="30"/>
        </w:rPr>
      </w:pPr>
    </w:p>
    <w:p/>
    <w:p>
      <w:pPr>
        <w:pStyle w:val="2"/>
        <w:jc w:val="center"/>
        <w:rPr>
          <w:rFonts w:ascii="宋体" w:cs="宋体"/>
          <w:b w:val="0"/>
          <w:bCs w:val="0"/>
          <w:sz w:val="13"/>
          <w:szCs w:val="13"/>
        </w:rPr>
      </w:pPr>
    </w:p>
    <w:p/>
    <w:p>
      <w:pPr>
        <w:pStyle w:val="2"/>
        <w:jc w:val="center"/>
        <w:rPr>
          <w:rFonts w:ascii="?????_GBK" w:hAnsi="?????_GBK"/>
          <w:b w:val="0"/>
          <w:bCs w:val="0"/>
          <w:sz w:val="30"/>
        </w:rPr>
      </w:pPr>
      <w:r>
        <w:rPr>
          <w:rFonts w:hint="eastAsia" w:ascii="宋体" w:hAnsi="宋体" w:cs="宋体"/>
          <w:b w:val="0"/>
          <w:bCs w:val="0"/>
          <w:sz w:val="30"/>
        </w:rPr>
        <w:t>（三）义务教育领域基层政务公开标准目录</w:t>
      </w:r>
    </w:p>
    <w:tbl>
      <w:tblPr>
        <w:tblStyle w:val="9"/>
        <w:tblW w:w="12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8"/>
        <w:gridCol w:w="518"/>
        <w:gridCol w:w="864"/>
        <w:gridCol w:w="2645"/>
        <w:gridCol w:w="1710"/>
        <w:gridCol w:w="1365"/>
        <w:gridCol w:w="1245"/>
        <w:gridCol w:w="1155"/>
        <w:gridCol w:w="649"/>
        <w:gridCol w:w="777"/>
        <w:gridCol w:w="705"/>
        <w:gridCol w:w="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pPr>
              <w:widowControl/>
              <w:jc w:val="center"/>
              <w:rPr>
                <w:rFonts w:ascii="黑体" w:hAnsi="Times New Roman" w:eastAsia="黑体"/>
                <w:kern w:val="0"/>
                <w:sz w:val="22"/>
              </w:rPr>
            </w:pPr>
            <w:r>
              <w:rPr>
                <w:rFonts w:hint="eastAsia" w:ascii="黑体" w:hAnsi="宋体" w:eastAsia="黑体"/>
                <w:kern w:val="0"/>
                <w:sz w:val="22"/>
              </w:rPr>
              <w:t>序号</w:t>
            </w:r>
          </w:p>
        </w:tc>
        <w:tc>
          <w:tcPr>
            <w:tcW w:w="1382"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公开事项</w:t>
            </w:r>
          </w:p>
        </w:tc>
        <w:tc>
          <w:tcPr>
            <w:tcW w:w="264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公开内容（要素）</w:t>
            </w:r>
          </w:p>
        </w:tc>
        <w:tc>
          <w:tcPr>
            <w:tcW w:w="171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公开依据</w:t>
            </w:r>
          </w:p>
        </w:tc>
        <w:tc>
          <w:tcPr>
            <w:tcW w:w="136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公开时限</w:t>
            </w:r>
          </w:p>
        </w:tc>
        <w:tc>
          <w:tcPr>
            <w:tcW w:w="124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公开主体</w:t>
            </w:r>
          </w:p>
        </w:tc>
        <w:tc>
          <w:tcPr>
            <w:tcW w:w="115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6"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公开对象</w:t>
            </w:r>
          </w:p>
        </w:tc>
        <w:tc>
          <w:tcPr>
            <w:tcW w:w="1482" w:type="dxa"/>
            <w:gridSpan w:val="2"/>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一级事项</w:t>
            </w:r>
          </w:p>
        </w:tc>
        <w:tc>
          <w:tcPr>
            <w:tcW w:w="864"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二级事项</w:t>
            </w:r>
          </w:p>
        </w:tc>
        <w:tc>
          <w:tcPr>
            <w:tcW w:w="2645" w:type="dxa"/>
            <w:vMerge w:val="continue"/>
            <w:tcBorders>
              <w:top w:val="single" w:color="auto" w:sz="4" w:space="0"/>
              <w:left w:val="single" w:color="auto" w:sz="4" w:space="0"/>
              <w:right w:val="single" w:color="auto" w:sz="4" w:space="0"/>
            </w:tcBorders>
            <w:vAlign w:val="center"/>
          </w:tcPr>
          <w:p/>
        </w:tc>
        <w:tc>
          <w:tcPr>
            <w:tcW w:w="1710" w:type="dxa"/>
            <w:vMerge w:val="continue"/>
            <w:tcBorders>
              <w:top w:val="single" w:color="auto" w:sz="4" w:space="0"/>
              <w:left w:val="single" w:color="auto" w:sz="4" w:space="0"/>
              <w:right w:val="single" w:color="auto" w:sz="4" w:space="0"/>
            </w:tcBorders>
            <w:vAlign w:val="center"/>
          </w:tcPr>
          <w:p/>
        </w:tc>
        <w:tc>
          <w:tcPr>
            <w:tcW w:w="1365" w:type="dxa"/>
            <w:vMerge w:val="continue"/>
            <w:tcBorders>
              <w:top w:val="single" w:color="auto" w:sz="4" w:space="0"/>
              <w:left w:val="single" w:color="auto" w:sz="4" w:space="0"/>
              <w:right w:val="single" w:color="auto" w:sz="4" w:space="0"/>
            </w:tcBorders>
            <w:vAlign w:val="center"/>
          </w:tcPr>
          <w:p/>
        </w:tc>
        <w:tc>
          <w:tcPr>
            <w:tcW w:w="1245" w:type="dxa"/>
            <w:vMerge w:val="continue"/>
            <w:tcBorders>
              <w:top w:val="single" w:color="auto" w:sz="4" w:space="0"/>
              <w:left w:val="single" w:color="auto" w:sz="4" w:space="0"/>
              <w:right w:val="single" w:color="auto" w:sz="4" w:space="0"/>
            </w:tcBorders>
            <w:vAlign w:val="center"/>
          </w:tcPr>
          <w:p/>
        </w:tc>
        <w:tc>
          <w:tcPr>
            <w:tcW w:w="1155" w:type="dxa"/>
            <w:vMerge w:val="continue"/>
            <w:tcBorders>
              <w:top w:val="single" w:color="auto" w:sz="4" w:space="0"/>
              <w:left w:val="single" w:color="auto" w:sz="4" w:space="0"/>
              <w:right w:val="single" w:color="auto" w:sz="4" w:space="0"/>
            </w:tcBorders>
            <w:vAlign w:val="center"/>
          </w:tcPr>
          <w:p/>
        </w:tc>
        <w:tc>
          <w:tcPr>
            <w:tcW w:w="64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全社会</w:t>
            </w:r>
          </w:p>
        </w:tc>
        <w:tc>
          <w:tcPr>
            <w:tcW w:w="777"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特定群众</w:t>
            </w:r>
          </w:p>
        </w:tc>
        <w:tc>
          <w:tcPr>
            <w:tcW w:w="705"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主动</w:t>
            </w:r>
          </w:p>
        </w:tc>
        <w:tc>
          <w:tcPr>
            <w:tcW w:w="777"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6" w:hRule="atLeas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kern w:val="0"/>
                <w:sz w:val="18"/>
                <w:szCs w:val="18"/>
              </w:rPr>
            </w:pPr>
            <w:r>
              <w:rPr>
                <w:rFonts w:ascii="仿宋" w:hAnsi="仿宋" w:eastAsia="仿宋" w:cs="仿宋"/>
                <w:sz w:val="18"/>
                <w:szCs w:val="18"/>
              </w:rPr>
              <w:t>1</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政策</w:t>
            </w:r>
            <w:r>
              <w:rPr>
                <w:rFonts w:ascii="仿宋" w:hAnsi="仿宋" w:eastAsia="仿宋" w:cs="仿宋"/>
                <w:sz w:val="18"/>
                <w:szCs w:val="18"/>
              </w:rPr>
              <w:br w:type="textWrapping"/>
            </w:r>
            <w:r>
              <w:rPr>
                <w:rFonts w:hint="eastAsia" w:ascii="仿宋" w:hAnsi="仿宋" w:eastAsia="仿宋" w:cs="仿宋"/>
                <w:sz w:val="18"/>
                <w:szCs w:val="18"/>
              </w:rPr>
              <w:t>文件</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教育法律</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《教育法》、</w:t>
            </w:r>
            <w:r>
              <w:rPr>
                <w:rFonts w:hint="eastAsia" w:ascii="仿宋" w:hAnsi="仿宋" w:eastAsia="仿宋" w:cs="仿宋"/>
                <w:sz w:val="18"/>
                <w:szCs w:val="18"/>
                <w:lang w:eastAsia="zh-CN"/>
              </w:rPr>
              <w:t>《中华人民共和国义务教育法》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、《教师法》、《国家通用语言文字法》</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规范性文件</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部门和地方政府规章、各类教育政策文件</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一般文件</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教育局内部印发的文件</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2</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教育概况</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教育事业发展主要情况</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教育事业发展主要情况</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《统计法》、《政府信息公开条例》、《教育统计管理规定》</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教育统计数据</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学校数据、在校生数据、教师数据、办学条件数据、县级汇总数据</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义务教育学校名录</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学校名称、学校地址、办学层次、办学类型、办公电话</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8" w:hRule="atLeas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3</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民办学校信息</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民办学校办学基本信息</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学校名称、办学许可证、办学规模、联系方式</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、《政府信息公开条例》、《国务院关于鼓励社会力量兴办教育</w:t>
            </w:r>
            <w:r>
              <w:rPr>
                <w:rFonts w:ascii="仿宋" w:hAnsi="仿宋" w:eastAsia="仿宋" w:cs="仿宋"/>
                <w:sz w:val="18"/>
                <w:szCs w:val="18"/>
              </w:rPr>
              <w:t xml:space="preserve"> </w:t>
            </w:r>
            <w:r>
              <w:rPr>
                <w:rFonts w:hint="eastAsia" w:ascii="仿宋" w:hAnsi="仿宋" w:eastAsia="仿宋" w:cs="仿宋"/>
                <w:sz w:val="18"/>
                <w:szCs w:val="18"/>
              </w:rPr>
              <w:t>促进民办教育健康发展的若干意见》</w:t>
            </w:r>
            <w:r>
              <w:rPr>
                <w:rFonts w:ascii="仿宋" w:hAnsi="仿宋" w:eastAsia="仿宋" w:cs="仿宋"/>
                <w:sz w:val="18"/>
                <w:szCs w:val="18"/>
              </w:rPr>
              <w:t xml:space="preserve">  </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pStyle w:val="2"/>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4" w:hRule="atLeas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民办学校的处罚</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、民办学校发布未经备案的招生简章和广告的处罚</w:t>
            </w:r>
            <w:r>
              <w:rPr>
                <w:rFonts w:ascii="仿宋" w:hAnsi="仿宋" w:eastAsia="仿宋" w:cs="仿宋"/>
                <w:sz w:val="18"/>
                <w:szCs w:val="18"/>
              </w:rPr>
              <w:t>2</w:t>
            </w:r>
            <w:r>
              <w:rPr>
                <w:rFonts w:hint="eastAsia" w:ascii="仿宋" w:hAnsi="仿宋" w:eastAsia="仿宋" w:cs="仿宋"/>
                <w:sz w:val="18"/>
                <w:szCs w:val="18"/>
              </w:rPr>
              <w:t>、民办学校的出资人未按规定要求取得合理回报的处罚</w:t>
            </w:r>
            <w:r>
              <w:rPr>
                <w:rFonts w:ascii="仿宋" w:hAnsi="仿宋" w:eastAsia="仿宋" w:cs="仿宋"/>
                <w:sz w:val="18"/>
                <w:szCs w:val="18"/>
              </w:rPr>
              <w:t>3</w:t>
            </w:r>
            <w:r>
              <w:rPr>
                <w:rFonts w:hint="eastAsia" w:ascii="仿宋" w:hAnsi="仿宋" w:eastAsia="仿宋" w:cs="仿宋"/>
                <w:sz w:val="18"/>
                <w:szCs w:val="18"/>
              </w:rPr>
              <w:t>、民办学校未按规定将出资人取得回报比例的决定向社会公布的与其办学水平和教育质量有关的材料、财务状况报审批机关备案，或者备案材料不真实的处罚</w:t>
            </w:r>
            <w:r>
              <w:rPr>
                <w:rFonts w:ascii="仿宋" w:hAnsi="仿宋" w:eastAsia="仿宋" w:cs="仿宋"/>
                <w:sz w:val="18"/>
                <w:szCs w:val="18"/>
              </w:rPr>
              <w:t>4</w:t>
            </w:r>
            <w:r>
              <w:rPr>
                <w:rFonts w:hint="eastAsia" w:ascii="仿宋" w:hAnsi="仿宋" w:eastAsia="仿宋" w:cs="仿宋"/>
                <w:sz w:val="18"/>
                <w:szCs w:val="18"/>
              </w:rPr>
              <w:t>、民办学校违反《校车安全管理条例》规定，导致发生学生伤亡事故的处罚</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其他</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民办学校办学水平</w:t>
            </w:r>
            <w:r>
              <w:rPr>
                <w:rFonts w:ascii="仿宋" w:hAnsi="仿宋" w:eastAsia="仿宋" w:cs="仿宋"/>
                <w:sz w:val="18"/>
                <w:szCs w:val="18"/>
              </w:rPr>
              <w:br w:type="textWrapping"/>
            </w:r>
            <w:r>
              <w:rPr>
                <w:rFonts w:hint="eastAsia" w:ascii="仿宋" w:hAnsi="仿宋" w:eastAsia="仿宋" w:cs="仿宋"/>
                <w:sz w:val="18"/>
                <w:szCs w:val="18"/>
              </w:rPr>
              <w:t>和教育质量评估的</w:t>
            </w:r>
            <w:r>
              <w:rPr>
                <w:rFonts w:ascii="仿宋" w:hAnsi="仿宋" w:eastAsia="仿宋" w:cs="仿宋"/>
                <w:sz w:val="18"/>
                <w:szCs w:val="18"/>
              </w:rPr>
              <w:br w:type="textWrapping"/>
            </w:r>
            <w:r>
              <w:rPr>
                <w:rFonts w:hint="eastAsia" w:ascii="仿宋" w:hAnsi="仿宋" w:eastAsia="仿宋" w:cs="仿宋"/>
                <w:sz w:val="18"/>
                <w:szCs w:val="18"/>
              </w:rPr>
              <w:t>确认</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民办教育补助资金</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民办幼儿园分类评估</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日常监管信息</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年检指标、年检程序、年检结果信息</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4</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招生管理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学校介绍</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办学性质、办学地点、办学规模、办学基本条件、联系方式等</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《政府信息公开条例》、《教育部关于进一步做好小学升入初中免试就近入学工作的实施意见》、《教育部关于推进中小学信息公开工作的意见》</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教育局、乡级教育部门</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招生政策</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各校招生工作实施方案；随迁子女入学办法；部分适龄儿童或少年延缓入学、休学等特殊需求的政策解读等</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rPr>
                <w:rFonts w:ascii="仿宋" w:hAnsi="仿宋" w:eastAsia="仿宋" w:cs="仿宋"/>
                <w:sz w:val="18"/>
                <w:szCs w:val="18"/>
              </w:rPr>
            </w:pPr>
          </w:p>
          <w:p>
            <w:pPr>
              <w:jc w:val="left"/>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招生计划</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各校本年度招生计划</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《政府信息公开条例》、《教育部关于进一步做好小学升入初中免试就近入学工作的实施意见》《教育部关于推进中小学信息公开工作的意见》</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招生范围</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招生范围、学区划分详细情况</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招生结果</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各校本年度招生结果</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5</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学生管理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学籍管理</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区域内义务教育学校学生、普通高中学生和中等职业学校学生学籍管理（注册、异动）；义务教育阶段学生休学、复学、转学相关政策及所需材料和办理流程；适龄儿童延缓入学所需材料及办理流程；学籍证明、毕（结）业证书遗失办理学历证明确认</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《中华人民共和国义务教育法》</w:t>
            </w:r>
            <w:r>
              <w:rPr>
                <w:rFonts w:hint="eastAsia" w:ascii="仿宋" w:hAnsi="仿宋" w:eastAsia="仿宋" w:cs="仿宋"/>
                <w:sz w:val="18"/>
                <w:szCs w:val="18"/>
              </w:rPr>
              <w:t>、《政府信息公开条例》、《中小学生学籍管理办法》、《河北省义务教育阶段学生学籍管理办法实施细则（修订）》、《河北省普通高中学生学籍管理办法实施细则（修订）》</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p>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义务教育学生资助政策</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统一城乡义务教育“两免一补”政策</w:t>
            </w:r>
          </w:p>
          <w:p>
            <w:pPr>
              <w:rPr>
                <w:rFonts w:ascii="仿宋" w:hAnsi="仿宋" w:eastAsia="仿宋" w:cs="仿宋"/>
                <w:sz w:val="18"/>
                <w:szCs w:val="18"/>
              </w:rPr>
            </w:pP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《政府信息公开条例》、《国务院关于进一步完善城乡义务教育经费保障机制的通知》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学生评优奖励</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级“三好学生”“优秀学生干部”学雷锋先进个人等评选标准；评比方法；表彰名单等</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《政府信息公开条例》，当地省市</w:t>
            </w:r>
            <w:r>
              <w:rPr>
                <w:rFonts w:hint="eastAsia" w:ascii="仿宋" w:hAnsi="仿宋" w:eastAsia="仿宋" w:cs="仿宋"/>
                <w:sz w:val="18"/>
                <w:szCs w:val="18"/>
                <w:lang w:eastAsia="zh-CN"/>
              </w:rPr>
              <w:t>区</w:t>
            </w:r>
            <w:r>
              <w:rPr>
                <w:rFonts w:hint="eastAsia" w:ascii="仿宋" w:hAnsi="仿宋" w:eastAsia="仿宋" w:cs="仿宋"/>
                <w:sz w:val="18"/>
                <w:szCs w:val="18"/>
              </w:rPr>
              <w:t>表彰文件</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restart"/>
            <w:tcBorders>
              <w:top w:val="single" w:color="auto" w:sz="4" w:space="0"/>
              <w:left w:val="single" w:color="auto" w:sz="4" w:space="0"/>
              <w:right w:val="single" w:color="auto" w:sz="4" w:space="0"/>
            </w:tcBorders>
            <w:vAlign w:val="center"/>
          </w:tcPr>
          <w:p>
            <w:pPr>
              <w:autoSpaceDN w:val="0"/>
              <w:jc w:val="center"/>
              <w:textAlignment w:val="center"/>
              <w:rPr>
                <w:rFonts w:ascii="仿宋" w:hAnsi="仿宋" w:eastAsia="仿宋" w:cs="仿宋"/>
                <w:sz w:val="18"/>
                <w:szCs w:val="18"/>
              </w:rPr>
            </w:pPr>
            <w:r>
              <w:rPr>
                <w:rFonts w:hint="eastAsia" w:ascii="仿宋" w:hAnsi="仿宋" w:eastAsia="仿宋" w:cs="仿宋"/>
                <w:sz w:val="18"/>
                <w:szCs w:val="18"/>
              </w:rPr>
              <w:t>其他</w:t>
            </w:r>
          </w:p>
        </w:tc>
        <w:tc>
          <w:tcPr>
            <w:tcW w:w="2645" w:type="dxa"/>
            <w:tcBorders>
              <w:top w:val="single" w:color="auto" w:sz="4" w:space="0"/>
              <w:left w:val="single" w:color="auto" w:sz="4" w:space="0"/>
              <w:right w:val="single" w:color="auto" w:sz="4" w:space="0"/>
            </w:tcBorders>
            <w:vAlign w:val="center"/>
          </w:tcPr>
          <w:p>
            <w:pPr>
              <w:autoSpaceDN w:val="0"/>
              <w:jc w:val="center"/>
              <w:textAlignment w:val="center"/>
              <w:rPr>
                <w:rFonts w:ascii="仿宋" w:hAnsi="仿宋" w:eastAsia="仿宋" w:cs="仿宋"/>
                <w:sz w:val="18"/>
                <w:szCs w:val="18"/>
              </w:rPr>
            </w:pPr>
            <w:r>
              <w:rPr>
                <w:rFonts w:hint="eastAsia" w:ascii="仿宋" w:hAnsi="仿宋" w:eastAsia="仿宋" w:cs="仿宋"/>
                <w:sz w:val="18"/>
                <w:szCs w:val="18"/>
              </w:rPr>
              <w:t>对学生申诉作出的裁决</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《中华人民共和国教育法》第四十二条</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bottom"/>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jc w:val="center"/>
              <w:rPr>
                <w:rFonts w:ascii="仿宋" w:hAnsi="仿宋" w:eastAsia="仿宋" w:cs="仿宋"/>
                <w:sz w:val="18"/>
                <w:szCs w:val="18"/>
              </w:rPr>
            </w:pPr>
          </w:p>
          <w:p>
            <w:pPr>
              <w:jc w:val="cente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各类贷学金、助学金、免学费审核发放</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《中华人民共和国教育法</w:t>
            </w:r>
            <w:r>
              <w:rPr>
                <w:rFonts w:ascii="仿宋" w:hAnsi="仿宋" w:eastAsia="仿宋" w:cs="仿宋"/>
                <w:sz w:val="18"/>
                <w:szCs w:val="18"/>
              </w:rPr>
              <w:t xml:space="preserve"> </w:t>
            </w:r>
            <w:r>
              <w:rPr>
                <w:rFonts w:hint="eastAsia" w:ascii="仿宋" w:hAnsi="仿宋" w:eastAsia="仿宋" w:cs="仿宋"/>
                <w:sz w:val="18"/>
                <w:szCs w:val="18"/>
              </w:rPr>
              <w:t>》第四十二条</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bottom"/>
          </w:tcPr>
          <w:p>
            <w:pPr>
              <w:jc w:val="cente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jc w:val="center"/>
              <w:rPr>
                <w:rFonts w:ascii="仿宋" w:hAnsi="仿宋" w:eastAsia="仿宋" w:cs="仿宋"/>
                <w:sz w:val="18"/>
                <w:szCs w:val="18"/>
              </w:rPr>
            </w:pPr>
          </w:p>
          <w:p>
            <w:pPr>
              <w:jc w:val="cente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学生管理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优待政策</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军人子女参加中考优待确认办理的材料、流程和政策要求；少数民族考生中考加分确认办理的材料、流程和政策要求；归侨学生、归侨子女、华侨子女和港澳台籍考生中考加分确认</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军人子女教育优待办法》、《国务院办公厅关于严格执行党和国家民族政策有关问题的通知》、《归侨侨眷权益保护法》、《教育部、国务院台湾事务办公室关于进一步做好台湾同胞子女在大陆中小学和幼儿园就读工作的若干意见》等</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教师培训</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教师培训政策文件、培训项目组织实施通知；中小学教师继续教育的实施、检查和评估</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《教育法》、《教师法》、《中小学教师继续教育规定》</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6</w:t>
            </w:r>
          </w:p>
        </w:tc>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教师公开招聘</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教师招聘计划和公告、拟聘用人员名单公示</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《政府信息公开条例》、《事业单位公开招聘人员暂行规定》、《关于进一步规范事业单位公开招聘工作的通知》、《人力资源社会保障部关于事业单位公开招聘岗位条件设置有关问题的通知》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教师资格定期</w:t>
            </w:r>
          </w:p>
          <w:p>
            <w:pPr>
              <w:spacing w:line="240" w:lineRule="atLeast"/>
              <w:rPr>
                <w:rFonts w:ascii="仿宋" w:hAnsi="仿宋" w:eastAsia="仿宋" w:cs="仿宋"/>
                <w:sz w:val="18"/>
                <w:szCs w:val="18"/>
              </w:rPr>
            </w:pPr>
            <w:r>
              <w:rPr>
                <w:rFonts w:hint="eastAsia" w:ascii="仿宋" w:hAnsi="仿宋" w:eastAsia="仿宋" w:cs="仿宋"/>
                <w:sz w:val="18"/>
                <w:szCs w:val="18"/>
              </w:rPr>
              <w:t>注册</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在编在岗教师资格证定期注册</w:t>
            </w:r>
          </w:p>
        </w:tc>
        <w:tc>
          <w:tcPr>
            <w:tcW w:w="1710" w:type="dxa"/>
            <w:tcBorders>
              <w:top w:val="single" w:color="auto" w:sz="4" w:space="0"/>
              <w:left w:val="single" w:color="auto" w:sz="4" w:space="0"/>
              <w:right w:val="single" w:color="auto" w:sz="4" w:space="0"/>
            </w:tcBorders>
            <w:vAlign w:val="center"/>
          </w:tcPr>
          <w:p>
            <w:pPr>
              <w:pStyle w:val="8"/>
              <w:widowControl/>
              <w:rPr>
                <w:rFonts w:ascii="仿宋" w:hAnsi="仿宋" w:eastAsia="仿宋" w:cs="仿宋"/>
                <w:sz w:val="18"/>
                <w:szCs w:val="18"/>
              </w:rPr>
            </w:pPr>
            <w:r>
              <w:rPr>
                <w:rFonts w:hint="eastAsia" w:ascii="仿宋" w:hAnsi="仿宋" w:eastAsia="仿宋" w:cs="仿宋"/>
                <w:sz w:val="18"/>
                <w:szCs w:val="18"/>
              </w:rPr>
              <w:t>《中小学教师资格定期注册暂行办法》</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w:t>
            </w:r>
            <w:r>
              <w:rPr>
                <w:rFonts w:ascii="仿宋" w:hAnsi="仿宋" w:eastAsia="仿宋" w:cs="仿宋"/>
                <w:sz w:val="18"/>
                <w:szCs w:val="18"/>
              </w:rPr>
              <w:br w:type="textWrapping"/>
            </w:r>
            <w:r>
              <w:rPr>
                <w:rFonts w:hint="eastAsia" w:ascii="仿宋" w:hAnsi="仿宋" w:eastAsia="仿宋" w:cs="仿宋"/>
                <w:sz w:val="18"/>
                <w:szCs w:val="18"/>
              </w:rPr>
              <w:t>行为</w:t>
            </w:r>
            <w:r>
              <w:rPr>
                <w:rFonts w:ascii="仿宋" w:hAnsi="仿宋" w:eastAsia="仿宋" w:cs="仿宋"/>
                <w:sz w:val="18"/>
                <w:szCs w:val="18"/>
              </w:rPr>
              <w:br w:type="textWrapping"/>
            </w:r>
            <w:r>
              <w:rPr>
                <w:rFonts w:hint="eastAsia" w:ascii="仿宋" w:hAnsi="仿宋" w:eastAsia="仿宋" w:cs="仿宋"/>
                <w:sz w:val="18"/>
                <w:szCs w:val="18"/>
              </w:rPr>
              <w:t>规范</w:t>
            </w:r>
          </w:p>
        </w:tc>
        <w:tc>
          <w:tcPr>
            <w:tcW w:w="26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教师职业道德建设监督检查</w:t>
            </w:r>
          </w:p>
        </w:tc>
        <w:tc>
          <w:tcPr>
            <w:tcW w:w="1710" w:type="dxa"/>
            <w:tcBorders>
              <w:top w:val="single" w:color="auto" w:sz="4" w:space="0"/>
              <w:left w:val="single" w:color="auto" w:sz="4" w:space="0"/>
              <w:right w:val="single" w:color="auto" w:sz="4" w:space="0"/>
            </w:tcBorders>
            <w:vAlign w:val="center"/>
          </w:tcPr>
          <w:p>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p>
        </w:tc>
        <w:tc>
          <w:tcPr>
            <w:tcW w:w="136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pPr>
              <w:widowControl/>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教师职业行为准则及违规处理办法</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《政府信息公开条例》、《新时代高校教师职业行为十项准则》、《新时代中小学教师职业行为十项准则》、《新时代幼儿园教师职业行为十项准则》、《中小学教师违反职业道德行为处理办法（</w:t>
            </w:r>
            <w:r>
              <w:rPr>
                <w:rFonts w:ascii="仿宋" w:hAnsi="仿宋" w:eastAsia="仿宋" w:cs="仿宋"/>
                <w:sz w:val="18"/>
                <w:szCs w:val="18"/>
              </w:rPr>
              <w:t>2018</w:t>
            </w:r>
            <w:r>
              <w:rPr>
                <w:rFonts w:hint="eastAsia" w:ascii="仿宋" w:hAnsi="仿宋" w:eastAsia="仿宋" w:cs="仿宋"/>
                <w:sz w:val="18"/>
                <w:szCs w:val="18"/>
              </w:rPr>
              <w:t>年修订）》、《幼儿园教师违反职业道德行为处理办法》等</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对教师有严重违反教师职业行为准则的行政处罚信息</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教师评优评先</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优秀教师的表彰、奖励等行政奖励信息公示</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《教师法》、《中共中央</w:t>
            </w:r>
            <w:r>
              <w:rPr>
                <w:rFonts w:ascii="仿宋" w:hAnsi="仿宋" w:eastAsia="仿宋" w:cs="仿宋"/>
                <w:sz w:val="18"/>
                <w:szCs w:val="18"/>
              </w:rPr>
              <w:t xml:space="preserve"> </w:t>
            </w:r>
            <w:r>
              <w:rPr>
                <w:rFonts w:hint="eastAsia" w:ascii="仿宋" w:hAnsi="仿宋" w:eastAsia="仿宋" w:cs="仿宋"/>
                <w:sz w:val="18"/>
                <w:szCs w:val="18"/>
              </w:rPr>
              <w:t>国务院关于全面深化新时代教师队伍建设改革的意见》</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学科名师、骨干教师、师德标兵评选</w:t>
            </w:r>
          </w:p>
        </w:tc>
        <w:tc>
          <w:tcPr>
            <w:tcW w:w="1710"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ascii="仿宋" w:hAnsi="仿宋" w:eastAsia="仿宋" w:cs="仿宋"/>
                <w:kern w:val="0"/>
                <w:sz w:val="18"/>
                <w:szCs w:val="18"/>
              </w:rPr>
              <w:t>1.</w:t>
            </w: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r>
              <w:rPr>
                <w:rFonts w:ascii="仿宋" w:hAnsi="仿宋" w:eastAsia="仿宋" w:cs="仿宋"/>
                <w:kern w:val="0"/>
                <w:sz w:val="18"/>
                <w:szCs w:val="18"/>
              </w:rPr>
              <w:t xml:space="preserve">                                             2.</w:t>
            </w:r>
            <w:r>
              <w:rPr>
                <w:rFonts w:hint="eastAsia" w:ascii="仿宋" w:hAnsi="仿宋" w:eastAsia="仿宋" w:cs="仿宋"/>
                <w:kern w:val="0"/>
                <w:sz w:val="18"/>
                <w:szCs w:val="18"/>
              </w:rPr>
              <w:t>《河北省教育厅关于印发河北省中小学教师学科名师工程实施方案的通知》</w:t>
            </w:r>
            <w:r>
              <w:rPr>
                <w:rStyle w:val="13"/>
                <w:rFonts w:hint="eastAsia" w:ascii="仿宋" w:hAnsi="仿宋" w:eastAsia="仿宋" w:cs="仿宋"/>
                <w:color w:val="auto"/>
                <w:szCs w:val="18"/>
              </w:rPr>
              <w:t>（冀教师</w:t>
            </w:r>
            <w:r>
              <w:rPr>
                <w:rStyle w:val="13"/>
                <w:rFonts w:ascii="仿宋" w:hAnsi="仿宋" w:eastAsia="仿宋" w:cs="仿宋"/>
                <w:color w:val="auto"/>
                <w:szCs w:val="18"/>
              </w:rPr>
              <w:t>[2009]25</w:t>
            </w:r>
            <w:r>
              <w:rPr>
                <w:rStyle w:val="13"/>
                <w:rFonts w:hint="eastAsia" w:ascii="仿宋" w:hAnsi="仿宋" w:eastAsia="仿宋" w:cs="仿宋"/>
                <w:color w:val="auto"/>
                <w:szCs w:val="18"/>
              </w:rPr>
              <w:t>号）；</w:t>
            </w:r>
          </w:p>
        </w:tc>
        <w:tc>
          <w:tcPr>
            <w:tcW w:w="136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pPr>
              <w:widowControl/>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中小学教师继续教育表彰和奖励</w:t>
            </w:r>
          </w:p>
        </w:tc>
        <w:tc>
          <w:tcPr>
            <w:tcW w:w="1710"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《中小学教师继续教育规定》（教育部令第</w:t>
            </w:r>
            <w:r>
              <w:rPr>
                <w:rFonts w:ascii="仿宋" w:hAnsi="仿宋" w:eastAsia="仿宋" w:cs="仿宋"/>
                <w:kern w:val="0"/>
                <w:sz w:val="18"/>
                <w:szCs w:val="18"/>
              </w:rPr>
              <w:t>7</w:t>
            </w:r>
            <w:r>
              <w:rPr>
                <w:rFonts w:hint="eastAsia" w:ascii="仿宋" w:hAnsi="仿宋" w:eastAsia="仿宋" w:cs="仿宋"/>
                <w:kern w:val="0"/>
                <w:sz w:val="18"/>
                <w:szCs w:val="18"/>
              </w:rPr>
              <w:t>号）</w:t>
            </w:r>
          </w:p>
        </w:tc>
        <w:tc>
          <w:tcPr>
            <w:tcW w:w="136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pPr>
              <w:widowControl/>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教育系统先进个人和先进集体奖励</w:t>
            </w:r>
          </w:p>
        </w:tc>
        <w:tc>
          <w:tcPr>
            <w:tcW w:w="1710"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《教育法》</w:t>
            </w:r>
          </w:p>
        </w:tc>
        <w:tc>
          <w:tcPr>
            <w:tcW w:w="136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■政府网站</w:t>
            </w:r>
            <w:r>
              <w:rPr>
                <w:rFonts w:ascii="仿宋" w:hAnsi="仿宋" w:eastAsia="仿宋" w:cs="仿宋"/>
                <w:kern w:val="0"/>
                <w:sz w:val="18"/>
                <w:szCs w:val="18"/>
              </w:rPr>
              <w:t xml:space="preserve">  </w:t>
            </w:r>
          </w:p>
        </w:tc>
        <w:tc>
          <w:tcPr>
            <w:tcW w:w="649"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Style w:val="14"/>
                <w:rFonts w:hint="eastAsia" w:ascii="仿宋" w:hAnsi="仿宋" w:eastAsia="仿宋" w:cs="仿宋"/>
                <w:color w:val="auto"/>
                <w:sz w:val="18"/>
                <w:szCs w:val="18"/>
              </w:rPr>
              <w:t>国防教育专兼职教师评优评选</w:t>
            </w:r>
          </w:p>
        </w:tc>
        <w:tc>
          <w:tcPr>
            <w:tcW w:w="1710"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《政府信息公开条例》，当地省市</w:t>
            </w: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表彰文件</w:t>
            </w:r>
          </w:p>
        </w:tc>
        <w:tc>
          <w:tcPr>
            <w:tcW w:w="136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■政府网站</w:t>
            </w:r>
            <w:r>
              <w:rPr>
                <w:rFonts w:ascii="仿宋" w:hAnsi="仿宋" w:eastAsia="仿宋" w:cs="仿宋"/>
                <w:kern w:val="0"/>
                <w:sz w:val="18"/>
                <w:szCs w:val="18"/>
              </w:rPr>
              <w:t xml:space="preserve">  </w:t>
            </w:r>
          </w:p>
        </w:tc>
        <w:tc>
          <w:tcPr>
            <w:tcW w:w="649"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任教</w:t>
            </w:r>
            <w:r>
              <w:rPr>
                <w:rFonts w:ascii="仿宋" w:hAnsi="仿宋" w:eastAsia="仿宋" w:cs="仿宋"/>
                <w:sz w:val="18"/>
                <w:szCs w:val="18"/>
              </w:rPr>
              <w:t>30</w:t>
            </w:r>
            <w:r>
              <w:rPr>
                <w:rFonts w:hint="eastAsia" w:ascii="仿宋" w:hAnsi="仿宋" w:eastAsia="仿宋" w:cs="仿宋"/>
                <w:sz w:val="18"/>
                <w:szCs w:val="18"/>
              </w:rPr>
              <w:t>年乡村教师以上教师申请荣誉证书相关政策</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《政府信息公开条例》、《关于做好乡村学校从教</w:t>
            </w:r>
            <w:r>
              <w:rPr>
                <w:rFonts w:ascii="仿宋" w:hAnsi="仿宋" w:eastAsia="仿宋" w:cs="仿宋"/>
                <w:sz w:val="18"/>
                <w:szCs w:val="18"/>
              </w:rPr>
              <w:t>30</w:t>
            </w:r>
            <w:r>
              <w:rPr>
                <w:rFonts w:hint="eastAsia" w:ascii="仿宋" w:hAnsi="仿宋" w:eastAsia="仿宋" w:cs="仿宋"/>
                <w:sz w:val="18"/>
                <w:szCs w:val="18"/>
              </w:rPr>
              <w:t>年教师荣誉证书颁发工作的通知》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教师职称评审</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评审政策、评审通知</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《政府信息公开条例》、《人力资源社会保障部教育部关于印发深化中小学教师职称制度改革的指导意见的通知》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个工作日内，公示时间不少于</w:t>
            </w:r>
            <w:r>
              <w:rPr>
                <w:rFonts w:ascii="仿宋" w:hAnsi="仿宋" w:eastAsia="仿宋" w:cs="仿宋"/>
                <w:sz w:val="18"/>
                <w:szCs w:val="18"/>
              </w:rPr>
              <w:t>7</w:t>
            </w:r>
            <w:r>
              <w:rPr>
                <w:rFonts w:hint="eastAsia" w:ascii="仿宋" w:hAnsi="仿宋" w:eastAsia="仿宋" w:cs="仿宋"/>
                <w:sz w:val="18"/>
                <w:szCs w:val="18"/>
              </w:rPr>
              <w:t>个工作日</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乡村教师生活补助</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管理制度、实施方案、实施时间、补助范围、发放对象、补助档次标准、发放情况</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《政府信息公开条例》、《教育部</w:t>
            </w:r>
            <w:r>
              <w:rPr>
                <w:rFonts w:ascii="仿宋" w:hAnsi="仿宋" w:eastAsia="仿宋" w:cs="仿宋"/>
                <w:sz w:val="18"/>
                <w:szCs w:val="18"/>
              </w:rPr>
              <w:t xml:space="preserve"> </w:t>
            </w:r>
            <w:r>
              <w:rPr>
                <w:rFonts w:hint="eastAsia" w:ascii="仿宋" w:hAnsi="仿宋" w:eastAsia="仿宋" w:cs="仿宋"/>
                <w:sz w:val="18"/>
                <w:szCs w:val="18"/>
              </w:rPr>
              <w:t>财政部关于落实</w:t>
            </w:r>
            <w:r>
              <w:rPr>
                <w:rFonts w:ascii="仿宋" w:hAnsi="仿宋" w:eastAsia="仿宋" w:cs="仿宋"/>
                <w:sz w:val="18"/>
                <w:szCs w:val="18"/>
              </w:rPr>
              <w:t>2013</w:t>
            </w:r>
            <w:r>
              <w:rPr>
                <w:rFonts w:hint="eastAsia" w:ascii="仿宋" w:hAnsi="仿宋" w:eastAsia="仿宋" w:cs="仿宋"/>
                <w:sz w:val="18"/>
                <w:szCs w:val="18"/>
              </w:rPr>
              <w:t>年中央</w:t>
            </w:r>
            <w:r>
              <w:rPr>
                <w:rFonts w:ascii="仿宋" w:hAnsi="仿宋" w:eastAsia="仿宋" w:cs="仿宋"/>
                <w:sz w:val="18"/>
                <w:szCs w:val="18"/>
              </w:rPr>
              <w:t>1</w:t>
            </w:r>
            <w:r>
              <w:rPr>
                <w:rFonts w:hint="eastAsia" w:ascii="仿宋" w:hAnsi="仿宋" w:eastAsia="仿宋" w:cs="仿宋"/>
                <w:sz w:val="18"/>
                <w:szCs w:val="18"/>
              </w:rPr>
              <w:t>号文件要求对在连片特困地区工作的乡村教师给予生活补助的通知》、《教育部关于加强乡村教师生活补助经费管理有关工作的通知》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个工作日内；教师申领情况进行常年公示</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对教师申诉作出的裁决</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教师申诉流程等</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《中华人民共和国教师法》第四十二条</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p>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使用假教师资格证书的处罚</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处罚结果等</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《〈教师资格条例〉实施办法》第二十七条</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p>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7</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公办学校管理</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学校日常监管督查</w:t>
            </w:r>
          </w:p>
        </w:tc>
        <w:tc>
          <w:tcPr>
            <w:tcW w:w="2645" w:type="dxa"/>
            <w:tcBorders>
              <w:top w:val="single" w:color="auto" w:sz="4" w:space="0"/>
              <w:left w:val="single" w:color="auto" w:sz="4" w:space="0"/>
              <w:right w:val="single" w:color="auto" w:sz="4" w:space="0"/>
            </w:tcBorders>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、中小学德育、体育、艺术、国防和校外教育工作督导检查</w:t>
            </w:r>
            <w:r>
              <w:rPr>
                <w:rFonts w:ascii="仿宋" w:hAnsi="仿宋" w:eastAsia="仿宋" w:cs="仿宋"/>
                <w:sz w:val="18"/>
                <w:szCs w:val="18"/>
              </w:rPr>
              <w:t>2</w:t>
            </w:r>
            <w:r>
              <w:rPr>
                <w:rFonts w:hint="eastAsia" w:ascii="仿宋" w:hAnsi="仿宋" w:eastAsia="仿宋" w:cs="仿宋"/>
                <w:sz w:val="18"/>
                <w:szCs w:val="18"/>
              </w:rPr>
              <w:t>、职业教育工作的统筹规划、综合协调、宏观管理</w:t>
            </w:r>
            <w:r>
              <w:rPr>
                <w:rFonts w:ascii="仿宋" w:hAnsi="仿宋" w:eastAsia="仿宋" w:cs="仿宋"/>
                <w:sz w:val="18"/>
                <w:szCs w:val="18"/>
              </w:rPr>
              <w:t>3</w:t>
            </w:r>
            <w:r>
              <w:rPr>
                <w:rFonts w:hint="eastAsia" w:ascii="仿宋" w:hAnsi="仿宋" w:eastAsia="仿宋" w:cs="仿宋"/>
                <w:sz w:val="18"/>
                <w:szCs w:val="18"/>
              </w:rPr>
              <w:t>、学校开展安全教育管理、安全隐患排查整改和安全责任落实的监督检查</w:t>
            </w:r>
            <w:r>
              <w:rPr>
                <w:rFonts w:ascii="仿宋" w:hAnsi="仿宋" w:eastAsia="仿宋" w:cs="仿宋"/>
                <w:sz w:val="18"/>
                <w:szCs w:val="18"/>
              </w:rPr>
              <w:t>4</w:t>
            </w:r>
            <w:r>
              <w:rPr>
                <w:rFonts w:hint="eastAsia" w:ascii="仿宋" w:hAnsi="仿宋" w:eastAsia="仿宋" w:cs="仿宋"/>
                <w:sz w:val="18"/>
                <w:szCs w:val="18"/>
              </w:rPr>
              <w:t>、教育系统法制教育工作评估监督</w:t>
            </w:r>
            <w:r>
              <w:rPr>
                <w:rFonts w:ascii="仿宋" w:hAnsi="仿宋" w:eastAsia="仿宋" w:cs="仿宋"/>
                <w:sz w:val="18"/>
                <w:szCs w:val="18"/>
              </w:rPr>
              <w:t>5</w:t>
            </w:r>
            <w:r>
              <w:rPr>
                <w:rFonts w:hint="eastAsia" w:ascii="仿宋" w:hAnsi="仿宋" w:eastAsia="仿宋" w:cs="仿宋"/>
                <w:sz w:val="18"/>
                <w:szCs w:val="18"/>
              </w:rPr>
              <w:t>、特殊教育、学前教育工作的监督、指导、检查</w:t>
            </w:r>
            <w:r>
              <w:rPr>
                <w:rFonts w:ascii="仿宋" w:hAnsi="仿宋" w:eastAsia="仿宋" w:cs="仿宋"/>
                <w:sz w:val="18"/>
                <w:szCs w:val="18"/>
              </w:rPr>
              <w:t>6</w:t>
            </w:r>
            <w:r>
              <w:rPr>
                <w:rFonts w:hint="eastAsia" w:ascii="仿宋" w:hAnsi="仿宋" w:eastAsia="仿宋" w:cs="仿宋"/>
                <w:sz w:val="18"/>
                <w:szCs w:val="18"/>
              </w:rPr>
              <w:t>、民族教育工作的指导检查</w:t>
            </w:r>
            <w:r>
              <w:rPr>
                <w:rFonts w:ascii="仿宋" w:hAnsi="仿宋" w:eastAsia="仿宋" w:cs="仿宋"/>
                <w:sz w:val="18"/>
                <w:szCs w:val="18"/>
              </w:rPr>
              <w:t>7</w:t>
            </w:r>
            <w:r>
              <w:rPr>
                <w:rFonts w:hint="eastAsia" w:ascii="仿宋" w:hAnsi="仿宋" w:eastAsia="仿宋" w:cs="仿宋"/>
                <w:sz w:val="18"/>
                <w:szCs w:val="18"/>
              </w:rPr>
              <w:t>、义务教育学校办学行为的监督检查</w:t>
            </w:r>
            <w:r>
              <w:rPr>
                <w:rFonts w:ascii="仿宋" w:hAnsi="仿宋" w:eastAsia="仿宋" w:cs="仿宋"/>
                <w:sz w:val="18"/>
                <w:szCs w:val="18"/>
              </w:rPr>
              <w:t>8</w:t>
            </w:r>
            <w:r>
              <w:rPr>
                <w:rFonts w:hint="eastAsia" w:ascii="仿宋" w:hAnsi="仿宋" w:eastAsia="仿宋" w:cs="仿宋"/>
                <w:sz w:val="18"/>
                <w:szCs w:val="18"/>
              </w:rPr>
              <w:t>、普通高中教学常规检查</w:t>
            </w:r>
            <w:r>
              <w:rPr>
                <w:rFonts w:ascii="仿宋" w:hAnsi="仿宋" w:eastAsia="仿宋" w:cs="仿宋"/>
                <w:sz w:val="18"/>
                <w:szCs w:val="18"/>
              </w:rPr>
              <w:t>9</w:t>
            </w:r>
            <w:r>
              <w:rPr>
                <w:rFonts w:hint="eastAsia" w:ascii="仿宋" w:hAnsi="仿宋" w:eastAsia="仿宋" w:cs="仿宋"/>
                <w:sz w:val="18"/>
                <w:szCs w:val="18"/>
              </w:rPr>
              <w:t>、普通中小学学校管理和办学行为的监督检查</w:t>
            </w:r>
            <w:r>
              <w:rPr>
                <w:rFonts w:ascii="仿宋" w:hAnsi="仿宋" w:eastAsia="仿宋" w:cs="仿宋"/>
                <w:sz w:val="18"/>
                <w:szCs w:val="18"/>
              </w:rPr>
              <w:t>10</w:t>
            </w:r>
            <w:r>
              <w:rPr>
                <w:rFonts w:hint="eastAsia" w:ascii="仿宋" w:hAnsi="仿宋" w:eastAsia="仿宋" w:cs="仿宋"/>
                <w:sz w:val="18"/>
                <w:szCs w:val="18"/>
              </w:rPr>
              <w:t>、普通中小学教辅材料选订</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《中华人民共和国职业教育法》第十一条</w:t>
            </w:r>
          </w:p>
          <w:p>
            <w:pPr>
              <w:rPr>
                <w:rFonts w:ascii="仿宋" w:hAnsi="仿宋" w:eastAsia="仿宋" w:cs="仿宋"/>
                <w:sz w:val="18"/>
                <w:szCs w:val="18"/>
              </w:rPr>
            </w:pPr>
          </w:p>
          <w:p>
            <w:pPr>
              <w:rPr>
                <w:rFonts w:ascii="仿宋" w:hAnsi="仿宋" w:eastAsia="仿宋" w:cs="仿宋"/>
                <w:sz w:val="18"/>
                <w:szCs w:val="18"/>
              </w:rPr>
            </w:pPr>
            <w:r>
              <w:rPr>
                <w:rFonts w:hint="eastAsia" w:ascii="仿宋" w:hAnsi="仿宋" w:eastAsia="仿宋" w:cs="仿宋"/>
                <w:sz w:val="18"/>
                <w:szCs w:val="18"/>
              </w:rPr>
              <w:t>省市</w:t>
            </w:r>
            <w:r>
              <w:rPr>
                <w:rFonts w:hint="eastAsia" w:ascii="仿宋" w:hAnsi="仿宋" w:eastAsia="仿宋" w:cs="仿宋"/>
                <w:sz w:val="18"/>
                <w:szCs w:val="18"/>
                <w:lang w:eastAsia="zh-CN"/>
              </w:rPr>
              <w:t>区</w:t>
            </w:r>
            <w:r>
              <w:rPr>
                <w:rFonts w:hint="eastAsia" w:ascii="仿宋" w:hAnsi="仿宋" w:eastAsia="仿宋" w:cs="仿宋"/>
                <w:sz w:val="18"/>
                <w:szCs w:val="18"/>
              </w:rPr>
              <w:t>文件</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学校奖励</w:t>
            </w:r>
          </w:p>
        </w:tc>
        <w:tc>
          <w:tcPr>
            <w:tcW w:w="2645" w:type="dxa"/>
            <w:tcBorders>
              <w:top w:val="single" w:color="auto" w:sz="4" w:space="0"/>
              <w:left w:val="single" w:color="auto" w:sz="4" w:space="0"/>
              <w:right w:val="single" w:color="auto" w:sz="4" w:space="0"/>
            </w:tcBorders>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、法制教育工作表彰奖励</w:t>
            </w:r>
            <w:r>
              <w:rPr>
                <w:rFonts w:ascii="仿宋" w:hAnsi="仿宋" w:eastAsia="仿宋" w:cs="仿宋"/>
                <w:sz w:val="18"/>
                <w:szCs w:val="18"/>
              </w:rPr>
              <w:t>2</w:t>
            </w:r>
            <w:r>
              <w:rPr>
                <w:rFonts w:hint="eastAsia" w:ascii="仿宋" w:hAnsi="仿宋" w:eastAsia="仿宋" w:cs="仿宋"/>
                <w:sz w:val="18"/>
                <w:szCs w:val="18"/>
              </w:rPr>
              <w:t>、教学研究工作表彰奖励</w:t>
            </w:r>
            <w:r>
              <w:rPr>
                <w:rFonts w:ascii="仿宋" w:hAnsi="仿宋" w:eastAsia="仿宋" w:cs="仿宋"/>
                <w:sz w:val="18"/>
                <w:szCs w:val="18"/>
              </w:rPr>
              <w:t>3</w:t>
            </w:r>
            <w:r>
              <w:rPr>
                <w:rFonts w:hint="eastAsia" w:ascii="仿宋" w:hAnsi="仿宋" w:eastAsia="仿宋" w:cs="仿宋"/>
                <w:sz w:val="18"/>
                <w:szCs w:val="18"/>
              </w:rPr>
              <w:t>、教育科学研究优秀成果表彰奖励</w:t>
            </w:r>
            <w:r>
              <w:rPr>
                <w:rFonts w:ascii="仿宋" w:hAnsi="仿宋" w:eastAsia="仿宋" w:cs="仿宋"/>
                <w:sz w:val="18"/>
                <w:szCs w:val="18"/>
              </w:rPr>
              <w:t>4</w:t>
            </w:r>
            <w:r>
              <w:rPr>
                <w:rFonts w:hint="eastAsia" w:ascii="仿宋" w:hAnsi="仿宋" w:eastAsia="仿宋" w:cs="仿宋"/>
                <w:sz w:val="18"/>
                <w:szCs w:val="18"/>
              </w:rPr>
              <w:t>、学校德育、体育、卫生、艺术工作先进单位和个人评选</w:t>
            </w:r>
            <w:r>
              <w:rPr>
                <w:rFonts w:ascii="仿宋" w:hAnsi="仿宋" w:eastAsia="仿宋" w:cs="仿宋"/>
                <w:sz w:val="18"/>
                <w:szCs w:val="18"/>
              </w:rPr>
              <w:t>5</w:t>
            </w:r>
            <w:r>
              <w:rPr>
                <w:rFonts w:hint="eastAsia" w:ascii="仿宋" w:hAnsi="仿宋" w:eastAsia="仿宋" w:cs="仿宋"/>
                <w:sz w:val="18"/>
                <w:szCs w:val="18"/>
              </w:rPr>
              <w:t>、先进班集体、学雷锋先进集体</w:t>
            </w:r>
            <w:r>
              <w:rPr>
                <w:rFonts w:ascii="仿宋" w:hAnsi="仿宋" w:eastAsia="仿宋" w:cs="仿宋"/>
                <w:sz w:val="18"/>
                <w:szCs w:val="18"/>
              </w:rPr>
              <w:t>6</w:t>
            </w:r>
            <w:r>
              <w:rPr>
                <w:rFonts w:hint="eastAsia" w:ascii="仿宋" w:hAnsi="仿宋" w:eastAsia="仿宋" w:cs="仿宋"/>
                <w:sz w:val="18"/>
                <w:szCs w:val="18"/>
              </w:rPr>
              <w:t>、学前教育先进单位及个人表彰</w:t>
            </w:r>
            <w:r>
              <w:rPr>
                <w:rFonts w:ascii="仿宋" w:hAnsi="仿宋" w:eastAsia="仿宋" w:cs="仿宋"/>
                <w:sz w:val="18"/>
                <w:szCs w:val="18"/>
              </w:rPr>
              <w:t>7</w:t>
            </w:r>
            <w:r>
              <w:rPr>
                <w:rFonts w:hint="eastAsia" w:ascii="仿宋" w:hAnsi="仿宋" w:eastAsia="仿宋" w:cs="仿宋"/>
                <w:sz w:val="18"/>
                <w:szCs w:val="18"/>
              </w:rPr>
              <w:t>、优秀基础教育校本课程评选</w:t>
            </w:r>
            <w:r>
              <w:rPr>
                <w:rFonts w:ascii="仿宋" w:hAnsi="仿宋" w:eastAsia="仿宋" w:cs="仿宋"/>
                <w:sz w:val="18"/>
                <w:szCs w:val="18"/>
              </w:rPr>
              <w:t>8</w:t>
            </w:r>
            <w:r>
              <w:rPr>
                <w:rFonts w:hint="eastAsia" w:ascii="仿宋" w:hAnsi="仿宋" w:eastAsia="仿宋" w:cs="仿宋"/>
                <w:sz w:val="18"/>
                <w:szCs w:val="18"/>
                <w:lang w:eastAsia="zh-CN"/>
              </w:rPr>
              <w:t>区</w:t>
            </w:r>
            <w:r>
              <w:rPr>
                <w:rFonts w:hint="eastAsia" w:ascii="仿宋" w:hAnsi="仿宋" w:eastAsia="仿宋" w:cs="仿宋"/>
                <w:sz w:val="18"/>
                <w:szCs w:val="18"/>
              </w:rPr>
              <w:t>级优秀班主任评选</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《中华人民共和国职业教育法》第十一条</w:t>
            </w:r>
          </w:p>
          <w:p>
            <w:pPr>
              <w:rPr>
                <w:rFonts w:ascii="仿宋" w:hAnsi="仿宋" w:eastAsia="仿宋" w:cs="仿宋"/>
                <w:sz w:val="18"/>
                <w:szCs w:val="18"/>
              </w:rPr>
            </w:pPr>
          </w:p>
          <w:p>
            <w:pPr>
              <w:rPr>
                <w:rFonts w:ascii="仿宋" w:hAnsi="仿宋" w:eastAsia="仿宋" w:cs="仿宋"/>
                <w:sz w:val="18"/>
                <w:szCs w:val="18"/>
              </w:rPr>
            </w:pPr>
            <w:r>
              <w:rPr>
                <w:rFonts w:hint="eastAsia" w:ascii="仿宋" w:hAnsi="仿宋" w:eastAsia="仿宋" w:cs="仿宋"/>
                <w:sz w:val="18"/>
                <w:szCs w:val="18"/>
              </w:rPr>
              <w:t>省市</w:t>
            </w:r>
            <w:r>
              <w:rPr>
                <w:rFonts w:hint="eastAsia" w:ascii="仿宋" w:hAnsi="仿宋" w:eastAsia="仿宋" w:cs="仿宋"/>
                <w:sz w:val="18"/>
                <w:szCs w:val="18"/>
                <w:lang w:eastAsia="zh-CN"/>
              </w:rPr>
              <w:t>区</w:t>
            </w:r>
            <w:r>
              <w:rPr>
                <w:rFonts w:hint="eastAsia" w:ascii="仿宋" w:hAnsi="仿宋" w:eastAsia="仿宋" w:cs="仿宋"/>
                <w:sz w:val="18"/>
                <w:szCs w:val="18"/>
              </w:rPr>
              <w:t>文件</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学校的处罚</w:t>
            </w:r>
          </w:p>
        </w:tc>
        <w:tc>
          <w:tcPr>
            <w:tcW w:w="2645" w:type="dxa"/>
            <w:tcBorders>
              <w:top w:val="single" w:color="auto" w:sz="4" w:space="0"/>
              <w:left w:val="single" w:color="auto" w:sz="4" w:space="0"/>
              <w:right w:val="single" w:color="auto" w:sz="4" w:space="0"/>
            </w:tcBorders>
          </w:tcPr>
          <w:p>
            <w:pPr>
              <w:autoSpaceDN w:val="0"/>
              <w:textAlignment w:val="cente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、学校违法颁发学历或者其他学业证书的处罚</w:t>
            </w:r>
            <w:r>
              <w:rPr>
                <w:rFonts w:ascii="仿宋" w:hAnsi="仿宋" w:eastAsia="仿宋" w:cs="仿宋"/>
                <w:sz w:val="18"/>
                <w:szCs w:val="18"/>
              </w:rPr>
              <w:t>2</w:t>
            </w:r>
            <w:r>
              <w:rPr>
                <w:rFonts w:hint="eastAsia" w:ascii="仿宋" w:hAnsi="仿宋" w:eastAsia="仿宋" w:cs="仿宋"/>
                <w:sz w:val="18"/>
                <w:szCs w:val="18"/>
              </w:rPr>
              <w:t>、学校违反国家有关规定向受教育者收取费用的处罚</w:t>
            </w:r>
            <w:r>
              <w:rPr>
                <w:rFonts w:ascii="仿宋" w:hAnsi="仿宋" w:eastAsia="仿宋" w:cs="仿宋"/>
                <w:sz w:val="18"/>
                <w:szCs w:val="18"/>
              </w:rPr>
              <w:t>3</w:t>
            </w:r>
            <w:r>
              <w:rPr>
                <w:rFonts w:hint="eastAsia" w:ascii="仿宋" w:hAnsi="仿宋" w:eastAsia="仿宋" w:cs="仿宋"/>
                <w:sz w:val="18"/>
                <w:szCs w:val="18"/>
              </w:rPr>
              <w:t>、义务教育学校以向学生推销商品、服务等方式谋取利益的处罚</w:t>
            </w:r>
            <w:r>
              <w:rPr>
                <w:rFonts w:ascii="仿宋" w:hAnsi="仿宋" w:eastAsia="仿宋" w:cs="仿宋"/>
                <w:sz w:val="18"/>
                <w:szCs w:val="18"/>
              </w:rPr>
              <w:t>4</w:t>
            </w:r>
            <w:r>
              <w:rPr>
                <w:rFonts w:hint="eastAsia" w:ascii="仿宋" w:hAnsi="仿宋" w:eastAsia="仿宋" w:cs="仿宋"/>
                <w:sz w:val="18"/>
                <w:szCs w:val="18"/>
              </w:rPr>
              <w:t>、义务教育学校违规办学的处罚</w:t>
            </w:r>
            <w:r>
              <w:rPr>
                <w:rFonts w:ascii="仿宋" w:hAnsi="仿宋" w:eastAsia="仿宋" w:cs="仿宋"/>
                <w:sz w:val="18"/>
                <w:szCs w:val="18"/>
              </w:rPr>
              <w:t>5</w:t>
            </w:r>
            <w:r>
              <w:rPr>
                <w:rFonts w:hint="eastAsia" w:ascii="仿宋" w:hAnsi="仿宋" w:eastAsia="仿宋" w:cs="仿宋"/>
                <w:sz w:val="18"/>
                <w:szCs w:val="18"/>
              </w:rPr>
              <w:t>、侵害未成年人合法权益的处罚</w:t>
            </w:r>
            <w:r>
              <w:rPr>
                <w:rFonts w:ascii="仿宋" w:hAnsi="仿宋" w:eastAsia="仿宋" w:cs="仿宋"/>
                <w:sz w:val="18"/>
                <w:szCs w:val="18"/>
              </w:rPr>
              <w:t>6</w:t>
            </w:r>
            <w:r>
              <w:rPr>
                <w:rFonts w:hint="eastAsia" w:ascii="仿宋" w:hAnsi="仿宋" w:eastAsia="仿宋" w:cs="仿宋"/>
                <w:sz w:val="18"/>
                <w:szCs w:val="18"/>
              </w:rPr>
              <w:t>、不按规定开设体育课的处罚</w:t>
            </w:r>
            <w:r>
              <w:rPr>
                <w:rFonts w:ascii="仿宋" w:hAnsi="仿宋" w:eastAsia="仿宋" w:cs="仿宋"/>
                <w:sz w:val="18"/>
                <w:szCs w:val="18"/>
              </w:rPr>
              <w:t>7</w:t>
            </w:r>
            <w:r>
              <w:rPr>
                <w:rFonts w:hint="eastAsia" w:ascii="仿宋" w:hAnsi="仿宋" w:eastAsia="仿宋" w:cs="仿宋"/>
                <w:sz w:val="18"/>
                <w:szCs w:val="18"/>
              </w:rPr>
              <w:t>、对拒绝或者妨碍学校卫生监督员实施卫生监督，且情节严重的处罚</w:t>
            </w:r>
            <w:r>
              <w:rPr>
                <w:rFonts w:ascii="仿宋" w:hAnsi="仿宋" w:eastAsia="仿宋" w:cs="仿宋"/>
                <w:sz w:val="18"/>
                <w:szCs w:val="18"/>
              </w:rPr>
              <w:t>8</w:t>
            </w:r>
            <w:r>
              <w:rPr>
                <w:rFonts w:hint="eastAsia" w:ascii="仿宋" w:hAnsi="仿宋" w:eastAsia="仿宋" w:cs="仿宋"/>
                <w:sz w:val="18"/>
                <w:szCs w:val="18"/>
              </w:rPr>
              <w:t>、招收学生工作中徇私舞弊的处罚</w:t>
            </w:r>
            <w:r>
              <w:rPr>
                <w:rFonts w:ascii="仿宋" w:hAnsi="仿宋" w:eastAsia="仿宋" w:cs="仿宋"/>
                <w:sz w:val="18"/>
                <w:szCs w:val="18"/>
              </w:rPr>
              <w:t>9</w:t>
            </w:r>
            <w:r>
              <w:rPr>
                <w:rFonts w:hint="eastAsia" w:ascii="仿宋" w:hAnsi="仿宋" w:eastAsia="仿宋" w:cs="仿宋"/>
                <w:sz w:val="18"/>
                <w:szCs w:val="18"/>
              </w:rPr>
              <w:t>、学校擅自转让、出租、出借、抵押教育设施及用地违法收入的收缴</w:t>
            </w:r>
            <w:r>
              <w:rPr>
                <w:rFonts w:ascii="仿宋" w:hAnsi="仿宋" w:eastAsia="仿宋" w:cs="仿宋"/>
                <w:sz w:val="18"/>
                <w:szCs w:val="18"/>
              </w:rPr>
              <w:t>10</w:t>
            </w:r>
            <w:r>
              <w:rPr>
                <w:rFonts w:hint="eastAsia" w:ascii="仿宋" w:hAnsi="仿宋" w:eastAsia="仿宋" w:cs="仿宋"/>
                <w:sz w:val="18"/>
                <w:szCs w:val="18"/>
              </w:rPr>
              <w:t>、违反国家有关规定招收学员的处罚</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《中华人民共和国职业教育法》第十一条</w:t>
            </w:r>
          </w:p>
          <w:p>
            <w:pPr>
              <w:rPr>
                <w:rFonts w:ascii="仿宋" w:hAnsi="仿宋" w:eastAsia="仿宋" w:cs="仿宋"/>
                <w:sz w:val="18"/>
                <w:szCs w:val="18"/>
              </w:rPr>
            </w:pPr>
          </w:p>
          <w:p>
            <w:pPr>
              <w:rPr>
                <w:rFonts w:ascii="仿宋" w:hAnsi="仿宋" w:eastAsia="仿宋" w:cs="仿宋"/>
                <w:sz w:val="18"/>
                <w:szCs w:val="18"/>
              </w:rPr>
            </w:pPr>
            <w:r>
              <w:rPr>
                <w:rFonts w:hint="eastAsia" w:ascii="仿宋" w:hAnsi="仿宋" w:eastAsia="仿宋" w:cs="仿宋"/>
                <w:sz w:val="18"/>
                <w:szCs w:val="18"/>
              </w:rPr>
              <w:t>省市</w:t>
            </w:r>
            <w:r>
              <w:rPr>
                <w:rFonts w:hint="eastAsia" w:ascii="仿宋" w:hAnsi="仿宋" w:eastAsia="仿宋" w:cs="仿宋"/>
                <w:sz w:val="18"/>
                <w:szCs w:val="18"/>
                <w:lang w:eastAsia="zh-CN"/>
              </w:rPr>
              <w:t>区</w:t>
            </w:r>
            <w:r>
              <w:rPr>
                <w:rFonts w:hint="eastAsia" w:ascii="仿宋" w:hAnsi="仿宋" w:eastAsia="仿宋" w:cs="仿宋"/>
                <w:sz w:val="18"/>
                <w:szCs w:val="18"/>
              </w:rPr>
              <w:t>文件</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8</w:t>
            </w:r>
          </w:p>
        </w:tc>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控辍保学</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“一</w:t>
            </w:r>
            <w:r>
              <w:rPr>
                <w:rFonts w:hint="eastAsia" w:ascii="仿宋" w:hAnsi="仿宋" w:eastAsia="仿宋" w:cs="仿宋"/>
                <w:sz w:val="18"/>
                <w:szCs w:val="18"/>
                <w:lang w:eastAsia="zh-CN"/>
              </w:rPr>
              <w:t>区</w:t>
            </w:r>
            <w:r>
              <w:rPr>
                <w:rFonts w:hint="eastAsia" w:ascii="仿宋" w:hAnsi="仿宋" w:eastAsia="仿宋" w:cs="仿宋"/>
                <w:sz w:val="18"/>
                <w:szCs w:val="18"/>
              </w:rPr>
              <w:t>一策”控辍保学工作方案；年度工作进展情况（含义务教育学生失学、辍学的总体情况，建档立卡家庭贫困学生总体就学情况）；督导检查结果公告；典型经验和有效做法</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《政府信息公开条例》、《国务院办公厅关于进一步加强控辍保学提高义务教育巩固水平的通知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spacing w:line="240" w:lineRule="exact"/>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农村义务教育学生营养改善计划</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有关政策法规、规章、规范性文件；组织机构和职责，举报电话、信箱或电子邮箱</w:t>
            </w:r>
            <w:r>
              <w:rPr>
                <w:rFonts w:ascii="仿宋" w:hAnsi="仿宋" w:eastAsia="仿宋" w:cs="仿宋"/>
                <w:sz w:val="18"/>
                <w:szCs w:val="18"/>
              </w:rPr>
              <w:br w:type="textWrapping"/>
            </w:r>
            <w:r>
              <w:rPr>
                <w:rFonts w:hint="eastAsia" w:ascii="仿宋" w:hAnsi="仿宋" w:eastAsia="仿宋" w:cs="仿宋"/>
                <w:sz w:val="18"/>
                <w:szCs w:val="18"/>
              </w:rPr>
              <w:t>；供餐企业、托餐家庭名单</w:t>
            </w:r>
          </w:p>
        </w:tc>
        <w:tc>
          <w:tcPr>
            <w:tcW w:w="1710"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《政府信息公开条例》</w:t>
            </w:r>
            <w:r>
              <w:rPr>
                <w:rFonts w:ascii="仿宋" w:hAnsi="仿宋" w:eastAsia="仿宋" w:cs="仿宋"/>
                <w:sz w:val="18"/>
                <w:szCs w:val="18"/>
              </w:rPr>
              <w:br w:type="textWrapping"/>
            </w:r>
            <w:r>
              <w:rPr>
                <w:rFonts w:hint="eastAsia" w:ascii="仿宋" w:hAnsi="仿宋" w:eastAsia="仿宋" w:cs="仿宋"/>
                <w:sz w:val="18"/>
                <w:szCs w:val="18"/>
              </w:rPr>
              <w:t>《国务院办公厅关于实施农村义务教育学生营养改善计划的意见》《教育部等十五部门关于印发〈农村义务教育学生营养改善计划实施细则〉等五个配套文件的通知》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spacing w:line="240" w:lineRule="exact"/>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spacing w:line="240" w:lineRule="exact"/>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学校食堂饭菜价格、带量食谱；学校膳食委员会名单；学校管理人员陪餐情况；食品安全突发事件应急预案</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实施营养改善计划的试点学校</w:t>
            </w:r>
          </w:p>
        </w:tc>
        <w:tc>
          <w:tcPr>
            <w:tcW w:w="1155" w:type="dxa"/>
            <w:tcBorders>
              <w:top w:val="single" w:color="auto" w:sz="4" w:space="0"/>
              <w:left w:val="single" w:color="auto" w:sz="4" w:space="0"/>
              <w:right w:val="single" w:color="auto" w:sz="4" w:space="0"/>
            </w:tcBorders>
            <w:vAlign w:val="center"/>
          </w:tcPr>
          <w:p>
            <w:pPr>
              <w:spacing w:line="240" w:lineRule="exact"/>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供餐企业（单位）配套管理制度，食品安全责任人、供餐方签约人；食品安全突发事件应急预案</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实施营养改善计划的供餐企业（单位）</w:t>
            </w:r>
          </w:p>
        </w:tc>
        <w:tc>
          <w:tcPr>
            <w:tcW w:w="1155" w:type="dxa"/>
            <w:tcBorders>
              <w:top w:val="single" w:color="auto" w:sz="4" w:space="0"/>
              <w:left w:val="single" w:color="auto" w:sz="4" w:space="0"/>
              <w:right w:val="single" w:color="auto" w:sz="4" w:space="0"/>
            </w:tcBorders>
            <w:vAlign w:val="center"/>
          </w:tcPr>
          <w:p>
            <w:pPr>
              <w:spacing w:line="240" w:lineRule="exact"/>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spacing w:line="240" w:lineRule="exact"/>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学校体育评价</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体育工作自评结果（体育课、体育训练、体育比赛、体育教师、体育场地、条件保障等）；学校体育发展年度报告（重点反映体育教学改革、体育教师配备、体育经费投入和体育场地设施、学生体质健康测试等方面的情况）</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《政府信息公开条例》、教育部关于印发《学生体质健康监测评价办法》等三个文件的通知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学校美育评价</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学校艺术教育工作自评结果（艺术课程、艺术活动、艺术教师、条件保障、特色发展及学生艺术素质测评等）；学校艺术教育发展年度报告（重点反映艺术课程建设、艺术教师配备、艺术教育管理、艺术教育经费投入和设施设备、课外艺术活动、校园文化艺术环境、重点项目推进以及中小学实施学校艺术教育工作自评制度等方面的情况）</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《政府信息公开条例》、教育部关于印发《中小学生艺术素质测评办法》等三个文件的通知</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7" w:hRule="atLeas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9</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 xml:space="preserve">    </w:t>
            </w:r>
            <w:r>
              <w:rPr>
                <w:rFonts w:hint="eastAsia" w:ascii="仿宋" w:hAnsi="仿宋" w:eastAsia="仿宋" w:cs="仿宋"/>
                <w:sz w:val="18"/>
                <w:szCs w:val="18"/>
              </w:rPr>
              <w:t>教育督导</w:t>
            </w:r>
          </w:p>
        </w:tc>
        <w:tc>
          <w:tcPr>
            <w:tcW w:w="864"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机构队伍</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督导部门组成、督学名单</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《教育督导条例》、《县域义务教育均衡发展督导评估暂行办法》、《县域义务教育优质均衡发展督导评估办法》</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学校和其他教育机构教育教学工作督导评估</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年度督导工作计划内容、责任区划分和责任督学名单、责任督学日常督导事项，学校督导评估的办法、指标体系、督导评估结果</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义务教育均衡发展督导评估</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义务教育均衡发展有关政策文件、监督方式、年度工作计划等，义务教育均衡发展状况自评方案及结果，省级教育督导机构对</w:t>
            </w:r>
            <w:r>
              <w:rPr>
                <w:rFonts w:hint="eastAsia" w:ascii="仿宋" w:hAnsi="仿宋" w:eastAsia="仿宋" w:cs="仿宋"/>
                <w:sz w:val="18"/>
                <w:szCs w:val="18"/>
                <w:lang w:eastAsia="zh-CN"/>
              </w:rPr>
              <w:t>区</w:t>
            </w:r>
            <w:r>
              <w:rPr>
                <w:rFonts w:hint="eastAsia" w:ascii="仿宋" w:hAnsi="仿宋" w:eastAsia="仿宋" w:cs="仿宋"/>
                <w:sz w:val="18"/>
                <w:szCs w:val="18"/>
              </w:rPr>
              <w:t>进行督导评估的工作安排、评估结果</w:t>
            </w:r>
            <w:r>
              <w:rPr>
                <w:rFonts w:ascii="仿宋" w:hAnsi="仿宋" w:eastAsia="仿宋" w:cs="仿宋"/>
                <w:sz w:val="18"/>
                <w:szCs w:val="18"/>
              </w:rPr>
              <w:br w:type="textWrapping"/>
            </w:r>
            <w:r>
              <w:rPr>
                <w:rFonts w:hint="eastAsia" w:ascii="仿宋" w:hAnsi="仿宋" w:eastAsia="仿宋" w:cs="仿宋"/>
                <w:sz w:val="18"/>
                <w:szCs w:val="18"/>
              </w:rPr>
              <w:t>国务院教育督导委员会对义务教育发展均衡县进行认定的结果</w:t>
            </w:r>
          </w:p>
        </w:tc>
        <w:tc>
          <w:tcPr>
            <w:tcW w:w="1710"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5" w:hRule="atLeast"/>
          <w:jc w:val="center"/>
        </w:trPr>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10</w:t>
            </w:r>
          </w:p>
        </w:tc>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校园安全</w:t>
            </w: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校园安全管理</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校园安全管理法律法规、配套管理制度，学生住宿、用餐、组织活动等安全管理情况，校园安全突发事件应急预案、预警信息、应对情况、调查处理情况，学校管理混乱，存在重大安全隐患或者发生重大安全事故的处罚校车使用许可申请政策规定及申请流程</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《政府信息公开条例》、《国务院办公厅关于加强中小学幼儿园安全风险防控体系建设的意见》、《教育部关于推进中小学信息公开工作的意见》、《校车安全管理条例》</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11</w:t>
            </w:r>
          </w:p>
        </w:tc>
        <w:tc>
          <w:tcPr>
            <w:tcW w:w="518"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其他信息</w:t>
            </w:r>
          </w:p>
        </w:tc>
        <w:tc>
          <w:tcPr>
            <w:tcW w:w="864"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初中毕业升学有关考试</w:t>
            </w:r>
          </w:p>
        </w:tc>
        <w:tc>
          <w:tcPr>
            <w:tcW w:w="2645" w:type="dxa"/>
            <w:vMerge w:val="restart"/>
            <w:tcBorders>
              <w:top w:val="single" w:color="auto" w:sz="4" w:space="0"/>
              <w:left w:val="single" w:color="auto" w:sz="4" w:space="0"/>
              <w:right w:val="single" w:color="auto" w:sz="4" w:space="0"/>
            </w:tcBorders>
          </w:tcPr>
          <w:p>
            <w:pPr>
              <w:numPr>
                <w:ilvl w:val="0"/>
                <w:numId w:val="1"/>
              </w:numPr>
              <w:rPr>
                <w:rFonts w:ascii="仿宋" w:hAnsi="仿宋" w:eastAsia="仿宋" w:cs="仿宋"/>
                <w:sz w:val="18"/>
                <w:szCs w:val="18"/>
              </w:rPr>
            </w:pPr>
            <w:r>
              <w:rPr>
                <w:rFonts w:hint="eastAsia" w:ascii="仿宋" w:hAnsi="仿宋" w:eastAsia="仿宋" w:cs="仿宋"/>
                <w:sz w:val="18"/>
                <w:szCs w:val="18"/>
              </w:rPr>
              <w:t>初中毕业与升学信息技术考试组织</w:t>
            </w:r>
          </w:p>
          <w:p>
            <w:pPr>
              <w:numPr>
                <w:ilvl w:val="0"/>
                <w:numId w:val="2"/>
              </w:numPr>
              <w:rPr>
                <w:rFonts w:ascii="仿宋" w:hAnsi="仿宋" w:eastAsia="仿宋" w:cs="仿宋"/>
                <w:sz w:val="18"/>
                <w:szCs w:val="18"/>
              </w:rPr>
            </w:pPr>
            <w:r>
              <w:rPr>
                <w:rFonts w:hint="eastAsia" w:ascii="仿宋" w:hAnsi="仿宋" w:eastAsia="仿宋" w:cs="仿宋"/>
                <w:sz w:val="18"/>
                <w:szCs w:val="18"/>
              </w:rPr>
              <w:t>初中毕业与升学物理、化学、生物实验操作考试组织</w:t>
            </w:r>
          </w:p>
          <w:p>
            <w:pPr>
              <w:rPr>
                <w:rFonts w:ascii="仿宋" w:hAnsi="仿宋" w:eastAsia="仿宋" w:cs="仿宋"/>
                <w:sz w:val="18"/>
                <w:szCs w:val="18"/>
              </w:rPr>
            </w:pPr>
            <w:r>
              <w:rPr>
                <w:rFonts w:ascii="仿宋" w:hAnsi="仿宋" w:eastAsia="仿宋" w:cs="仿宋"/>
                <w:sz w:val="18"/>
                <w:szCs w:val="18"/>
              </w:rPr>
              <w:t>3</w:t>
            </w:r>
            <w:r>
              <w:rPr>
                <w:rFonts w:hint="eastAsia" w:ascii="仿宋" w:hAnsi="仿宋" w:eastAsia="仿宋" w:cs="仿宋"/>
                <w:sz w:val="18"/>
                <w:szCs w:val="18"/>
              </w:rPr>
              <w:t>、初中毕业与升学体育考试组织</w:t>
            </w:r>
          </w:p>
        </w:tc>
        <w:tc>
          <w:tcPr>
            <w:tcW w:w="171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《教育部关于积极推进中小学评价与考试制度改革的通知》（教基</w:t>
            </w:r>
            <w:r>
              <w:rPr>
                <w:rFonts w:ascii="仿宋" w:hAnsi="仿宋" w:eastAsia="仿宋" w:cs="仿宋"/>
                <w:sz w:val="18"/>
                <w:szCs w:val="18"/>
              </w:rPr>
              <w:t>[2002]26</w:t>
            </w:r>
            <w:r>
              <w:rPr>
                <w:rFonts w:hint="eastAsia" w:ascii="仿宋" w:hAnsi="仿宋" w:eastAsia="仿宋" w:cs="仿宋"/>
                <w:sz w:val="18"/>
                <w:szCs w:val="18"/>
              </w:rPr>
              <w:t>号）。</w:t>
            </w:r>
          </w:p>
          <w:p>
            <w:pPr>
              <w:rPr>
                <w:rFonts w:ascii="仿宋" w:hAnsi="仿宋" w:eastAsia="仿宋" w:cs="仿宋"/>
                <w:sz w:val="18"/>
                <w:szCs w:val="18"/>
              </w:rPr>
            </w:pPr>
            <w:r>
              <w:rPr>
                <w:rFonts w:ascii="仿宋" w:hAnsi="仿宋" w:eastAsia="仿宋" w:cs="仿宋"/>
                <w:sz w:val="18"/>
                <w:szCs w:val="18"/>
              </w:rPr>
              <w:t>2.</w:t>
            </w:r>
            <w:r>
              <w:rPr>
                <w:rFonts w:hint="eastAsia" w:ascii="仿宋" w:hAnsi="仿宋" w:eastAsia="仿宋" w:cs="仿宋"/>
                <w:sz w:val="18"/>
                <w:szCs w:val="18"/>
              </w:rPr>
              <w:t>《河北省教育厅关于初中毕业与升学考试工作的通知》（冀教基</w:t>
            </w:r>
            <w:r>
              <w:rPr>
                <w:rFonts w:ascii="仿宋" w:hAnsi="仿宋" w:eastAsia="仿宋" w:cs="仿宋"/>
                <w:sz w:val="18"/>
                <w:szCs w:val="18"/>
              </w:rPr>
              <w:t>[2005]106</w:t>
            </w:r>
            <w:r>
              <w:rPr>
                <w:rFonts w:hint="eastAsia" w:ascii="仿宋" w:hAnsi="仿宋" w:eastAsia="仿宋" w:cs="仿宋"/>
                <w:sz w:val="18"/>
                <w:szCs w:val="18"/>
              </w:rPr>
              <w:t>、</w:t>
            </w:r>
            <w:r>
              <w:rPr>
                <w:rFonts w:ascii="仿宋" w:hAnsi="仿宋" w:eastAsia="仿宋" w:cs="仿宋"/>
                <w:sz w:val="18"/>
                <w:szCs w:val="18"/>
              </w:rPr>
              <w:t>107</w:t>
            </w:r>
            <w:r>
              <w:rPr>
                <w:rFonts w:hint="eastAsia" w:ascii="仿宋" w:hAnsi="仿宋" w:eastAsia="仿宋" w:cs="仿宋"/>
                <w:sz w:val="18"/>
                <w:szCs w:val="18"/>
              </w:rPr>
              <w:t>号）及市教育局初中毕业与升学相关文件。</w:t>
            </w:r>
            <w:r>
              <w:rPr>
                <w:rFonts w:ascii="仿宋" w:hAnsi="仿宋" w:eastAsia="仿宋" w:cs="仿宋"/>
                <w:sz w:val="18"/>
                <w:szCs w:val="18"/>
              </w:rPr>
              <w:t>3</w:t>
            </w:r>
            <w:r>
              <w:rPr>
                <w:rFonts w:hint="eastAsia" w:ascii="仿宋" w:hAnsi="仿宋" w:eastAsia="仿宋" w:cs="仿宋"/>
                <w:sz w:val="18"/>
                <w:szCs w:val="18"/>
              </w:rPr>
              <w:t>、中共中央、国务院</w:t>
            </w:r>
            <w:r>
              <w:rPr>
                <w:rFonts w:ascii="仿宋" w:hAnsi="仿宋" w:eastAsia="仿宋" w:cs="仿宋"/>
                <w:sz w:val="18"/>
                <w:szCs w:val="18"/>
              </w:rPr>
              <w:t xml:space="preserve"> </w:t>
            </w:r>
            <w:r>
              <w:rPr>
                <w:rFonts w:hint="eastAsia" w:ascii="仿宋" w:hAnsi="仿宋" w:eastAsia="仿宋" w:cs="仿宋"/>
                <w:sz w:val="18"/>
                <w:szCs w:val="18"/>
              </w:rPr>
              <w:t>《关于加强青少年体育增强青少年体质的意见》（中发</w:t>
            </w:r>
            <w:r>
              <w:rPr>
                <w:rFonts w:ascii="仿宋" w:hAnsi="仿宋" w:eastAsia="仿宋" w:cs="仿宋"/>
                <w:sz w:val="18"/>
                <w:szCs w:val="18"/>
              </w:rPr>
              <w:t>[2007]7</w:t>
            </w:r>
            <w:r>
              <w:rPr>
                <w:rFonts w:hint="eastAsia" w:ascii="仿宋" w:hAnsi="仿宋" w:eastAsia="仿宋" w:cs="仿宋"/>
                <w:sz w:val="18"/>
                <w:szCs w:val="18"/>
              </w:rPr>
              <w:t>号）</w:t>
            </w:r>
          </w:p>
        </w:tc>
        <w:tc>
          <w:tcPr>
            <w:tcW w:w="1365"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vMerge w:val="restart"/>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vMerge w:val="continue"/>
            <w:tcBorders>
              <w:top w:val="single" w:color="auto" w:sz="4" w:space="0"/>
              <w:left w:val="single" w:color="auto" w:sz="4" w:space="0"/>
              <w:right w:val="single" w:color="auto" w:sz="4" w:space="0"/>
            </w:tcBorders>
            <w:vAlign w:val="center"/>
          </w:tcPr>
          <w:p/>
        </w:tc>
        <w:tc>
          <w:tcPr>
            <w:tcW w:w="1710" w:type="dxa"/>
            <w:vMerge w:val="continue"/>
            <w:tcBorders>
              <w:top w:val="single" w:color="auto" w:sz="4" w:space="0"/>
              <w:left w:val="single" w:color="auto" w:sz="4" w:space="0"/>
              <w:right w:val="single" w:color="auto" w:sz="4" w:space="0"/>
            </w:tcBorders>
            <w:vAlign w:val="center"/>
          </w:tcPr>
          <w:p/>
        </w:tc>
        <w:tc>
          <w:tcPr>
            <w:tcW w:w="1365" w:type="dxa"/>
            <w:vMerge w:val="continue"/>
            <w:tcBorders>
              <w:top w:val="single" w:color="auto" w:sz="4" w:space="0"/>
              <w:left w:val="single" w:color="auto" w:sz="4" w:space="0"/>
              <w:right w:val="single" w:color="auto" w:sz="4" w:space="0"/>
            </w:tcBorders>
            <w:vAlign w:val="center"/>
          </w:tcPr>
          <w:p/>
        </w:tc>
        <w:tc>
          <w:tcPr>
            <w:tcW w:w="1245" w:type="dxa"/>
            <w:vMerge w:val="continue"/>
            <w:tcBorders>
              <w:top w:val="single" w:color="auto" w:sz="4" w:space="0"/>
              <w:left w:val="single" w:color="auto" w:sz="4" w:space="0"/>
              <w:right w:val="single" w:color="auto" w:sz="4" w:space="0"/>
            </w:tcBorders>
            <w:vAlign w:val="center"/>
          </w:tcPr>
          <w:p/>
        </w:tc>
        <w:tc>
          <w:tcPr>
            <w:tcW w:w="1155" w:type="dxa"/>
            <w:vMerge w:val="continue"/>
            <w:tcBorders>
              <w:top w:val="single" w:color="auto" w:sz="4" w:space="0"/>
              <w:left w:val="single" w:color="auto" w:sz="4" w:space="0"/>
              <w:right w:val="single" w:color="auto" w:sz="4" w:space="0"/>
            </w:tcBorders>
            <w:vAlign w:val="center"/>
          </w:tcPr>
          <w:p/>
        </w:tc>
        <w:tc>
          <w:tcPr>
            <w:tcW w:w="649" w:type="dxa"/>
            <w:vMerge w:val="continue"/>
            <w:tcBorders>
              <w:top w:val="single" w:color="auto" w:sz="4" w:space="0"/>
              <w:left w:val="single" w:color="auto" w:sz="4" w:space="0"/>
              <w:right w:val="single" w:color="auto" w:sz="4" w:space="0"/>
            </w:tcBorders>
            <w:vAlign w:val="center"/>
          </w:tcPr>
          <w:p/>
        </w:tc>
        <w:tc>
          <w:tcPr>
            <w:tcW w:w="777" w:type="dxa"/>
            <w:vMerge w:val="continue"/>
            <w:tcBorders>
              <w:top w:val="single" w:color="auto" w:sz="4" w:space="0"/>
              <w:left w:val="single" w:color="auto" w:sz="4" w:space="0"/>
              <w:right w:val="single" w:color="auto" w:sz="4" w:space="0"/>
            </w:tcBorders>
            <w:vAlign w:val="center"/>
          </w:tcPr>
          <w:p/>
        </w:tc>
        <w:tc>
          <w:tcPr>
            <w:tcW w:w="705" w:type="dxa"/>
            <w:vMerge w:val="continue"/>
            <w:tcBorders>
              <w:top w:val="single" w:color="auto" w:sz="4" w:space="0"/>
              <w:left w:val="single" w:color="auto" w:sz="4" w:space="0"/>
              <w:right w:val="single" w:color="auto" w:sz="4" w:space="0"/>
            </w:tcBorders>
            <w:vAlign w:val="center"/>
          </w:tcPr>
          <w:p/>
        </w:tc>
        <w:tc>
          <w:tcPr>
            <w:tcW w:w="777"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vMerge w:val="continue"/>
            <w:tcBorders>
              <w:top w:val="single" w:color="auto" w:sz="4" w:space="0"/>
              <w:left w:val="single" w:color="auto" w:sz="4" w:space="0"/>
              <w:right w:val="single" w:color="auto" w:sz="4" w:space="0"/>
            </w:tcBorders>
            <w:vAlign w:val="center"/>
          </w:tcPr>
          <w:p/>
        </w:tc>
        <w:tc>
          <w:tcPr>
            <w:tcW w:w="1710" w:type="dxa"/>
            <w:vMerge w:val="continue"/>
            <w:tcBorders>
              <w:top w:val="single" w:color="auto" w:sz="4" w:space="0"/>
              <w:left w:val="single" w:color="auto" w:sz="4" w:space="0"/>
              <w:right w:val="single" w:color="auto" w:sz="4" w:space="0"/>
            </w:tcBorders>
            <w:vAlign w:val="center"/>
          </w:tcPr>
          <w:p/>
        </w:tc>
        <w:tc>
          <w:tcPr>
            <w:tcW w:w="1365" w:type="dxa"/>
            <w:vMerge w:val="continue"/>
            <w:tcBorders>
              <w:top w:val="single" w:color="auto" w:sz="4" w:space="0"/>
              <w:left w:val="single" w:color="auto" w:sz="4" w:space="0"/>
              <w:right w:val="single" w:color="auto" w:sz="4" w:space="0"/>
            </w:tcBorders>
            <w:vAlign w:val="center"/>
          </w:tcPr>
          <w:p/>
        </w:tc>
        <w:tc>
          <w:tcPr>
            <w:tcW w:w="1245" w:type="dxa"/>
            <w:vMerge w:val="continue"/>
            <w:tcBorders>
              <w:top w:val="single" w:color="auto" w:sz="4" w:space="0"/>
              <w:left w:val="single" w:color="auto" w:sz="4" w:space="0"/>
              <w:right w:val="single" w:color="auto" w:sz="4" w:space="0"/>
            </w:tcBorders>
            <w:vAlign w:val="center"/>
          </w:tcPr>
          <w:p/>
        </w:tc>
        <w:tc>
          <w:tcPr>
            <w:tcW w:w="1155" w:type="dxa"/>
            <w:vMerge w:val="continue"/>
            <w:tcBorders>
              <w:top w:val="single" w:color="auto" w:sz="4" w:space="0"/>
              <w:left w:val="single" w:color="auto" w:sz="4" w:space="0"/>
              <w:right w:val="single" w:color="auto" w:sz="4" w:space="0"/>
            </w:tcBorders>
            <w:vAlign w:val="center"/>
          </w:tcPr>
          <w:p/>
        </w:tc>
        <w:tc>
          <w:tcPr>
            <w:tcW w:w="649" w:type="dxa"/>
            <w:vMerge w:val="continue"/>
            <w:tcBorders>
              <w:top w:val="single" w:color="auto" w:sz="4" w:space="0"/>
              <w:left w:val="single" w:color="auto" w:sz="4" w:space="0"/>
              <w:right w:val="single" w:color="auto" w:sz="4" w:space="0"/>
            </w:tcBorders>
            <w:vAlign w:val="center"/>
          </w:tcPr>
          <w:p/>
        </w:tc>
        <w:tc>
          <w:tcPr>
            <w:tcW w:w="777" w:type="dxa"/>
            <w:vMerge w:val="continue"/>
            <w:tcBorders>
              <w:top w:val="single" w:color="auto" w:sz="4" w:space="0"/>
              <w:left w:val="single" w:color="auto" w:sz="4" w:space="0"/>
              <w:right w:val="single" w:color="auto" w:sz="4" w:space="0"/>
            </w:tcBorders>
            <w:vAlign w:val="center"/>
          </w:tcPr>
          <w:p/>
        </w:tc>
        <w:tc>
          <w:tcPr>
            <w:tcW w:w="705" w:type="dxa"/>
            <w:vMerge w:val="continue"/>
            <w:tcBorders>
              <w:top w:val="single" w:color="auto" w:sz="4" w:space="0"/>
              <w:left w:val="single" w:color="auto" w:sz="4" w:space="0"/>
              <w:right w:val="single" w:color="auto" w:sz="4" w:space="0"/>
            </w:tcBorders>
            <w:vAlign w:val="center"/>
          </w:tcPr>
          <w:p/>
        </w:tc>
        <w:tc>
          <w:tcPr>
            <w:tcW w:w="777"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restart"/>
            <w:tcBorders>
              <w:top w:val="single" w:color="auto" w:sz="4" w:space="0"/>
              <w:left w:val="single" w:color="auto" w:sz="4" w:space="0"/>
              <w:right w:val="single" w:color="auto" w:sz="4" w:space="0"/>
            </w:tcBorders>
            <w:vAlign w:val="center"/>
          </w:tcPr>
          <w:p>
            <w:pPr>
              <w:ind w:firstLine="411"/>
              <w:jc w:val="left"/>
              <w:rPr>
                <w:rFonts w:ascii="仿宋" w:hAnsi="仿宋" w:eastAsia="仿宋" w:cs="仿宋"/>
                <w:sz w:val="18"/>
                <w:szCs w:val="18"/>
              </w:rPr>
            </w:pPr>
            <w:r>
              <w:rPr>
                <w:rFonts w:hint="eastAsia" w:ascii="仿宋" w:hAnsi="仿宋" w:eastAsia="仿宋" w:cs="仿宋"/>
                <w:sz w:val="18"/>
                <w:szCs w:val="18"/>
              </w:rPr>
              <w:t>奖、惩、复议等</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未经批准擅自举办民办教育机构的处罚</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《中华人民共和国教育法》，《中华人民共和国民办教育促进法》</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对发展教育事业做出突出贡献的奖励</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《中华人民共和国教育法》第十三条</w:t>
            </w:r>
            <w:r>
              <w:rPr>
                <w:rFonts w:ascii="仿宋" w:hAnsi="仿宋" w:eastAsia="仿宋" w:cs="仿宋"/>
                <w:sz w:val="18"/>
                <w:szCs w:val="18"/>
              </w:rPr>
              <w:t xml:space="preserve">        </w:t>
            </w:r>
            <w:r>
              <w:rPr>
                <w:rFonts w:hint="eastAsia" w:ascii="仿宋" w:hAnsi="仿宋" w:eastAsia="仿宋" w:cs="仿宋"/>
                <w:sz w:val="18"/>
                <w:szCs w:val="18"/>
              </w:rPr>
              <w:t>《中华人民共和国教师法》</w:t>
            </w:r>
          </w:p>
          <w:p>
            <w:pPr>
              <w:rPr>
                <w:rFonts w:ascii="仿宋" w:hAnsi="仿宋" w:eastAsia="仿宋" w:cs="仿宋"/>
                <w:sz w:val="18"/>
                <w:szCs w:val="18"/>
              </w:rPr>
            </w:pP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对于残疾人教育有突出贡献的单位和个人的奖励</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《中华人民共和国教育法》</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vMerge w:val="continue"/>
            <w:tcBorders>
              <w:top w:val="single" w:color="auto" w:sz="4" w:space="0"/>
              <w:left w:val="single" w:color="auto" w:sz="4" w:space="0"/>
              <w:right w:val="single" w:color="auto" w:sz="4" w:space="0"/>
            </w:tcBorders>
            <w:vAlign w:val="center"/>
          </w:tcPr>
          <w:p/>
        </w:tc>
        <w:tc>
          <w:tcPr>
            <w:tcW w:w="2645" w:type="dxa"/>
            <w:tcBorders>
              <w:top w:val="single" w:color="auto" w:sz="4" w:space="0"/>
              <w:left w:val="single" w:color="auto" w:sz="4" w:space="0"/>
              <w:right w:val="single" w:color="auto" w:sz="4" w:space="0"/>
            </w:tcBorders>
            <w:vAlign w:val="center"/>
          </w:tcPr>
          <w:p>
            <w:pPr>
              <w:tabs>
                <w:tab w:val="left" w:pos="287"/>
              </w:tabs>
              <w:jc w:val="left"/>
              <w:rPr>
                <w:rFonts w:ascii="仿宋" w:hAnsi="仿宋" w:eastAsia="仿宋" w:cs="仿宋"/>
                <w:sz w:val="18"/>
                <w:szCs w:val="18"/>
              </w:rPr>
            </w:pPr>
            <w:r>
              <w:rPr>
                <w:rFonts w:hint="eastAsia" w:ascii="仿宋" w:hAnsi="仿宋" w:eastAsia="仿宋" w:cs="仿宋"/>
                <w:sz w:val="18"/>
                <w:szCs w:val="18"/>
              </w:rPr>
              <w:t>对教育管理方面具体行政行为不服的行政复议</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《政府信息公开条例》、《中华人民共和国行政复议法》第十二条</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tabs>
                <w:tab w:val="left" w:pos="287"/>
              </w:tabs>
              <w:jc w:val="left"/>
              <w:rPr>
                <w:rFonts w:ascii="仿宋" w:hAnsi="仿宋" w:eastAsia="仿宋" w:cs="仿宋"/>
                <w:sz w:val="18"/>
                <w:szCs w:val="18"/>
              </w:rPr>
            </w:pPr>
            <w:r>
              <w:rPr>
                <w:rFonts w:hint="eastAsia" w:ascii="仿宋" w:hAnsi="仿宋" w:eastAsia="仿宋" w:cs="仿宋"/>
                <w:sz w:val="18"/>
                <w:szCs w:val="18"/>
              </w:rPr>
              <w:t>语言文字工作</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、违法干涉他人学习和使用国家通用语言文字的处罚</w:t>
            </w:r>
            <w:r>
              <w:rPr>
                <w:rFonts w:ascii="仿宋" w:hAnsi="仿宋" w:eastAsia="仿宋" w:cs="仿宋"/>
                <w:sz w:val="18"/>
                <w:szCs w:val="18"/>
              </w:rPr>
              <w:t>2</w:t>
            </w:r>
            <w:r>
              <w:rPr>
                <w:rFonts w:hint="eastAsia" w:ascii="仿宋" w:hAnsi="仿宋" w:eastAsia="仿宋" w:cs="仿宋"/>
                <w:sz w:val="18"/>
                <w:szCs w:val="18"/>
              </w:rPr>
              <w:t>、城市公共场所的设施和招牌、广告用字违规的处罚</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《国家通用语言文字法》第二十六条、第二十七条。</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tc>
        <w:tc>
          <w:tcPr>
            <w:tcW w:w="518" w:type="dxa"/>
            <w:vMerge w:val="continue"/>
            <w:tcBorders>
              <w:top w:val="single" w:color="auto" w:sz="4" w:space="0"/>
              <w:left w:val="single" w:color="auto" w:sz="4" w:space="0"/>
              <w:right w:val="single" w:color="auto" w:sz="4" w:space="0"/>
            </w:tcBorders>
            <w:vAlign w:val="center"/>
          </w:tcP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行政强制工作</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、抽样取证</w:t>
            </w:r>
            <w:r>
              <w:rPr>
                <w:rFonts w:ascii="仿宋" w:hAnsi="仿宋" w:eastAsia="仿宋" w:cs="仿宋"/>
                <w:sz w:val="18"/>
                <w:szCs w:val="18"/>
              </w:rPr>
              <w:t>2</w:t>
            </w:r>
            <w:r>
              <w:rPr>
                <w:rFonts w:hint="eastAsia" w:ascii="仿宋" w:hAnsi="仿宋" w:eastAsia="仿宋" w:cs="仿宋"/>
                <w:sz w:val="18"/>
                <w:szCs w:val="18"/>
              </w:rPr>
              <w:t>、先行登记保存证据</w:t>
            </w:r>
            <w:r>
              <w:rPr>
                <w:rFonts w:ascii="仿宋" w:hAnsi="仿宋" w:eastAsia="仿宋" w:cs="仿宋"/>
                <w:sz w:val="18"/>
                <w:szCs w:val="18"/>
              </w:rPr>
              <w:t>3</w:t>
            </w:r>
            <w:r>
              <w:rPr>
                <w:rFonts w:hint="eastAsia" w:ascii="仿宋" w:hAnsi="仿宋" w:eastAsia="仿宋" w:cs="仿宋"/>
                <w:sz w:val="18"/>
                <w:szCs w:val="18"/>
              </w:rPr>
              <w:t>、加处罚款</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《中华人民共和国行政处罚法》第三十七条第二款、《中华人民共和国行政处罚法》第五十一条第（一）项</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ascii="仿宋" w:hAnsi="仿宋" w:eastAsia="仿宋" w:cs="仿宋"/>
                <w:sz w:val="18"/>
                <w:szCs w:val="18"/>
              </w:rPr>
              <w:t>12</w:t>
            </w:r>
          </w:p>
        </w:tc>
        <w:tc>
          <w:tcPr>
            <w:tcW w:w="518"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财务信息</w:t>
            </w:r>
          </w:p>
        </w:tc>
        <w:tc>
          <w:tcPr>
            <w:tcW w:w="864"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财务</w:t>
            </w:r>
          </w:p>
          <w:p>
            <w:pPr>
              <w:jc w:val="center"/>
              <w:rPr>
                <w:rFonts w:ascii="仿宋" w:hAnsi="仿宋" w:eastAsia="仿宋" w:cs="仿宋"/>
                <w:sz w:val="18"/>
                <w:szCs w:val="18"/>
              </w:rPr>
            </w:pPr>
            <w:r>
              <w:rPr>
                <w:rFonts w:hint="eastAsia" w:ascii="仿宋" w:hAnsi="仿宋" w:eastAsia="仿宋" w:cs="仿宋"/>
                <w:sz w:val="18"/>
                <w:szCs w:val="18"/>
              </w:rPr>
              <w:t>信息</w:t>
            </w:r>
          </w:p>
        </w:tc>
        <w:tc>
          <w:tcPr>
            <w:tcW w:w="26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财务管理及监督办法、年度经费预决算信息、收费项目及收费标准</w:t>
            </w:r>
          </w:p>
        </w:tc>
        <w:tc>
          <w:tcPr>
            <w:tcW w:w="171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pPr>
              <w:jc w:val="center"/>
              <w:rPr>
                <w:rFonts w:ascii="仿宋" w:hAnsi="仿宋" w:eastAsia="仿宋" w:cs="仿宋"/>
                <w:sz w:val="18"/>
                <w:szCs w:val="18"/>
              </w:rPr>
            </w:pPr>
            <w:r>
              <w:rPr>
                <w:rFonts w:hint="eastAsia" w:ascii="仿宋" w:hAnsi="仿宋" w:eastAsia="仿宋" w:cs="仿宋"/>
                <w:sz w:val="18"/>
                <w:szCs w:val="18"/>
              </w:rPr>
              <w:t>　</w:t>
            </w:r>
          </w:p>
        </w:tc>
      </w:tr>
    </w:tbl>
    <w:p/>
    <w:p/>
    <w:p/>
    <w:p/>
    <w:p/>
    <w:p/>
    <w:p/>
    <w:p>
      <w:pPr>
        <w:pStyle w:val="2"/>
        <w:jc w:val="center"/>
        <w:rPr>
          <w:rFonts w:ascii="?????_GBK" w:hAnsi="?????_GBK"/>
          <w:b w:val="0"/>
          <w:bCs w:val="0"/>
          <w:sz w:val="30"/>
        </w:rPr>
      </w:pPr>
      <w:r>
        <w:rPr>
          <w:rFonts w:hint="eastAsia" w:ascii="宋体" w:hAnsi="宋体" w:cs="宋体"/>
          <w:b w:val="0"/>
          <w:bCs w:val="0"/>
          <w:sz w:val="30"/>
        </w:rPr>
        <w:t>（四）户籍管理领域基层政务公开标准目录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2333"/>
        <w:gridCol w:w="1800"/>
        <w:gridCol w:w="1515"/>
        <w:gridCol w:w="1140"/>
        <w:gridCol w:w="1620"/>
        <w:gridCol w:w="660"/>
        <w:gridCol w:w="975"/>
        <w:gridCol w:w="735"/>
        <w:gridCol w:w="9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vMerge w:val="restart"/>
            <w:vAlign w:val="center"/>
          </w:tcPr>
          <w:p>
            <w:pPr>
              <w:widowControl/>
              <w:rPr>
                <w:rFonts w:ascii="Times New Roman" w:hAnsi="Times New Roman"/>
                <w:color w:val="000000"/>
                <w:kern w:val="0"/>
                <w:sz w:val="22"/>
              </w:rPr>
            </w:pPr>
            <w:r>
              <w:rPr>
                <w:rFonts w:hint="eastAsia" w:ascii="Times New Roman" w:hAnsi="宋体"/>
                <w:color w:val="000000"/>
                <w:kern w:val="0"/>
                <w:sz w:val="22"/>
              </w:rPr>
              <w:t>序号</w:t>
            </w:r>
          </w:p>
        </w:tc>
        <w:tc>
          <w:tcPr>
            <w:tcW w:w="1800" w:type="dxa"/>
            <w:gridSpan w:val="2"/>
            <w:vAlign w:val="center"/>
          </w:tcPr>
          <w:p>
            <w:pPr>
              <w:widowControl/>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3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1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635"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657"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single" w:color="auto" w:sz="4" w:space="0"/>
              <w:left w:val="single" w:color="auto" w:sz="4" w:space="0"/>
              <w:right w:val="single" w:color="auto" w:sz="4" w:space="0"/>
            </w:tcBorders>
            <w:vAlign w:val="center"/>
          </w:tcPr>
          <w:p>
            <w:pPr>
              <w:widowControl/>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33" w:type="dxa"/>
            <w:vMerge w:val="continue"/>
            <w:tcBorders>
              <w:top w:val="single" w:color="auto" w:sz="4" w:space="0"/>
              <w:left w:val="single" w:color="auto" w:sz="4" w:space="0"/>
              <w:right w:val="single" w:color="auto" w:sz="4" w:space="0"/>
            </w:tcBorders>
            <w:vAlign w:val="center"/>
          </w:tcPr>
          <w:p/>
        </w:tc>
        <w:tc>
          <w:tcPr>
            <w:tcW w:w="1800" w:type="dxa"/>
            <w:vMerge w:val="continue"/>
            <w:tcBorders>
              <w:top w:val="single" w:color="auto" w:sz="4" w:space="0"/>
              <w:left w:val="single" w:color="auto" w:sz="4" w:space="0"/>
              <w:right w:val="single" w:color="auto" w:sz="4" w:space="0"/>
            </w:tcBorders>
            <w:vAlign w:val="center"/>
          </w:tcPr>
          <w:p/>
        </w:tc>
        <w:tc>
          <w:tcPr>
            <w:tcW w:w="1515" w:type="dxa"/>
            <w:vMerge w:val="continue"/>
            <w:tcBorders>
              <w:top w:val="single" w:color="auto" w:sz="4" w:space="0"/>
              <w:left w:val="single" w:color="auto" w:sz="4" w:space="0"/>
              <w:right w:val="single" w:color="auto" w:sz="4" w:space="0"/>
            </w:tcBorders>
            <w:vAlign w:val="center"/>
          </w:tcPr>
          <w:p/>
        </w:tc>
        <w:tc>
          <w:tcPr>
            <w:tcW w:w="114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66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75"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w:t>
            </w:r>
          </w:p>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群众</w:t>
            </w:r>
          </w:p>
        </w:tc>
        <w:tc>
          <w:tcPr>
            <w:tcW w:w="735"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922"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ascii="仿宋" w:hAnsi="仿宋" w:eastAsia="仿宋" w:cs="仿宋"/>
                <w:sz w:val="18"/>
                <w:szCs w:val="18"/>
              </w:rPr>
              <w:t>1</w:t>
            </w:r>
          </w:p>
        </w:tc>
        <w:tc>
          <w:tcPr>
            <w:tcW w:w="900" w:type="dxa"/>
            <w:vMerge w:val="restart"/>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港澳台居民居住证管理</w:t>
            </w:r>
          </w:p>
        </w:tc>
        <w:tc>
          <w:tcPr>
            <w:tcW w:w="90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港澳台居民居住证申领</w:t>
            </w:r>
          </w:p>
        </w:tc>
        <w:tc>
          <w:tcPr>
            <w:tcW w:w="2333"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受理部门、办理条件、所需材料、办理流程、办理时限、收费标准和依据</w:t>
            </w:r>
          </w:p>
        </w:tc>
        <w:tc>
          <w:tcPr>
            <w:tcW w:w="180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《港澳台居民居住证申领发放办法》、《政府信息公开条例》</w:t>
            </w:r>
          </w:p>
        </w:tc>
        <w:tc>
          <w:tcPr>
            <w:tcW w:w="151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形成或者变更之日起</w:t>
            </w:r>
            <w:r>
              <w:rPr>
                <w:rFonts w:ascii="仿宋" w:hAnsi="仿宋" w:eastAsia="仿宋" w:cs="仿宋"/>
                <w:sz w:val="18"/>
                <w:szCs w:val="18"/>
              </w:rPr>
              <w:t>20</w:t>
            </w:r>
            <w:r>
              <w:rPr>
                <w:rFonts w:hint="eastAsia" w:ascii="仿宋" w:hAnsi="仿宋" w:eastAsia="仿宋" w:cs="仿宋"/>
                <w:sz w:val="18"/>
                <w:szCs w:val="18"/>
              </w:rPr>
              <w:t>个工作日内予以公开</w:t>
            </w:r>
          </w:p>
        </w:tc>
        <w:tc>
          <w:tcPr>
            <w:tcW w:w="114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区公安分局</w:t>
            </w:r>
          </w:p>
        </w:tc>
        <w:tc>
          <w:tcPr>
            <w:tcW w:w="1620"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rPr>
                <w:rFonts w:ascii="仿宋" w:hAnsi="仿宋" w:eastAsia="仿宋" w:cs="仿宋"/>
                <w:sz w:val="18"/>
                <w:szCs w:val="18"/>
              </w:rPr>
            </w:pPr>
            <w:r>
              <w:rPr>
                <w:rFonts w:hint="eastAsia" w:ascii="仿宋" w:hAnsi="仿宋" w:eastAsia="仿宋" w:cs="仿宋"/>
                <w:sz w:val="18"/>
                <w:szCs w:val="18"/>
              </w:rPr>
              <w:t>■入户</w:t>
            </w:r>
            <w:r>
              <w:rPr>
                <w:rFonts w:ascii="仿宋" w:hAnsi="仿宋" w:eastAsia="仿宋" w:cs="仿宋"/>
                <w:sz w:val="18"/>
                <w:szCs w:val="18"/>
              </w:rPr>
              <w:t>/</w:t>
            </w:r>
            <w:r>
              <w:rPr>
                <w:rFonts w:hint="eastAsia" w:ascii="仿宋" w:hAnsi="仿宋" w:eastAsia="仿宋" w:cs="仿宋"/>
                <w:sz w:val="18"/>
                <w:szCs w:val="18"/>
              </w:rPr>
              <w:t>现场</w:t>
            </w:r>
          </w:p>
        </w:tc>
        <w:tc>
          <w:tcPr>
            <w:tcW w:w="66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w:t>
            </w:r>
          </w:p>
        </w:tc>
        <w:tc>
          <w:tcPr>
            <w:tcW w:w="97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3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w:t>
            </w:r>
          </w:p>
        </w:tc>
        <w:tc>
          <w:tcPr>
            <w:tcW w:w="922"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ascii="仿宋" w:hAnsi="仿宋" w:eastAsia="仿宋" w:cs="仿宋"/>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港澳台居民居住证换、补领</w:t>
            </w:r>
          </w:p>
        </w:tc>
        <w:tc>
          <w:tcPr>
            <w:tcW w:w="2333"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受理部门、办理条件、所需材料、办理流程、办理时限、收费标准和依据</w:t>
            </w:r>
          </w:p>
        </w:tc>
        <w:tc>
          <w:tcPr>
            <w:tcW w:w="180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《港澳台居民居住证申领发放办法》、《政府信息公开条例》</w:t>
            </w:r>
          </w:p>
        </w:tc>
        <w:tc>
          <w:tcPr>
            <w:tcW w:w="151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形成或者变更之日起</w:t>
            </w:r>
            <w:r>
              <w:rPr>
                <w:rFonts w:ascii="仿宋" w:hAnsi="仿宋" w:eastAsia="仿宋" w:cs="仿宋"/>
                <w:sz w:val="18"/>
                <w:szCs w:val="18"/>
              </w:rPr>
              <w:t>20</w:t>
            </w:r>
            <w:r>
              <w:rPr>
                <w:rFonts w:hint="eastAsia" w:ascii="仿宋" w:hAnsi="仿宋" w:eastAsia="仿宋" w:cs="仿宋"/>
                <w:sz w:val="18"/>
                <w:szCs w:val="18"/>
              </w:rPr>
              <w:t>个工作日内予以公开</w:t>
            </w:r>
          </w:p>
        </w:tc>
        <w:tc>
          <w:tcPr>
            <w:tcW w:w="114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lang w:eastAsia="zh-CN"/>
              </w:rPr>
              <w:t>区公安分局</w:t>
            </w:r>
          </w:p>
        </w:tc>
        <w:tc>
          <w:tcPr>
            <w:tcW w:w="1620" w:type="dxa"/>
            <w:tcBorders>
              <w:top w:val="single" w:color="auto" w:sz="4" w:space="0"/>
              <w:left w:val="single" w:color="auto" w:sz="4" w:space="0"/>
              <w:right w:val="single" w:color="auto" w:sz="4" w:space="0"/>
            </w:tcBorders>
            <w:vAlign w:val="center"/>
          </w:tcPr>
          <w:p>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pPr>
              <w:rPr>
                <w:rFonts w:ascii="仿宋" w:hAnsi="仿宋" w:eastAsia="仿宋" w:cs="仿宋"/>
                <w:sz w:val="18"/>
                <w:szCs w:val="18"/>
              </w:rPr>
            </w:pPr>
            <w:r>
              <w:rPr>
                <w:rFonts w:hint="eastAsia" w:ascii="仿宋" w:hAnsi="仿宋" w:eastAsia="仿宋" w:cs="仿宋"/>
                <w:sz w:val="18"/>
                <w:szCs w:val="18"/>
              </w:rPr>
              <w:t>■入户</w:t>
            </w:r>
            <w:r>
              <w:rPr>
                <w:rFonts w:ascii="仿宋" w:hAnsi="仿宋" w:eastAsia="仿宋" w:cs="仿宋"/>
                <w:sz w:val="18"/>
                <w:szCs w:val="18"/>
              </w:rPr>
              <w:t>/</w:t>
            </w:r>
            <w:r>
              <w:rPr>
                <w:rFonts w:hint="eastAsia" w:ascii="仿宋" w:hAnsi="仿宋" w:eastAsia="仿宋" w:cs="仿宋"/>
                <w:sz w:val="18"/>
                <w:szCs w:val="18"/>
              </w:rPr>
              <w:t>现场</w:t>
            </w:r>
          </w:p>
        </w:tc>
        <w:tc>
          <w:tcPr>
            <w:tcW w:w="660"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w:t>
            </w:r>
          </w:p>
        </w:tc>
        <w:tc>
          <w:tcPr>
            <w:tcW w:w="97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c>
          <w:tcPr>
            <w:tcW w:w="735"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r>
              <w:rPr>
                <w:rFonts w:hint="eastAsia" w:ascii="仿宋" w:hAnsi="仿宋" w:eastAsia="仿宋" w:cs="仿宋"/>
                <w:sz w:val="18"/>
                <w:szCs w:val="18"/>
              </w:rPr>
              <w:t>√</w:t>
            </w:r>
          </w:p>
        </w:tc>
        <w:tc>
          <w:tcPr>
            <w:tcW w:w="922" w:type="dxa"/>
            <w:tcBorders>
              <w:top w:val="single" w:color="auto" w:sz="4" w:space="0"/>
              <w:left w:val="single" w:color="auto" w:sz="4" w:space="0"/>
              <w:right w:val="single" w:color="auto" w:sz="4" w:space="0"/>
            </w:tcBorders>
            <w:vAlign w:val="center"/>
          </w:tcPr>
          <w:p>
            <w:pPr>
              <w:rPr>
                <w:rFonts w:ascii="仿宋" w:hAnsi="仿宋" w:eastAsia="仿宋" w:cs="仿宋"/>
                <w:sz w:val="18"/>
                <w:szCs w:val="18"/>
              </w:rPr>
            </w:pPr>
          </w:p>
        </w:tc>
      </w:tr>
    </w:tbl>
    <w:p/>
    <w:p/>
    <w:p/>
    <w:p/>
    <w:p/>
    <w:p/>
    <w:p/>
    <w:p/>
    <w:p/>
    <w:p/>
    <w:p/>
    <w:p/>
    <w:p/>
    <w:p>
      <w:pPr>
        <w:pStyle w:val="2"/>
        <w:jc w:val="center"/>
        <w:rPr>
          <w:rFonts w:ascii="?????_GBK" w:hAnsi="?????_GBK"/>
          <w:b w:val="0"/>
          <w:bCs w:val="0"/>
          <w:sz w:val="30"/>
        </w:rPr>
      </w:pPr>
      <w:r>
        <w:rPr>
          <w:rFonts w:hint="eastAsia" w:ascii="宋体" w:hAnsi="宋体" w:cs="宋体"/>
          <w:b w:val="0"/>
          <w:bCs w:val="0"/>
          <w:sz w:val="30"/>
        </w:rPr>
        <w:t>（五）社会救助领域基层政务公开标准目录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566"/>
        <w:gridCol w:w="2505"/>
        <w:gridCol w:w="1785"/>
        <w:gridCol w:w="1410"/>
        <w:gridCol w:w="1274"/>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6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50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78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1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74"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66" w:type="dxa"/>
            <w:vMerge w:val="continue"/>
            <w:tcBorders>
              <w:top w:val="single" w:color="auto" w:sz="4" w:space="0"/>
              <w:left w:val="single" w:color="auto" w:sz="4" w:space="0"/>
              <w:right w:val="single" w:color="auto" w:sz="4" w:space="0"/>
            </w:tcBorders>
            <w:vAlign w:val="center"/>
          </w:tcPr>
          <w:p/>
        </w:tc>
        <w:tc>
          <w:tcPr>
            <w:tcW w:w="2505" w:type="dxa"/>
            <w:vMerge w:val="continue"/>
            <w:tcBorders>
              <w:top w:val="single" w:color="auto" w:sz="4" w:space="0"/>
              <w:left w:val="single" w:color="auto" w:sz="4" w:space="0"/>
              <w:right w:val="single" w:color="auto" w:sz="4" w:space="0"/>
            </w:tcBorders>
            <w:vAlign w:val="center"/>
          </w:tcPr>
          <w:p/>
        </w:tc>
        <w:tc>
          <w:tcPr>
            <w:tcW w:w="1785" w:type="dxa"/>
            <w:vMerge w:val="continue"/>
            <w:tcBorders>
              <w:top w:val="single" w:color="auto" w:sz="4" w:space="0"/>
              <w:left w:val="single" w:color="auto" w:sz="4" w:space="0"/>
              <w:right w:val="single" w:color="auto" w:sz="4" w:space="0"/>
            </w:tcBorders>
            <w:vAlign w:val="center"/>
          </w:tcPr>
          <w:p/>
        </w:tc>
        <w:tc>
          <w:tcPr>
            <w:tcW w:w="1410" w:type="dxa"/>
            <w:vMerge w:val="continue"/>
            <w:tcBorders>
              <w:top w:val="single" w:color="auto" w:sz="4" w:space="0"/>
              <w:left w:val="single" w:color="auto" w:sz="4" w:space="0"/>
              <w:right w:val="single" w:color="auto" w:sz="4" w:space="0"/>
            </w:tcBorders>
            <w:vAlign w:val="center"/>
          </w:tcPr>
          <w:p/>
        </w:tc>
        <w:tc>
          <w:tcPr>
            <w:tcW w:w="1274" w:type="dxa"/>
            <w:vMerge w:val="continue"/>
            <w:tcBorders>
              <w:top w:val="single" w:color="auto" w:sz="4" w:space="0"/>
              <w:left w:val="single" w:color="auto" w:sz="4" w:space="0"/>
              <w:right w:val="single" w:color="auto" w:sz="4" w:space="0"/>
            </w:tcBorders>
            <w:vAlign w:val="center"/>
          </w:tcP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综合业务</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《社会救助暂行办法》</w:t>
            </w:r>
            <w:r>
              <w:rPr>
                <w:rFonts w:ascii="仿宋_GB2312" w:hAnsi="宋体" w:eastAsia="仿宋_GB2312"/>
                <w:color w:val="000000"/>
                <w:sz w:val="18"/>
                <w:szCs w:val="18"/>
              </w:rPr>
              <w:t xml:space="preserve">                 </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各地配套政策法规文件</w:t>
            </w:r>
          </w:p>
        </w:tc>
        <w:tc>
          <w:tcPr>
            <w:tcW w:w="250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监督</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检查</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社会救助信访通讯地址</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社会救助投诉举报电话</w:t>
            </w:r>
          </w:p>
        </w:tc>
        <w:tc>
          <w:tcPr>
            <w:tcW w:w="250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最低生活保障</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《国务院关于进一步加强和改进最低生活保障工作的意见》、《最低生活保障审核审批办法（试行）》、各地配套政策法规文件</w:t>
            </w:r>
          </w:p>
        </w:tc>
        <w:tc>
          <w:tcPr>
            <w:tcW w:w="250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办理事项、办理条件、最低生活保障标准、申请材料、办理流程、办理时间、地点、联系方式</w:t>
            </w:r>
          </w:p>
        </w:tc>
        <w:tc>
          <w:tcPr>
            <w:tcW w:w="25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低保对象名单及相关信息</w:t>
            </w:r>
          </w:p>
        </w:tc>
        <w:tc>
          <w:tcPr>
            <w:tcW w:w="25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特困人员救助供养</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0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办理事项、办理条件、救助供养标准、申请材料、办理流程、办理时间、地点、联系方式</w:t>
            </w:r>
            <w:r>
              <w:rPr>
                <w:rFonts w:ascii="仿宋_GB2312" w:hAnsi="宋体" w:eastAsia="仿宋_GB2312"/>
                <w:color w:val="000000"/>
                <w:sz w:val="18"/>
                <w:szCs w:val="18"/>
              </w:rPr>
              <w:t xml:space="preserve"> </w:t>
            </w:r>
          </w:p>
        </w:tc>
        <w:tc>
          <w:tcPr>
            <w:tcW w:w="25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特困人员名单及相关信息</w:t>
            </w:r>
          </w:p>
        </w:tc>
        <w:tc>
          <w:tcPr>
            <w:tcW w:w="25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财政部关于进一步加强和改进临时救助工作的意见》、各地配套政策法规文件</w:t>
            </w:r>
          </w:p>
        </w:tc>
        <w:tc>
          <w:tcPr>
            <w:tcW w:w="250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办理事项、办理条件、救助标准、申请材料、办理流程、办理时间、地点、联系方式</w:t>
            </w:r>
            <w:r>
              <w:rPr>
                <w:rFonts w:ascii="仿宋_GB2312" w:hAnsi="宋体" w:eastAsia="仿宋_GB2312"/>
                <w:color w:val="000000"/>
                <w:sz w:val="18"/>
                <w:szCs w:val="18"/>
              </w:rPr>
              <w:t xml:space="preserve"> </w:t>
            </w:r>
          </w:p>
        </w:tc>
        <w:tc>
          <w:tcPr>
            <w:tcW w:w="25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审核</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审批</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信息</w:t>
            </w:r>
          </w:p>
        </w:tc>
        <w:tc>
          <w:tcPr>
            <w:tcW w:w="256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支出型临时救助对象名单、救助金额、救助事由</w:t>
            </w:r>
            <w:r>
              <w:rPr>
                <w:rFonts w:ascii="仿宋_GB2312" w:hAnsi="宋体" w:eastAsia="仿宋_GB2312"/>
                <w:color w:val="000000"/>
                <w:sz w:val="18"/>
                <w:szCs w:val="18"/>
              </w:rPr>
              <w:t xml:space="preserve"> </w:t>
            </w:r>
          </w:p>
        </w:tc>
        <w:tc>
          <w:tcPr>
            <w:tcW w:w="25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78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rPr>
          <w:rFonts w:ascii="Times New Roman" w:hAnsi="Times New Roman"/>
          <w:sz w:val="28"/>
          <w:szCs w:val="28"/>
        </w:rPr>
      </w:pPr>
    </w:p>
    <w:p>
      <w:pPr>
        <w:pStyle w:val="2"/>
        <w:jc w:val="center"/>
        <w:rPr>
          <w:rFonts w:ascii="?????_GBK" w:hAnsi="?????_GBK"/>
          <w:b w:val="0"/>
          <w:bCs w:val="0"/>
          <w:sz w:val="30"/>
        </w:rPr>
      </w:pPr>
      <w:r>
        <w:rPr>
          <w:sz w:val="28"/>
          <w:szCs w:val="28"/>
        </w:rPr>
        <w:br w:type="page"/>
      </w:r>
      <w:r>
        <w:rPr>
          <w:rFonts w:hint="eastAsia" w:ascii="宋体" w:hAnsi="宋体" w:cs="宋体"/>
          <w:b w:val="0"/>
          <w:bCs w:val="0"/>
          <w:sz w:val="30"/>
        </w:rPr>
        <w:t>（六）养老服务领域基层政务公开标准目录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4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80" w:type="dxa"/>
            <w:vMerge w:val="continue"/>
            <w:tcBorders>
              <w:top w:val="single" w:color="auto" w:sz="4" w:space="0"/>
              <w:left w:val="single" w:color="auto" w:sz="4" w:space="0"/>
              <w:right w:val="single" w:color="auto" w:sz="4" w:space="0"/>
            </w:tcBorders>
            <w:vAlign w:val="center"/>
          </w:tcPr>
          <w:p/>
        </w:tc>
        <w:tc>
          <w:tcPr>
            <w:tcW w:w="1980" w:type="dxa"/>
            <w:vMerge w:val="continue"/>
            <w:tcBorders>
              <w:top w:val="single" w:color="auto" w:sz="4" w:space="0"/>
              <w:left w:val="single" w:color="auto" w:sz="4" w:space="0"/>
              <w:right w:val="single" w:color="auto" w:sz="4" w:space="0"/>
            </w:tcBorders>
            <w:vAlign w:val="center"/>
          </w:tcPr>
          <w:p/>
        </w:tc>
        <w:tc>
          <w:tcPr>
            <w:tcW w:w="1260" w:type="dxa"/>
            <w:vMerge w:val="continue"/>
            <w:tcBorders>
              <w:top w:val="single" w:color="auto" w:sz="4" w:space="0"/>
              <w:left w:val="single" w:color="auto" w:sz="4" w:space="0"/>
              <w:right w:val="single" w:color="auto" w:sz="4" w:space="0"/>
            </w:tcBorders>
            <w:vAlign w:val="center"/>
          </w:tcPr>
          <w:p/>
        </w:tc>
        <w:tc>
          <w:tcPr>
            <w:tcW w:w="108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养老服务通用政策</w:t>
            </w: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国家和地方层面养老服务相关法律、法规、政策文件</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文件名称、文号、发文部门</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制定或获取文件之日起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养老服务扶持政策措施清单</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扶持政策措施名称、扶持对象、实施部门、扶持政策措施内容和标准</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制定或获取扶持政策措施之日起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tcBorders>
              <w:top w:val="single" w:color="auto" w:sz="4" w:space="0"/>
              <w:left w:val="single" w:color="auto" w:sz="4" w:space="0"/>
              <w:right w:val="single" w:color="auto" w:sz="4" w:space="0"/>
            </w:tcBorders>
            <w:vAlign w:val="center"/>
          </w:tcP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养老机构投资指南</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本区域养老机构投资环境简介；</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制定或获取指南之日起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养老机构备案</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备案申请材料清单及样式、备案流程、办理部门、办理时限，办理时间、地点，咨询电话</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制定或获取备案政策之日起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养老服务扶持补贴名称（建设补贴、运营补贴等）、补贴依据、补贴对象、补贴申请条件、补贴内容和标准</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补贴方式，补贴申请材料清单及样式，办理流程、办理部门、办理时限、办理时间、地点、咨询电话</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制定或获取扶持补贴政策之日起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老年人补贴</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养老机构备案信息</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本行政区域已备案养老机构案数量；本行政区域已备案养老机构名称、机构地址、床位数量等基本信息</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《中华人民共和国老年人权益保障法》</w:t>
            </w:r>
            <w:r>
              <w:rPr>
                <w:rFonts w:hint="eastAsia" w:ascii="仿宋_GB2312" w:hAnsi="宋体" w:eastAsia="仿宋_GB2312"/>
                <w:color w:val="000000"/>
                <w:sz w:val="18"/>
                <w:szCs w:val="18"/>
              </w:rPr>
              <w:t>、《养老机构管理办法》、《信息公开条例》及相关规定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养老服务扶持补贴信息</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本行政区域各项养老服务扶持补贴申请数量；本行政区域各项养老服务扶持补贴申请审核通过数量；本行政区域各项养老服务扶持补贴申请审核通过名单及补贴金额；本行政区域各项养老服务扶持补贴发放总金额</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养老服务扶持补贴政策、《信息公开条例》及相关规定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老年人补贴申领和发放信息</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本行政区域各项老年人补贴申领数量、本行政区域各项老年人补贴申领审核通过数量、本行政区域各项老年人补贴申领审核通过名单、本行政区域各项老年人补贴发放总金额</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《财政部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全国老龄办关于建立健全经济困难的高龄</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失能等老年人补贴制度的通知》、各地相关政策法规文件、《信息公开条例》及相关规定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tcBorders>
              <w:top w:val="single" w:color="auto" w:sz="4" w:space="0"/>
              <w:left w:val="single" w:color="auto" w:sz="4" w:space="0"/>
              <w:right w:val="single" w:color="auto" w:sz="4" w:space="0"/>
            </w:tcBorders>
            <w:vAlign w:val="center"/>
          </w:tcP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养老机构评估信息</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本行政区域养老机构评估事项（综合评估、标准评定等）申请数量，</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本行政区域养老机构评估总体结果（综合评估、标准评估等），本行政区域养老机构评估机构清单（综合评估、标准评估等）</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《养老机构管理办法》、《养老机构等级划分与评定》、各地相关评估政策、《信息公开条例》及相关规定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制定或获取评估结果之日起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民政部门负责的养老机构行政处罚信息</w:t>
            </w:r>
          </w:p>
        </w:tc>
        <w:tc>
          <w:tcPr>
            <w:tcW w:w="28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行政处罚事项及标准、行政处罚结果，行政复议、行政诉讼、监督方式及电话</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《中华人民共和国老年人权益保障法》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《中华人民共和国行政强制法》</w:t>
            </w:r>
            <w:r>
              <w:rPr>
                <w:rFonts w:hint="eastAsia" w:ascii="仿宋_GB2312" w:hAnsi="宋体" w:eastAsia="仿宋_GB2312"/>
                <w:color w:val="000000"/>
                <w:sz w:val="18"/>
                <w:szCs w:val="18"/>
              </w:rPr>
              <w:t>、《行政处罚法》及其他有关法律、行政法规、</w:t>
            </w:r>
            <w:r>
              <w:rPr>
                <w:rFonts w:ascii="仿宋_GB2312" w:hAnsi="宋体" w:eastAsia="仿宋_GB2312"/>
                <w:color w:val="000000"/>
                <w:sz w:val="18"/>
                <w:szCs w:val="18"/>
              </w:rPr>
              <w:t xml:space="preserve">          </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《养老机构管理办法》、各地相关法规、信息公开规定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行政处罚决定做出之日起</w:t>
            </w:r>
            <w:r>
              <w:rPr>
                <w:rFonts w:ascii="仿宋_GB2312" w:hAnsi="宋体" w:eastAsia="仿宋_GB2312"/>
                <w:color w:val="000000"/>
                <w:sz w:val="18"/>
                <w:szCs w:val="18"/>
              </w:rPr>
              <w:t>5</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jc w:val="center"/>
        <w:rPr>
          <w:rFonts w:ascii="Times New Roman" w:hAnsi="Times New Roman"/>
          <w:sz w:val="13"/>
          <w:szCs w:val="13"/>
        </w:rPr>
      </w:pPr>
    </w:p>
    <w:p>
      <w:pPr>
        <w:pStyle w:val="2"/>
        <w:spacing w:line="240" w:lineRule="auto"/>
        <w:jc w:val="center"/>
        <w:rPr>
          <w:rFonts w:ascii="?????_GBK" w:hAnsi="?????_GBK"/>
          <w:b w:val="0"/>
          <w:bCs w:val="0"/>
          <w:sz w:val="30"/>
        </w:rPr>
      </w:pPr>
      <w:r>
        <w:rPr>
          <w:rFonts w:hint="eastAsia" w:ascii="宋体" w:hAnsi="宋体" w:cs="宋体"/>
          <w:b w:val="0"/>
          <w:bCs w:val="0"/>
          <w:sz w:val="30"/>
        </w:rPr>
        <w:t>（七）公共法律服务领域基层政务公开标准目录</w:t>
      </w:r>
    </w:p>
    <w:tbl>
      <w:tblPr>
        <w:tblStyle w:val="9"/>
        <w:tblpPr w:leftFromText="180" w:rightFromText="180" w:vertAnchor="text" w:horzAnchor="page" w:tblpX="1236" w:tblpY="678"/>
        <w:tblOverlap w:val="never"/>
        <w:tblW w:w="14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80"/>
        <w:gridCol w:w="2145"/>
        <w:gridCol w:w="1860"/>
        <w:gridCol w:w="1555"/>
        <w:gridCol w:w="1135"/>
        <w:gridCol w:w="2105"/>
        <w:gridCol w:w="710"/>
        <w:gridCol w:w="73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4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5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3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10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8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45" w:type="dxa"/>
            <w:vMerge w:val="continue"/>
            <w:tcBorders>
              <w:top w:val="single" w:color="auto" w:sz="4" w:space="0"/>
              <w:left w:val="single" w:color="auto" w:sz="4" w:space="0"/>
              <w:right w:val="single" w:color="auto" w:sz="4" w:space="0"/>
            </w:tcBorders>
            <w:vAlign w:val="center"/>
          </w:tcPr>
          <w:p/>
        </w:tc>
        <w:tc>
          <w:tcPr>
            <w:tcW w:w="1860" w:type="dxa"/>
            <w:vMerge w:val="continue"/>
            <w:tcBorders>
              <w:top w:val="single" w:color="auto" w:sz="4" w:space="0"/>
              <w:left w:val="single" w:color="auto" w:sz="4" w:space="0"/>
              <w:right w:val="single" w:color="auto" w:sz="4" w:space="0"/>
            </w:tcBorders>
            <w:vAlign w:val="center"/>
          </w:tcPr>
          <w:p/>
        </w:tc>
        <w:tc>
          <w:tcPr>
            <w:tcW w:w="1555" w:type="dxa"/>
            <w:vMerge w:val="continue"/>
            <w:tcBorders>
              <w:top w:val="single" w:color="auto" w:sz="4" w:space="0"/>
              <w:left w:val="single" w:color="auto" w:sz="4" w:space="0"/>
              <w:right w:val="single" w:color="auto" w:sz="4" w:space="0"/>
            </w:tcBorders>
            <w:vAlign w:val="center"/>
          </w:tcPr>
          <w:p/>
        </w:tc>
        <w:tc>
          <w:tcPr>
            <w:tcW w:w="1135" w:type="dxa"/>
            <w:vMerge w:val="continue"/>
            <w:tcBorders>
              <w:top w:val="single" w:color="auto" w:sz="4" w:space="0"/>
              <w:left w:val="single" w:color="auto" w:sz="4" w:space="0"/>
              <w:right w:val="single" w:color="auto" w:sz="4" w:space="0"/>
            </w:tcBorders>
            <w:vAlign w:val="center"/>
          </w:tcPr>
          <w:p/>
        </w:tc>
        <w:tc>
          <w:tcPr>
            <w:tcW w:w="2105" w:type="dxa"/>
            <w:vMerge w:val="continue"/>
            <w:tcBorders>
              <w:top w:val="single" w:color="auto" w:sz="4" w:space="0"/>
              <w:left w:val="single" w:color="auto" w:sz="4" w:space="0"/>
              <w:right w:val="single" w:color="auto" w:sz="4" w:space="0"/>
            </w:tcBorders>
            <w:vAlign w:val="center"/>
          </w:tcPr>
          <w:p/>
        </w:tc>
        <w:tc>
          <w:tcPr>
            <w:tcW w:w="71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3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法治宣传教育</w:t>
            </w:r>
          </w:p>
        </w:tc>
        <w:tc>
          <w:tcPr>
            <w:tcW w:w="128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法律知识普及服务</w:t>
            </w:r>
          </w:p>
        </w:tc>
        <w:tc>
          <w:tcPr>
            <w:tcW w:w="2145"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法律法规资讯；普法动态资讯；普法讲师团信息等</w:t>
            </w:r>
          </w:p>
        </w:tc>
        <w:tc>
          <w:tcPr>
            <w:tcW w:w="186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《中共中央、国务院转发</w:t>
            </w:r>
            <w:r>
              <w:rPr>
                <w:rFonts w:ascii="仿宋_GB2312" w:hAnsi="宋体" w:eastAsia="仿宋_GB2312"/>
                <w:color w:val="000000"/>
                <w:sz w:val="18"/>
                <w:szCs w:val="18"/>
              </w:rPr>
              <w:t>&lt;</w:t>
            </w:r>
            <w:r>
              <w:rPr>
                <w:rFonts w:hint="eastAsia" w:ascii="仿宋_GB2312" w:hAnsi="宋体" w:eastAsia="仿宋_GB2312"/>
                <w:color w:val="000000"/>
                <w:sz w:val="18"/>
                <w:szCs w:val="18"/>
              </w:rPr>
              <w:t>中央宣传部、司法部关于在公民中开展法治宣传教育的第七个五年规划（</w:t>
            </w:r>
            <w:r>
              <w:rPr>
                <w:rFonts w:ascii="仿宋_GB2312" w:hAnsi="宋体" w:eastAsia="仿宋_GB2312"/>
                <w:color w:val="000000"/>
                <w:sz w:val="18"/>
                <w:szCs w:val="18"/>
              </w:rPr>
              <w:t>2016</w:t>
            </w:r>
            <w:r>
              <w:rPr>
                <w:rFonts w:hint="eastAsia" w:ascii="仿宋_GB2312" w:hAnsi="宋体" w:eastAsia="仿宋_GB2312"/>
                <w:color w:val="000000"/>
                <w:sz w:val="18"/>
                <w:szCs w:val="18"/>
              </w:rPr>
              <w:t>－</w:t>
            </w:r>
            <w:r>
              <w:rPr>
                <w:rFonts w:ascii="仿宋_GB2312" w:hAnsi="宋体" w:eastAsia="仿宋_GB2312"/>
                <w:color w:val="000000"/>
                <w:sz w:val="18"/>
                <w:szCs w:val="18"/>
              </w:rPr>
              <w:t>2020</w:t>
            </w:r>
            <w:r>
              <w:rPr>
                <w:rFonts w:hint="eastAsia" w:ascii="仿宋_GB2312" w:hAnsi="宋体" w:eastAsia="仿宋_GB2312"/>
                <w:color w:val="000000"/>
                <w:sz w:val="18"/>
                <w:szCs w:val="18"/>
              </w:rPr>
              <w:t>年）</w:t>
            </w:r>
            <w:r>
              <w:rPr>
                <w:rFonts w:ascii="仿宋_GB2312" w:hAnsi="宋体" w:eastAsia="仿宋_GB2312"/>
                <w:color w:val="000000"/>
                <w:sz w:val="18"/>
                <w:szCs w:val="18"/>
              </w:rPr>
              <w:t>&gt;</w:t>
            </w:r>
            <w:r>
              <w:rPr>
                <w:rFonts w:hint="eastAsia" w:ascii="仿宋_GB2312" w:hAnsi="宋体" w:eastAsia="仿宋_GB2312"/>
                <w:color w:val="000000"/>
                <w:sz w:val="18"/>
                <w:szCs w:val="18"/>
              </w:rPr>
              <w:t>》、各省“七五”普法规划</w:t>
            </w:r>
          </w:p>
        </w:tc>
        <w:tc>
          <w:tcPr>
            <w:tcW w:w="1555"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widowControl/>
              <w:jc w:val="left"/>
              <w:textAlignment w:val="center"/>
              <w:rPr>
                <w:rFonts w:ascii="仿宋_GB2312" w:hAnsi="宋体" w:eastAsia="仿宋_GB2312"/>
                <w:color w:val="000000"/>
                <w:sz w:val="18"/>
                <w:szCs w:val="18"/>
              </w:rPr>
            </w:pPr>
          </w:p>
          <w:p>
            <w:pPr>
              <w:widowControl/>
              <w:jc w:val="lef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eastAsia="zh-CN"/>
              </w:rPr>
              <w:t>■政府网站</w:t>
            </w:r>
          </w:p>
          <w:p>
            <w:pPr>
              <w:widowControl/>
              <w:jc w:val="left"/>
              <w:textAlignment w:val="center"/>
              <w:rPr>
                <w:rFonts w:ascii="仿宋_GB2312" w:hAnsi="宋体" w:eastAsia="仿宋_GB2312"/>
                <w:color w:val="000000"/>
                <w:sz w:val="18"/>
                <w:szCs w:val="18"/>
              </w:rPr>
            </w:pPr>
          </w:p>
        </w:tc>
        <w:tc>
          <w:tcPr>
            <w:tcW w:w="71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128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推广法治文化服务</w:t>
            </w:r>
          </w:p>
        </w:tc>
        <w:tc>
          <w:tcPr>
            <w:tcW w:w="2145" w:type="dxa"/>
            <w:tcBorders>
              <w:top w:val="single" w:color="auto" w:sz="4" w:space="0"/>
              <w:left w:val="single" w:color="auto" w:sz="4" w:space="0"/>
              <w:right w:val="single" w:color="auto" w:sz="4" w:space="0"/>
            </w:tcBorders>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辖区内法治文化阵地信息；法治文化作品、产品</w:t>
            </w:r>
          </w:p>
        </w:tc>
        <w:tc>
          <w:tcPr>
            <w:tcW w:w="18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55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71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tc>
        <w:tc>
          <w:tcPr>
            <w:tcW w:w="128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对在法治宣传教育工作中做出显著成绩的单位和个人进行表彰奖励</w:t>
            </w:r>
          </w:p>
        </w:tc>
        <w:tc>
          <w:tcPr>
            <w:tcW w:w="2145" w:type="dxa"/>
            <w:tcBorders>
              <w:top w:val="single" w:color="auto" w:sz="4" w:space="0"/>
              <w:left w:val="single" w:color="auto" w:sz="4" w:space="0"/>
              <w:right w:val="single" w:color="auto" w:sz="4" w:space="0"/>
            </w:tcBorders>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评选表彰通知；先进集体和个人申报表（空白表）；拟表彰的先进集体先进个人名单；表彰决定</w:t>
            </w:r>
          </w:p>
        </w:tc>
        <w:tc>
          <w:tcPr>
            <w:tcW w:w="18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55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1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基层</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服务</w:t>
            </w: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jc w:val="center"/>
              <w:rPr>
                <w:rFonts w:ascii="仿宋_GB2312" w:hAnsi="宋体" w:eastAsia="仿宋_GB2312"/>
                <w:color w:val="000000"/>
                <w:sz w:val="18"/>
                <w:szCs w:val="18"/>
              </w:rPr>
            </w:pPr>
          </w:p>
          <w:p>
            <w:pPr>
              <w:rPr>
                <w:rFonts w:ascii="仿宋_GB2312" w:hAnsi="宋体" w:eastAsia="仿宋_GB2312"/>
                <w:color w:val="000000"/>
                <w:sz w:val="18"/>
                <w:szCs w:val="18"/>
              </w:rPr>
            </w:pPr>
          </w:p>
        </w:tc>
        <w:tc>
          <w:tcPr>
            <w:tcW w:w="128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对基层法律服务所、基层法律服务工作者违法违规行为的处罚</w:t>
            </w:r>
          </w:p>
        </w:tc>
        <w:tc>
          <w:tcPr>
            <w:tcW w:w="2145" w:type="dxa"/>
            <w:tcBorders>
              <w:top w:val="single" w:color="auto" w:sz="4" w:space="0"/>
              <w:left w:val="single" w:color="auto" w:sz="4" w:space="0"/>
              <w:right w:val="single" w:color="auto" w:sz="4" w:space="0"/>
            </w:tcBorders>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行政处罚决定或行政处罚决定书</w:t>
            </w:r>
          </w:p>
        </w:tc>
        <w:tc>
          <w:tcPr>
            <w:tcW w:w="18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《基层法律服务所管理办法》、《基层法律服务工作者管理办法》</w:t>
            </w:r>
          </w:p>
        </w:tc>
        <w:tc>
          <w:tcPr>
            <w:tcW w:w="155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■精准推送</w:t>
            </w:r>
          </w:p>
        </w:tc>
        <w:tc>
          <w:tcPr>
            <w:tcW w:w="71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5" w:hRule="atLeas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tc>
        <w:tc>
          <w:tcPr>
            <w:tcW w:w="128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对基层法律服务所、基层法律服务工作者进行表彰奖励</w:t>
            </w:r>
          </w:p>
        </w:tc>
        <w:tc>
          <w:tcPr>
            <w:tcW w:w="2145" w:type="dxa"/>
            <w:tcBorders>
              <w:top w:val="single" w:color="auto" w:sz="4" w:space="0"/>
              <w:left w:val="single" w:color="auto" w:sz="4" w:space="0"/>
              <w:right w:val="single" w:color="auto" w:sz="4" w:space="0"/>
            </w:tcBorders>
            <w:vAlign w:val="center"/>
          </w:tcPr>
          <w:p>
            <w:pPr>
              <w:tabs>
                <w:tab w:val="center" w:pos="4153"/>
                <w:tab w:val="right" w:pos="8306"/>
              </w:tabs>
              <w:snapToGrid w:val="0"/>
              <w:spacing w:line="360" w:lineRule="auto"/>
              <w:jc w:val="center"/>
              <w:rPr>
                <w:rFonts w:ascii="仿宋_GB2312" w:hAnsi="宋体" w:eastAsia="仿宋_GB2312"/>
                <w:color w:val="000000"/>
                <w:sz w:val="18"/>
                <w:szCs w:val="18"/>
              </w:rPr>
            </w:pPr>
            <w:r>
              <w:rPr>
                <w:rFonts w:hint="eastAsia" w:ascii="仿宋_GB2312" w:hAnsi="宋体" w:eastAsia="仿宋_GB2312"/>
                <w:color w:val="000000"/>
                <w:sz w:val="18"/>
                <w:szCs w:val="18"/>
              </w:rPr>
              <w:t>评选表彰通知；先进集体和个人申报表（空白表）；拟表彰的先进集体先进个人名单；表彰决定</w:t>
            </w:r>
          </w:p>
        </w:tc>
        <w:tc>
          <w:tcPr>
            <w:tcW w:w="186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《基层法律服务所管理办法》、《基层法律服务工作者管理办法》</w:t>
            </w:r>
          </w:p>
        </w:tc>
        <w:tc>
          <w:tcPr>
            <w:tcW w:w="155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widowControl/>
              <w:jc w:val="both"/>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■精准推送</w:t>
            </w:r>
          </w:p>
        </w:tc>
        <w:tc>
          <w:tcPr>
            <w:tcW w:w="71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查询</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服务</w:t>
            </w:r>
          </w:p>
        </w:tc>
        <w:tc>
          <w:tcPr>
            <w:tcW w:w="128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法律服务机构、人员信息查询服务</w:t>
            </w:r>
          </w:p>
        </w:tc>
        <w:tc>
          <w:tcPr>
            <w:tcW w:w="2145" w:type="dxa"/>
            <w:tcBorders>
              <w:top w:val="single" w:color="auto" w:sz="4" w:space="0"/>
              <w:left w:val="single" w:color="auto" w:sz="4" w:space="0"/>
              <w:right w:val="single" w:color="auto" w:sz="4" w:space="0"/>
            </w:tcBorders>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辖区内的律师、公证、基层法律服务、司法鉴定、仲裁、人民调解等法律服务机构和人员有关基本信息、从业信息和信用信息等</w:t>
            </w:r>
          </w:p>
        </w:tc>
        <w:tc>
          <w:tcPr>
            <w:tcW w:w="186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55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w:t>
            </w:r>
          </w:p>
          <w:p>
            <w:pPr>
              <w:widowControl/>
              <w:jc w:val="left"/>
              <w:textAlignment w:val="cente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widowControl/>
              <w:jc w:val="left"/>
              <w:textAlignment w:val="center"/>
              <w:rPr>
                <w:rFonts w:ascii="仿宋_GB2312" w:hAnsi="宋体" w:eastAsia="仿宋_GB2312"/>
                <w:color w:val="000000"/>
                <w:sz w:val="18"/>
                <w:szCs w:val="18"/>
              </w:rPr>
            </w:pPr>
          </w:p>
        </w:tc>
        <w:tc>
          <w:tcPr>
            <w:tcW w:w="71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公共法律服务平台</w:t>
            </w:r>
          </w:p>
        </w:tc>
        <w:tc>
          <w:tcPr>
            <w:tcW w:w="128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公共法律服务实体、热线</w:t>
            </w:r>
          </w:p>
        </w:tc>
        <w:tc>
          <w:tcPr>
            <w:tcW w:w="2145" w:type="dxa"/>
            <w:tcBorders>
              <w:top w:val="single" w:color="auto" w:sz="4" w:space="0"/>
              <w:left w:val="single" w:color="auto" w:sz="4" w:space="0"/>
              <w:right w:val="single" w:color="auto" w:sz="4" w:space="0"/>
            </w:tcBorders>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公共法律服务中心具体地址；</w:t>
            </w:r>
            <w:r>
              <w:rPr>
                <w:rFonts w:ascii="仿宋_GB2312" w:hAnsi="宋体" w:eastAsia="仿宋_GB2312"/>
                <w:color w:val="000000"/>
                <w:sz w:val="18"/>
                <w:szCs w:val="18"/>
              </w:rPr>
              <w:t>12348</w:t>
            </w:r>
            <w:r>
              <w:rPr>
                <w:rFonts w:hint="eastAsia" w:ascii="仿宋_GB2312" w:hAnsi="宋体" w:eastAsia="仿宋_GB2312"/>
                <w:color w:val="000000"/>
                <w:sz w:val="18"/>
                <w:szCs w:val="18"/>
              </w:rPr>
              <w:t>公共法律服务热线号码；</w:t>
            </w:r>
            <w:r>
              <w:rPr>
                <w:rFonts w:ascii="仿宋_GB2312" w:hAnsi="宋体" w:eastAsia="仿宋_GB2312"/>
                <w:color w:val="000000"/>
                <w:sz w:val="18"/>
                <w:szCs w:val="18"/>
              </w:rPr>
              <w:t xml:space="preserve"> </w:t>
            </w:r>
          </w:p>
        </w:tc>
        <w:tc>
          <w:tcPr>
            <w:tcW w:w="186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55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w:t>
            </w:r>
          </w:p>
          <w:p>
            <w:pPr>
              <w:widowControl/>
              <w:jc w:val="left"/>
              <w:textAlignment w:val="center"/>
              <w:rPr>
                <w:rFonts w:ascii="仿宋_GB2312" w:hAnsi="宋体" w:eastAsia="仿宋_GB2312"/>
                <w:color w:val="000000"/>
                <w:sz w:val="18"/>
                <w:szCs w:val="18"/>
              </w:rPr>
            </w:pPr>
          </w:p>
          <w:p>
            <w:pPr>
              <w:widowControl/>
              <w:jc w:val="left"/>
              <w:textAlignment w:val="center"/>
              <w:rPr>
                <w:rFonts w:ascii="仿宋_GB2312" w:hAnsi="宋体" w:eastAsia="仿宋_GB2312"/>
                <w:color w:val="000000"/>
                <w:sz w:val="18"/>
                <w:szCs w:val="18"/>
              </w:rPr>
            </w:pPr>
          </w:p>
        </w:tc>
        <w:tc>
          <w:tcPr>
            <w:tcW w:w="71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p>
        </w:tc>
      </w:tr>
    </w:tbl>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r>
        <w:rPr>
          <w:rFonts w:hint="eastAsia" w:ascii="宋体" w:hAnsi="宋体" w:cs="宋体"/>
          <w:kern w:val="44"/>
          <w:sz w:val="30"/>
          <w:szCs w:val="44"/>
        </w:rPr>
        <w:t>（八）财政预决算领域基层政务公开标准目录</w:t>
      </w:r>
    </w:p>
    <w:tbl>
      <w:tblPr>
        <w:tblStyle w:val="9"/>
        <w:tblpPr w:leftFromText="180" w:rightFromText="180" w:vertAnchor="text" w:horzAnchor="page" w:tblpX="1356" w:tblpY="798"/>
        <w:tblOverlap w:val="never"/>
        <w:tblW w:w="143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240"/>
        <w:gridCol w:w="2219"/>
        <w:gridCol w:w="1201"/>
        <w:gridCol w:w="1139"/>
        <w:gridCol w:w="1561"/>
        <w:gridCol w:w="720"/>
        <w:gridCol w:w="709"/>
        <w:gridCol w:w="670"/>
        <w:gridCol w:w="8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pStyle w:val="2"/>
              <w:jc w:val="center"/>
              <w:rPr>
                <w:rFonts w:ascii="Times New Roman" w:hAnsi="Times New Roman"/>
                <w:color w:val="000000"/>
                <w:kern w:val="0"/>
                <w:sz w:val="22"/>
              </w:rPr>
            </w:pPr>
            <w:r>
              <w:rPr>
                <w:rFonts w:hint="eastAsia" w:ascii="黑体" w:hAnsi="宋体" w:eastAsia="黑体" w:cs="宋体"/>
                <w:color w:val="000000"/>
                <w:kern w:val="0"/>
                <w:sz w:val="22"/>
              </w:rPr>
              <w:t>序</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2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21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01"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3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561"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558"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240" w:type="dxa"/>
            <w:vMerge w:val="continue"/>
            <w:tcBorders>
              <w:top w:val="single" w:color="auto" w:sz="4" w:space="0"/>
              <w:left w:val="single" w:color="auto" w:sz="4" w:space="0"/>
              <w:right w:val="single" w:color="auto" w:sz="4" w:space="0"/>
            </w:tcBorders>
            <w:vAlign w:val="center"/>
          </w:tc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67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888"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政府性基金预算：①政府性基金收入表。②政府性基金支出表。③本级政府性基金支出表。④政府性基金转移支付表。⑤政府专项债务限额和余额情况表。</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社会保险基金预算：①社会保险基金收入表。②社会保险基金支出表。</w:t>
            </w: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对财政转移支付安排、举借政府债务等重要事项进行解释、说明，并公开重大政策和重点项目等绩效目标。</w:t>
            </w: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进行说明。</w:t>
            </w: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政府债务限额、余额、使用安排及还本付息等信息，包括：①随同预算公开上一年度本地区、本级及所属地区地方政府债务限额及余额（或余额预计执行数），以及本地区和本级上一年度地方政府债券（含再融资债券）发行及还本付息额（或预计执行数）、本年度地方政府债券还本付息预算数等；②随同调整预算公开当年本地区及本级地方政府债务限额、本级新增地方政府债券资金使用安排等。</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政府决算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67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政府性基金预算：①政府性基金收入表。②政府性基金支出表。③本级政府性基金支出表。④政府性基金转移支付表。⑤政府专项债务限额和余额情况表。</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社会保险基金预算：①社会保险基金收入表。②社会保险基金支出表。</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政府决算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对财政转移支付安排、举借政府债务、预算绩效工作开展情况等重要事项进行解释、说明，并公开重大政策和重点项目绩效执行结果。</w:t>
            </w:r>
          </w:p>
          <w:p>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67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地方政府债务限额、余额、使用安排及还本付息等信息，包括：上年末本地区、本级及所属地区地方政府债务限额、余额决算数，地方政府债券发行、还本付息决算数，以及债券资金使用安排等。</w:t>
            </w: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pPr>
              <w:widowControl/>
              <w:jc w:val="center"/>
              <w:textAlignment w:val="center"/>
              <w:rPr>
                <w:rFonts w:ascii="仿宋_GB2312" w:hAnsi="宋体" w:eastAsia="仿宋_GB2312"/>
                <w:color w:val="000000"/>
                <w:sz w:val="18"/>
                <w:szCs w:val="18"/>
              </w:rPr>
            </w:pPr>
          </w:p>
          <w:p>
            <w:pPr>
              <w:widowControl/>
              <w:jc w:val="center"/>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部门预算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财政局和</w:t>
            </w:r>
          </w:p>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直各部门、各单位</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决算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财政局和</w:t>
            </w:r>
          </w:p>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直各部门、各单位</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部门决算</w:t>
            </w: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》等法律法规和文件规定</w:t>
            </w:r>
          </w:p>
        </w:tc>
        <w:tc>
          <w:tcPr>
            <w:tcW w:w="1201"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财政局和</w:t>
            </w:r>
          </w:p>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直各部门、各单位</w:t>
            </w:r>
          </w:p>
        </w:tc>
        <w:tc>
          <w:tcPr>
            <w:tcW w:w="1561" w:type="dxa"/>
            <w:vMerge w:val="restart"/>
            <w:tcBorders>
              <w:top w:val="single" w:color="auto" w:sz="4" w:space="0"/>
              <w:left w:val="single" w:color="auto" w:sz="4" w:space="0"/>
              <w:right w:val="single" w:color="auto" w:sz="4" w:space="0"/>
            </w:tcBorders>
            <w:vAlign w:val="center"/>
          </w:tcPr>
          <w:p>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3240" w:type="dxa"/>
            <w:tcBorders>
              <w:top w:val="single" w:color="auto" w:sz="4" w:space="0"/>
              <w:left w:val="single" w:color="auto" w:sz="4" w:space="0"/>
              <w:right w:val="single" w:color="auto" w:sz="4" w:space="0"/>
            </w:tcBorders>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p>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tc>
        <w:tc>
          <w:tcPr>
            <w:tcW w:w="120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156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670" w:type="dxa"/>
            <w:vMerge w:val="continue"/>
            <w:tcBorders>
              <w:top w:val="single" w:color="auto" w:sz="4" w:space="0"/>
              <w:left w:val="single" w:color="auto" w:sz="4" w:space="0"/>
              <w:right w:val="single" w:color="auto" w:sz="4" w:space="0"/>
            </w:tcBorders>
            <w:vAlign w:val="center"/>
          </w:tcPr>
          <w:p/>
        </w:tc>
        <w:tc>
          <w:tcPr>
            <w:tcW w:w="888" w:type="dxa"/>
            <w:vMerge w:val="continue"/>
            <w:tcBorders>
              <w:top w:val="single" w:color="auto" w:sz="4" w:space="0"/>
              <w:left w:val="single" w:color="auto" w:sz="4" w:space="0"/>
              <w:right w:val="single" w:color="auto" w:sz="4" w:space="0"/>
            </w:tcBorders>
            <w:vAlign w:val="center"/>
          </w:tcPr>
          <w:p/>
        </w:tc>
      </w:tr>
    </w:tbl>
    <w:p/>
    <w:p/>
    <w:p/>
    <w:p/>
    <w:p/>
    <w:p>
      <w:pPr>
        <w:pStyle w:val="2"/>
        <w:jc w:val="center"/>
        <w:rPr>
          <w:rFonts w:ascii="宋体" w:cs="宋体"/>
          <w:b w:val="0"/>
          <w:bCs w:val="0"/>
          <w:sz w:val="11"/>
          <w:szCs w:val="11"/>
        </w:rPr>
      </w:pPr>
    </w:p>
    <w:p>
      <w:pPr>
        <w:rPr>
          <w:rFonts w:ascii="宋体" w:cs="宋体"/>
          <w:sz w:val="11"/>
          <w:szCs w:val="11"/>
        </w:rPr>
      </w:pPr>
    </w:p>
    <w:p>
      <w:pPr>
        <w:rPr>
          <w:rFonts w:ascii="宋体" w:cs="宋体"/>
          <w:sz w:val="11"/>
          <w:szCs w:val="11"/>
        </w:rPr>
      </w:pPr>
    </w:p>
    <w:p>
      <w:pPr>
        <w:rPr>
          <w:rFonts w:ascii="宋体" w:cs="宋体"/>
          <w:sz w:val="11"/>
          <w:szCs w:val="11"/>
        </w:rPr>
      </w:pPr>
    </w:p>
    <w:p>
      <w:pPr>
        <w:pStyle w:val="2"/>
        <w:jc w:val="center"/>
        <w:rPr>
          <w:rFonts w:ascii="?????_GBK" w:hAnsi="?????_GBK"/>
          <w:b w:val="0"/>
          <w:bCs w:val="0"/>
          <w:sz w:val="30"/>
        </w:rPr>
      </w:pPr>
      <w:r>
        <w:rPr>
          <w:rFonts w:hint="eastAsia" w:ascii="宋体" w:hAnsi="宋体" w:cs="宋体"/>
          <w:b w:val="0"/>
          <w:bCs w:val="0"/>
          <w:sz w:val="30"/>
        </w:rPr>
        <w:t>（九）就业领域基层政务公开标准目录</w:t>
      </w:r>
    </w:p>
    <w:tbl>
      <w:tblPr>
        <w:tblStyle w:val="9"/>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60"/>
        <w:gridCol w:w="2932"/>
        <w:gridCol w:w="1208"/>
        <w:gridCol w:w="1649"/>
        <w:gridCol w:w="1245"/>
        <w:gridCol w:w="1606"/>
        <w:gridCol w:w="612"/>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932"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0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4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4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0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2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932" w:type="dxa"/>
            <w:vMerge w:val="continue"/>
            <w:tcBorders>
              <w:top w:val="single" w:color="auto" w:sz="4" w:space="0"/>
              <w:left w:val="single" w:color="auto" w:sz="4" w:space="0"/>
              <w:right w:val="single" w:color="auto" w:sz="4" w:space="0"/>
            </w:tcBorders>
            <w:vAlign w:val="center"/>
          </w:tcPr>
          <w:p/>
        </w:tc>
        <w:tc>
          <w:tcPr>
            <w:tcW w:w="1208" w:type="dxa"/>
            <w:vMerge w:val="continue"/>
            <w:tcBorders>
              <w:top w:val="single" w:color="auto" w:sz="4" w:space="0"/>
              <w:left w:val="single" w:color="auto" w:sz="4" w:space="0"/>
              <w:right w:val="single" w:color="auto" w:sz="4" w:space="0"/>
            </w:tcBorders>
            <w:vAlign w:val="center"/>
          </w:tcPr>
          <w:p/>
        </w:tc>
        <w:tc>
          <w:tcPr>
            <w:tcW w:w="1649" w:type="dxa"/>
            <w:vMerge w:val="continue"/>
            <w:tcBorders>
              <w:top w:val="single" w:color="auto" w:sz="4" w:space="0"/>
              <w:left w:val="single" w:color="auto" w:sz="4" w:space="0"/>
              <w:right w:val="single" w:color="auto" w:sz="4" w:space="0"/>
            </w:tcBorders>
            <w:vAlign w:val="center"/>
          </w:tcPr>
          <w:p/>
        </w:tc>
        <w:tc>
          <w:tcPr>
            <w:tcW w:w="1245" w:type="dxa"/>
            <w:vMerge w:val="continue"/>
            <w:tcBorders>
              <w:top w:val="single" w:color="auto" w:sz="4" w:space="0"/>
              <w:left w:val="single" w:color="auto" w:sz="4" w:space="0"/>
              <w:right w:val="single" w:color="auto" w:sz="4" w:space="0"/>
            </w:tcBorders>
            <w:vAlign w:val="center"/>
          </w:tcPr>
          <w:p/>
        </w:tc>
        <w:tc>
          <w:tcPr>
            <w:tcW w:w="1606" w:type="dxa"/>
            <w:vMerge w:val="continue"/>
            <w:tcBorders>
              <w:top w:val="single" w:color="auto" w:sz="4" w:space="0"/>
              <w:left w:val="single" w:color="auto" w:sz="4" w:space="0"/>
              <w:right w:val="single" w:color="auto" w:sz="4" w:space="0"/>
            </w:tcBorders>
            <w:vAlign w:val="center"/>
          </w:tcPr>
          <w:p/>
        </w:tc>
        <w:tc>
          <w:tcPr>
            <w:tcW w:w="612"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就业信息服务</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就业政策法规咨询</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就业创业政策项目、对象范围、政策申请条件、政策申请材料、办理流程、办理地点（方式）、咨询电话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岗位信息发布</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招聘单位、岗位要求、福利待遇、招聘流程、应聘方式、咨询电话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continue"/>
            <w:tcBorders>
              <w:top w:val="single" w:color="auto" w:sz="4" w:space="0"/>
              <w:left w:val="single" w:color="auto" w:sz="4" w:space="0"/>
              <w:right w:val="single" w:color="auto" w:sz="4" w:space="0"/>
            </w:tcBorders>
            <w:vAlign w:val="center"/>
          </w:tcP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求职信息登记</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服务对象、提交材料、办理流程、服务时间、服务地点（方式）、咨询电话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continue"/>
            <w:tcBorders>
              <w:top w:val="single" w:color="auto" w:sz="4" w:space="0"/>
              <w:left w:val="single" w:color="auto" w:sz="4" w:space="0"/>
              <w:right w:val="single" w:color="auto" w:sz="4" w:space="0"/>
            </w:tcBorders>
            <w:vAlign w:val="center"/>
          </w:tcP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就业信息服务</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市场工资指导价位信息发布</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市场工资指导价位、相关说明材料、咨询电话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职业培训信息发布</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培训项目、对象范围、培训内容、培训课时、授课地点、补贴标准、报名材料、报名地点（方式）、咨询电话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vMerge w:val="continue"/>
            <w:tcBorders>
              <w:top w:val="single" w:color="auto" w:sz="4" w:space="0"/>
              <w:left w:val="single" w:color="auto" w:sz="4" w:space="0"/>
              <w:right w:val="single" w:color="auto" w:sz="4" w:space="0"/>
            </w:tcBorders>
            <w:vAlign w:val="center"/>
          </w:tcPr>
          <w:p/>
        </w:tc>
        <w:tc>
          <w:tcPr>
            <w:tcW w:w="1245" w:type="dxa"/>
            <w:vMerge w:val="continue"/>
            <w:tcBorders>
              <w:top w:val="single" w:color="auto" w:sz="4" w:space="0"/>
              <w:left w:val="single" w:color="auto" w:sz="4" w:space="0"/>
              <w:right w:val="single" w:color="auto" w:sz="4" w:space="0"/>
            </w:tcBorders>
            <w:vAlign w:val="center"/>
          </w:tcPr>
          <w:p/>
        </w:tc>
        <w:tc>
          <w:tcPr>
            <w:tcW w:w="1606" w:type="dxa"/>
            <w:vMerge w:val="continue"/>
            <w:tcBorders>
              <w:top w:val="single" w:color="auto" w:sz="4" w:space="0"/>
              <w:left w:val="single" w:color="auto" w:sz="4" w:space="0"/>
              <w:right w:val="single" w:color="auto" w:sz="4" w:space="0"/>
            </w:tcBorders>
            <w:vAlign w:val="center"/>
          </w:tcP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职业介绍、职业指导和创业开业指导</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职业介绍</w:t>
            </w:r>
          </w:p>
        </w:tc>
        <w:tc>
          <w:tcPr>
            <w:tcW w:w="29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服务内容、服务对象、提交材料、服务时间、服务地点（方式）、咨询电话</w:t>
            </w:r>
          </w:p>
          <w:p>
            <w:pPr>
              <w:rPr>
                <w:rFonts w:ascii="仿宋_GB2312" w:hAnsi="宋体" w:eastAsia="仿宋_GB2312"/>
                <w:color w:val="000000"/>
                <w:sz w:val="18"/>
                <w:szCs w:val="18"/>
              </w:rPr>
            </w:pPr>
            <w:r>
              <w:rPr>
                <w:rFonts w:hint="eastAsia" w:ascii="仿宋_GB2312" w:hAnsi="宋体" w:eastAsia="仿宋_GB2312"/>
                <w:color w:val="000000"/>
                <w:sz w:val="18"/>
                <w:szCs w:val="18"/>
              </w:rPr>
              <w:t>服务内容</w:t>
            </w:r>
            <w:r>
              <w:rPr>
                <w:rFonts w:ascii="仿宋_GB2312" w:hAnsi="宋体" w:eastAsia="仿宋_GB2312"/>
                <w:color w:val="000000"/>
                <w:sz w:val="18"/>
                <w:szCs w:val="18"/>
              </w:rPr>
              <w:br w:type="textWrapping"/>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职业指导</w:t>
            </w:r>
          </w:p>
        </w:tc>
        <w:tc>
          <w:tcPr>
            <w:tcW w:w="2932" w:type="dxa"/>
            <w:vMerge w:val="continue"/>
            <w:tcBorders>
              <w:top w:val="single" w:color="auto" w:sz="4" w:space="0"/>
              <w:left w:val="single" w:color="auto" w:sz="4" w:space="0"/>
              <w:right w:val="single" w:color="auto" w:sz="4" w:space="0"/>
            </w:tcBorders>
            <w:vAlign w:val="center"/>
          </w:tcPr>
          <w:p/>
        </w:tc>
        <w:tc>
          <w:tcPr>
            <w:tcW w:w="1208" w:type="dxa"/>
            <w:vMerge w:val="continue"/>
            <w:tcBorders>
              <w:top w:val="single" w:color="auto" w:sz="4" w:space="0"/>
              <w:left w:val="single" w:color="auto" w:sz="4" w:space="0"/>
              <w:right w:val="single" w:color="auto" w:sz="4" w:space="0"/>
            </w:tcBorders>
            <w:vAlign w:val="center"/>
          </w:tcPr>
          <w:p/>
        </w:tc>
        <w:tc>
          <w:tcPr>
            <w:tcW w:w="1649" w:type="dxa"/>
            <w:vMerge w:val="continue"/>
            <w:tcBorders>
              <w:top w:val="single" w:color="auto" w:sz="4" w:space="0"/>
              <w:left w:val="single" w:color="auto" w:sz="4" w:space="0"/>
              <w:right w:val="single" w:color="auto" w:sz="4" w:space="0"/>
            </w:tcBorders>
            <w:vAlign w:val="center"/>
          </w:tcP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continue"/>
            <w:tcBorders>
              <w:top w:val="single" w:color="auto" w:sz="4" w:space="0"/>
              <w:left w:val="single" w:color="auto" w:sz="4" w:space="0"/>
              <w:right w:val="single" w:color="auto" w:sz="4" w:space="0"/>
            </w:tcBorders>
            <w:vAlign w:val="center"/>
          </w:tcP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职业介绍、职业指导和创业开业指导</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创业开业指导</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服务内容、服务对象、提交材料、服务时间、服务地点（方式）、咨询电话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公共就业服务专项活动</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公共就业服务专项活动</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活动通知、活动时间、参与方式、相关材料、活动地址、咨询电话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就业失业登记</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失业登记</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就业登记</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vMerge w:val="continue"/>
            <w:tcBorders>
              <w:top w:val="single" w:color="auto" w:sz="4" w:space="0"/>
              <w:left w:val="single" w:color="auto" w:sz="4" w:space="0"/>
              <w:right w:val="single" w:color="auto" w:sz="4" w:space="0"/>
            </w:tcBorders>
            <w:vAlign w:val="center"/>
          </w:tcP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就业失业登记</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《就业创业证》申领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创业服务</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创业补贴申领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创业担保贷款申请</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对就业困难人员（含建档立卡贫困劳动力）实施就业援助</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就业困难人员认定</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就业困难人员社会保险补贴申领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公益性岗位补贴申领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对就业困难人员（含建档立卡贫困劳动力）实施就业援助</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求职创业补贴申领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吸纳贫困劳动力就业奖补申领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高校毕业生就业服务</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高等学校等毕业生接收手续办理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高校毕业生就业服务</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就业见习补贴申领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求职创业补贴申领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高校毕业生社保补贴申领</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基本公共就业创业政府购买服务</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政府向社会购买基本公共就业创业服务成果</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文件依据、购买项目、购买内容及评价标准、购买主体、承接主体条件、购买方式、提交材料、购买流程、受理地点（方式）、受理结果告知方式、咨询电话</w:t>
            </w:r>
          </w:p>
        </w:tc>
        <w:tc>
          <w:tcPr>
            <w:tcW w:w="1208"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国（境）外人员入境就业</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国（境）外人员入境就业</w:t>
            </w:r>
          </w:p>
        </w:tc>
        <w:tc>
          <w:tcPr>
            <w:tcW w:w="29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文件依据、对象范围、申请条件、申请材料、办理流程、办理时限、办理地点（方式）、办理结果告知方式、咨询电话</w:t>
            </w:r>
          </w:p>
        </w:tc>
        <w:tc>
          <w:tcPr>
            <w:tcW w:w="1208"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《中华人民共和国出境入境管理法》</w:t>
            </w:r>
            <w:r>
              <w:rPr>
                <w:rFonts w:hint="eastAsia" w:ascii="仿宋_GB2312" w:hAnsi="宋体" w:eastAsia="仿宋_GB2312"/>
                <w:color w:val="000000"/>
                <w:sz w:val="18"/>
                <w:szCs w:val="18"/>
              </w:rPr>
              <w:t>、《国务院对确需保留的行政审批项目设定行政许可的决定》</w:t>
            </w:r>
          </w:p>
        </w:tc>
        <w:tc>
          <w:tcPr>
            <w:tcW w:w="164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rPr>
          <w:rFonts w:ascii="Times New Roman" w:hAnsi="Times New Roman"/>
          <w:sz w:val="28"/>
          <w:szCs w:val="28"/>
        </w:rPr>
      </w:pPr>
    </w:p>
    <w:p>
      <w:pPr>
        <w:pStyle w:val="2"/>
        <w:jc w:val="center"/>
        <w:rPr>
          <w:rFonts w:ascii="?????_GBK" w:hAnsi="?????_GBK" w:eastAsia="Times New Roman"/>
          <w:b w:val="0"/>
          <w:sz w:val="30"/>
          <w:szCs w:val="30"/>
        </w:rPr>
      </w:pPr>
      <w:r>
        <w:br w:type="page"/>
      </w:r>
      <w:r>
        <w:rPr>
          <w:rFonts w:ascii="?????_GBK" w:hAnsi="?????_GBK" w:eastAsia="Times New Roman"/>
          <w:b w:val="0"/>
          <w:sz w:val="30"/>
          <w:szCs w:val="30"/>
        </w:rPr>
        <w:t>（十）社会保险领域基层政务公开标准目录</w:t>
      </w:r>
    </w:p>
    <w:tbl>
      <w:tblPr>
        <w:tblStyle w:val="9"/>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3060"/>
        <w:gridCol w:w="2036"/>
        <w:gridCol w:w="1465"/>
        <w:gridCol w:w="1179"/>
        <w:gridCol w:w="1496"/>
        <w:gridCol w:w="72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80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03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6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7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社会保险登记</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机关事业单位社会保险登记</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、《国务院关于机关事业单位工作人员养老保险制度改革的决定》</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工程建设项目办理工伤保险参保登记</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社会保险登记</w:t>
            </w:r>
          </w:p>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参保单位注销</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p>
            <w:pPr>
              <w:rPr>
                <w:rFonts w:ascii="仿宋_GB2312" w:hAnsi="宋体" w:eastAsia="仿宋_GB2312"/>
                <w:color w:val="000000"/>
                <w:sz w:val="18"/>
                <w:szCs w:val="18"/>
              </w:rPr>
            </w:pP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职工参保登记</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城乡居民养老保险参保登记</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社会保险参保信息维护</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单位（项目）基本信息变更</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个人基本信息变更</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社会保险参保信息维护</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养老保险待遇发放账户维护申请</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hAnsi="宋体"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工伤保险待遇发放账户维护申请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失业保险待遇发放账户维护申请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缴费人员增减申报</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社会保险缴费申报与变更</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社会保险费延缴申请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49"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社会保险费欠费补缴申报</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社会保险参保缴费记录查询</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单位参保证明查询打印</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个人权益记录查询打印</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职工正常退休</w:t>
            </w:r>
            <w:r>
              <w:rPr>
                <w:rFonts w:ascii="仿宋_GB2312" w:hAnsi="宋体" w:eastAsia="仿宋_GB2312"/>
                <w:color w:val="000000"/>
                <w:sz w:val="18"/>
                <w:szCs w:val="18"/>
              </w:rPr>
              <w:t>(</w:t>
            </w:r>
            <w:r>
              <w:rPr>
                <w:rFonts w:hint="eastAsia" w:ascii="仿宋_GB2312" w:hAnsi="宋体" w:eastAsia="仿宋_GB2312"/>
                <w:color w:val="000000"/>
                <w:sz w:val="18"/>
                <w:szCs w:val="18"/>
              </w:rPr>
              <w:t>职</w:t>
            </w:r>
            <w:r>
              <w:rPr>
                <w:rFonts w:ascii="仿宋_GB2312" w:hAnsi="宋体" w:eastAsia="仿宋_GB2312"/>
                <w:color w:val="000000"/>
                <w:sz w:val="18"/>
                <w:szCs w:val="18"/>
              </w:rPr>
              <w:t>)</w:t>
            </w:r>
            <w:r>
              <w:rPr>
                <w:rFonts w:hint="eastAsia" w:ascii="仿宋_GB2312" w:hAnsi="宋体" w:eastAsia="仿宋_GB2312"/>
                <w:color w:val="000000"/>
                <w:sz w:val="18"/>
                <w:szCs w:val="18"/>
              </w:rPr>
              <w:t>申请</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p>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城乡居民养老保险待遇申领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暂停养老保险待遇申请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恢复养老保险待遇申请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个人账户一次性待遇申领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丧葬补助金、抚恤金申领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居民养老保险注销登记</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遗属待遇申领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病残津贴申领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城镇职工基本养老保险关系转移接续申请</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、《国务院办公厅关于转发人力资源社会保障部财政部城镇企业职工基本养老保险关系转移接续暂行办法的通知》</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27</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机关事业单位养老保险关系转移接续申请</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、《人力资源社会保障部财政部关于机关事业单位基本养老保险关系和职业年金转移接续有关问题的通知》</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28</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城乡居民基本养老保险关系转移接续申请</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机关事业单位基本养老保险与城镇企业职工基本养老保险互转申请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、《人力资源社会保障部财政部关于机关事业单位基本养老保险关系和职业年金转移接续有关问题的通知》</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30</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城镇职工基本养老保险与城乡居民基本养老保险制度衔接申请</w:t>
            </w:r>
            <w:r>
              <w:rPr>
                <w:rFonts w:ascii="仿宋_GB2312" w:hAnsi="宋体" w:eastAsia="仿宋_GB2312"/>
                <w:color w:val="000000"/>
                <w:sz w:val="18"/>
                <w:szCs w:val="18"/>
              </w:rPr>
              <w:t xml:space="preserve">  </w:t>
            </w:r>
          </w:p>
        </w:tc>
        <w:tc>
          <w:tcPr>
            <w:tcW w:w="3060" w:type="dxa"/>
            <w:vMerge w:val="continue"/>
            <w:tcBorders>
              <w:top w:val="single" w:color="auto" w:sz="4" w:space="0"/>
              <w:left w:val="single" w:color="auto" w:sz="4" w:space="0"/>
              <w:right w:val="single" w:color="auto" w:sz="4" w:space="0"/>
            </w:tcBorders>
            <w:vAlign w:val="center"/>
          </w:tcP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《人力资源社会保障部财政部关于印发＜城乡养老保险制度衔接暂行办法＞的通知》</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军地养老保险关系转移接续申请</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、《人力资源社会保障部财政部总参谋部总政治部总后勤部关于军人退役基本养老保险关系转移接续有关问题的通知》</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多重养老保险关系个人账户退费</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、《人力资源和社会保障部＜关于贯彻落实国务院办公厅转发城镇企业职工基本养老保险关系转移接续暂行办法的通知》</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33</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工伤事故备案</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34</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用人单位办理工伤登记</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变更工伤登记</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协议医疗机构的确认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37</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协议康复机构的确认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38</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辅助器具配置协议机构的确认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异地居住就医申请确认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40</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异地工伤就医报告</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旧伤复发申请确认</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转诊转院申请确认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43</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工伤康复申请确认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工伤康复治疗期延长申请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辅助器具配置或更换申请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辅助器具异地配置申请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47</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停工留薪期确认和延长确认</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48</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p>
            <w:pPr>
              <w:rPr>
                <w:rFonts w:ascii="仿宋_GB2312" w:hAnsi="宋体" w:eastAsia="仿宋_GB2312"/>
                <w:color w:val="000000"/>
                <w:sz w:val="18"/>
                <w:szCs w:val="18"/>
              </w:rPr>
            </w:p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工伤医疗（康复）费用申报</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住院伙食补助费申领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50</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统筹地区以外交通、食宿费申领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51</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一次性工伤医疗补助金申请</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辅助器具配置（更换）费用申报</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伤残待遇申领（一次性伤残补助金、伤残津贴和生活护理费）</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一次性工亡补助金（含生活困难，预支</w:t>
            </w:r>
            <w:r>
              <w:rPr>
                <w:rFonts w:ascii="仿宋_GB2312" w:hAnsi="宋体" w:eastAsia="仿宋_GB2312"/>
                <w:color w:val="000000"/>
                <w:sz w:val="18"/>
                <w:szCs w:val="18"/>
              </w:rPr>
              <w:t>50%</w:t>
            </w:r>
            <w:r>
              <w:rPr>
                <w:rFonts w:hint="eastAsia" w:ascii="仿宋_GB2312" w:hAnsi="宋体" w:eastAsia="仿宋_GB2312"/>
                <w:color w:val="000000"/>
                <w:sz w:val="18"/>
                <w:szCs w:val="18"/>
              </w:rPr>
              <w:t>确认）、丧葬补助金申领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供养亲属抚恤金申领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工伤保险待遇变更</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57</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失业保险服务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失业保险金申领</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、《失业保险条例》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58</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丧葬补助金和抚恤金申领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职业培训补贴申领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60</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职业介绍补贴申领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61</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农民合同制工人一次性生活补助申领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9"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代缴基本医疗保险费</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失业保险服务</w:t>
            </w:r>
          </w:p>
          <w:p>
            <w:pPr>
              <w:rPr>
                <w:rFonts w:ascii="仿宋_GB2312" w:hAnsi="宋体" w:eastAsia="仿宋_GB2312"/>
                <w:color w:val="000000"/>
                <w:sz w:val="18"/>
                <w:szCs w:val="18"/>
              </w:rPr>
            </w:p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价格临时补贴申领</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、《失业保险条例》</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失业保险关系转移接续</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稳岗补贴申领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技能提升补贴申领</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67</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3060" w:type="dxa"/>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、《企业年金办法》</w:t>
            </w:r>
          </w:p>
        </w:tc>
        <w:tc>
          <w:tcPr>
            <w:tcW w:w="146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68</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企业年金方案重要条款变更备案</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、《企业年金办法》</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69</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企业年金方案终止备案</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70</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社会保障卡服务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社会保障卡申领</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、《人力资源和社会保障部关于印发“中华人民共和国社会保障卡”管理办法的通知》</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71</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社会保障卡启用（含社会保障卡银行账户激活）</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社会保障卡应用状态查询</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社会保障卡服务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社会保障卡信息变更（非关键信息）</w:t>
            </w:r>
          </w:p>
        </w:tc>
        <w:tc>
          <w:tcPr>
            <w:tcW w:w="3060"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、《人力资源和社会保障部关于印发“中华人民共和国社会保障卡”管理办法的通知》</w:t>
            </w:r>
          </w:p>
        </w:tc>
        <w:tc>
          <w:tcPr>
            <w:tcW w:w="146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社会保障卡密码修改与重置</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75</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社会保障卡挂失与解挂</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社会保障卡补换、换领、换发</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77</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社会保障卡注销</w:t>
            </w:r>
          </w:p>
        </w:tc>
        <w:tc>
          <w:tcPr>
            <w:tcW w:w="3060" w:type="dxa"/>
            <w:vMerge w:val="continue"/>
            <w:tcBorders>
              <w:top w:val="single" w:color="auto" w:sz="4" w:space="0"/>
              <w:left w:val="single" w:color="auto" w:sz="4" w:space="0"/>
              <w:right w:val="single" w:color="auto" w:sz="4" w:space="0"/>
            </w:tcBorders>
            <w:vAlign w:val="center"/>
          </w:tcPr>
          <w:p/>
        </w:tc>
        <w:tc>
          <w:tcPr>
            <w:tcW w:w="2036" w:type="dxa"/>
            <w:vMerge w:val="continue"/>
            <w:tcBorders>
              <w:top w:val="single" w:color="auto" w:sz="4" w:space="0"/>
              <w:left w:val="single" w:color="auto" w:sz="4" w:space="0"/>
              <w:right w:val="single" w:color="auto" w:sz="4" w:space="0"/>
            </w:tcBorders>
            <w:vAlign w:val="center"/>
          </w:tcPr>
          <w:p/>
        </w:tc>
        <w:tc>
          <w:tcPr>
            <w:tcW w:w="1465" w:type="dxa"/>
            <w:vMerge w:val="continue"/>
            <w:tcBorders>
              <w:top w:val="single" w:color="auto" w:sz="4" w:space="0"/>
              <w:left w:val="single" w:color="auto" w:sz="4" w:space="0"/>
              <w:right w:val="single" w:color="auto" w:sz="4" w:space="0"/>
            </w:tcBorders>
            <w:vAlign w:val="center"/>
          </w:tcPr>
          <w:p/>
        </w:tc>
        <w:tc>
          <w:tcPr>
            <w:tcW w:w="1179" w:type="dxa"/>
            <w:vMerge w:val="continue"/>
            <w:tcBorders>
              <w:top w:val="single" w:color="auto" w:sz="4" w:space="0"/>
              <w:left w:val="single" w:color="auto" w:sz="4" w:space="0"/>
              <w:right w:val="single" w:color="auto" w:sz="4" w:space="0"/>
            </w:tcBorders>
            <w:vAlign w:val="center"/>
          </w:tcPr>
          <w:p/>
        </w:tc>
        <w:tc>
          <w:tcPr>
            <w:tcW w:w="149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Pr>
        <w:jc w:val="center"/>
      </w:pPr>
    </w:p>
    <w:p/>
    <w:p/>
    <w:p/>
    <w:p/>
    <w:p/>
    <w:p/>
    <w:p/>
    <w:p/>
    <w:p/>
    <w:p>
      <w:pPr>
        <w:jc w:val="center"/>
        <w:rPr>
          <w:sz w:val="32"/>
          <w:szCs w:val="32"/>
        </w:rPr>
      </w:pPr>
      <w:r>
        <w:rPr>
          <w:rFonts w:hint="eastAsia"/>
          <w:sz w:val="32"/>
          <w:szCs w:val="32"/>
        </w:rPr>
        <w:t>（十一）城乡规划领域基层政务公开标准目录</w:t>
      </w:r>
    </w:p>
    <w:tbl>
      <w:tblPr>
        <w:tblStyle w:val="9"/>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2594"/>
        <w:gridCol w:w="2070"/>
        <w:gridCol w:w="1695"/>
        <w:gridCol w:w="1380"/>
        <w:gridCol w:w="1497"/>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80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9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07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9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7"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94" w:type="dxa"/>
            <w:vMerge w:val="continue"/>
            <w:tcBorders>
              <w:top w:val="single" w:color="auto" w:sz="4" w:space="0"/>
              <w:left w:val="single" w:color="auto" w:sz="4" w:space="0"/>
              <w:right w:val="single" w:color="auto" w:sz="4" w:space="0"/>
            </w:tcBorders>
            <w:vAlign w:val="center"/>
          </w:tcPr>
          <w:p/>
        </w:tc>
        <w:tc>
          <w:tcPr>
            <w:tcW w:w="2070" w:type="dxa"/>
            <w:vMerge w:val="continue"/>
            <w:tcBorders>
              <w:top w:val="single" w:color="auto" w:sz="4" w:space="0"/>
              <w:left w:val="single" w:color="auto" w:sz="4" w:space="0"/>
              <w:right w:val="single" w:color="auto" w:sz="4" w:space="0"/>
            </w:tcBorders>
            <w:vAlign w:val="center"/>
          </w:tcPr>
          <w:p/>
        </w:tc>
        <w:tc>
          <w:tcPr>
            <w:tcW w:w="1695" w:type="dxa"/>
            <w:vMerge w:val="continue"/>
            <w:tcBorders>
              <w:top w:val="single" w:color="auto" w:sz="4" w:space="0"/>
              <w:left w:val="single" w:color="auto" w:sz="4" w:space="0"/>
              <w:right w:val="single" w:color="auto" w:sz="4" w:space="0"/>
            </w:tcBorders>
            <w:vAlign w:val="center"/>
          </w:tcPr>
          <w:p/>
        </w:tc>
        <w:tc>
          <w:tcPr>
            <w:tcW w:w="1380" w:type="dxa"/>
            <w:vMerge w:val="continue"/>
            <w:tcBorders>
              <w:top w:val="single" w:color="auto" w:sz="4" w:space="0"/>
              <w:left w:val="single" w:color="auto" w:sz="4" w:space="0"/>
              <w:right w:val="single" w:color="auto" w:sz="4" w:space="0"/>
            </w:tcBorders>
            <w:vAlign w:val="center"/>
          </w:tcPr>
          <w:p/>
        </w:tc>
        <w:tc>
          <w:tcPr>
            <w:tcW w:w="1497"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公共</w:t>
            </w:r>
          </w:p>
          <w:p>
            <w:pPr>
              <w:keepNext w:val="0"/>
              <w:keepLines w:val="0"/>
              <w:pageBreakBefore w:val="0"/>
              <w:widowControl w:val="0"/>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服务</w:t>
            </w: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政民互动</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城乡规划事项的意见征集</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实时公开</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办事服务</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行政许可的事项、依据、条件、数量、程序、期限以及申请行政许可需要提交的全部材料目录</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实时公开</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规划编制</w:t>
            </w: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城市、镇总体规划</w:t>
            </w:r>
            <w:r>
              <w:rPr>
                <w:rFonts w:hint="eastAsia" w:ascii="仿宋_GB2312" w:hAnsi="仿宋_GB2312" w:eastAsia="仿宋_GB2312" w:cs="仿宋_GB2312"/>
                <w:color w:val="000000"/>
                <w:sz w:val="18"/>
                <w:szCs w:val="18"/>
                <w:lang w:eastAsia="zh-CN"/>
              </w:rPr>
              <w:t>、详细规划</w:t>
            </w:r>
            <w:r>
              <w:rPr>
                <w:rFonts w:hint="eastAsia" w:ascii="仿宋_GB2312" w:hAnsi="仿宋_GB2312" w:eastAsia="仿宋_GB2312" w:cs="仿宋_GB2312"/>
                <w:color w:val="000000"/>
                <w:sz w:val="18"/>
                <w:szCs w:val="18"/>
              </w:rPr>
              <w:t>及同级的土地利用规划</w:t>
            </w:r>
            <w:r>
              <w:rPr>
                <w:rFonts w:hint="eastAsia" w:ascii="仿宋_GB2312" w:hAnsi="仿宋_GB2312" w:eastAsia="仿宋_GB2312" w:cs="仿宋_GB2312"/>
                <w:color w:val="000000"/>
                <w:sz w:val="18"/>
                <w:szCs w:val="18"/>
                <w:lang w:eastAsia="zh-CN"/>
              </w:rPr>
              <w:t>、</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规划批准文件、脱密后的文本及图纸等</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《中华人民共和国土地管理法》</w:t>
            </w:r>
            <w:r>
              <w:rPr>
                <w:rFonts w:hint="eastAsia" w:ascii="仿宋_GB2312" w:hAnsi="仿宋_GB2312" w:eastAsia="仿宋_GB2312" w:cs="仿宋_GB2312"/>
                <w:color w:val="000000"/>
                <w:sz w:val="18"/>
                <w:szCs w:val="18"/>
              </w:rPr>
              <w:t>、</w:t>
            </w: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r>
              <w:rPr>
                <w:rFonts w:hint="eastAsia" w:ascii="仿宋_GB2312" w:hAnsi="仿宋_GB2312" w:eastAsia="仿宋_GB2312" w:cs="仿宋_GB2312"/>
                <w:color w:val="000000"/>
                <w:sz w:val="18"/>
                <w:szCs w:val="18"/>
              </w:rPr>
              <w:t xml:space="preserve">  </w:t>
            </w:r>
          </w:p>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乡规划及同级的土地利用规划</w:t>
            </w: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部分村庄编制完成的村庄规划、村土地利用规划</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脱密后的文本及图纸等</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《中华人民共和国土地管理法》</w:t>
            </w:r>
            <w:r>
              <w:rPr>
                <w:rFonts w:hint="eastAsia" w:ascii="仿宋_GB2312" w:hAnsi="仿宋_GB2312" w:eastAsia="仿宋_GB2312" w:cs="仿宋_GB2312"/>
                <w:color w:val="000000"/>
                <w:sz w:val="18"/>
                <w:szCs w:val="18"/>
              </w:rPr>
              <w:t>、</w:t>
            </w: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r>
              <w:rPr>
                <w:rFonts w:hint="eastAsia" w:ascii="仿宋_GB2312" w:hAnsi="仿宋_GB2312" w:eastAsia="仿宋_GB2312" w:cs="仿宋_GB2312"/>
                <w:color w:val="000000"/>
                <w:sz w:val="18"/>
                <w:szCs w:val="18"/>
              </w:rPr>
              <w:t xml:space="preserve">  </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w:t>
            </w:r>
          </w:p>
        </w:tc>
        <w:tc>
          <w:tcPr>
            <w:tcW w:w="720" w:type="dxa"/>
            <w:vMerge w:val="restart"/>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规划许可</w:t>
            </w: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建设项目选址意见书</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建设用地规划许可证</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建设工程规划许可证</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8</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w:t>
            </w: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行政处罚基本信息</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执法主体、执法人员姓名及证件编号、职责、权限、查处依据、工作程序、救济渠道和随机抽查事项清单等信息</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、《政府信息公开条例》、《关于全面推行行政执法公示制度执法全过程记录制度重大执法决定法制审核制度的指导意见》</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■政府网站</w:t>
            </w: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w:t>
            </w:r>
          </w:p>
        </w:tc>
        <w:tc>
          <w:tcPr>
            <w:tcW w:w="10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事后公开</w:t>
            </w:r>
          </w:p>
        </w:tc>
        <w:tc>
          <w:tcPr>
            <w:tcW w:w="2594"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作出的行政处罚决定信息（法律、行政法规另有规定的除外）</w:t>
            </w:r>
          </w:p>
        </w:tc>
        <w:tc>
          <w:tcPr>
            <w:tcW w:w="207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、《政府信息公开条例》、《关于全面推行行政执法公示制度执法全过程记录制度重大执法决定法制审核制度的指导意见》</w:t>
            </w:r>
          </w:p>
        </w:tc>
        <w:tc>
          <w:tcPr>
            <w:tcW w:w="1695"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7个工作日</w:t>
            </w:r>
          </w:p>
        </w:tc>
        <w:tc>
          <w:tcPr>
            <w:tcW w:w="138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区</w:t>
            </w:r>
            <w:r>
              <w:rPr>
                <w:rFonts w:hint="eastAsia" w:ascii="仿宋_GB2312" w:hAnsi="仿宋_GB2312" w:eastAsia="仿宋_GB2312" w:cs="仿宋_GB2312"/>
                <w:color w:val="000000"/>
                <w:sz w:val="18"/>
                <w:szCs w:val="18"/>
              </w:rPr>
              <w:t>城市管理综合行政执法局</w:t>
            </w:r>
          </w:p>
        </w:tc>
        <w:tc>
          <w:tcPr>
            <w:tcW w:w="1497"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■政府网站</w:t>
            </w: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bl>
    <w:p>
      <w:pPr>
        <w:keepNext w:val="0"/>
        <w:keepLines w:val="0"/>
        <w:pageBreakBefore w:val="0"/>
        <w:widowControl w:val="0"/>
        <w:kinsoku/>
        <w:wordWrap/>
        <w:overflowPunct/>
        <w:topLinePunct w:val="0"/>
        <w:autoSpaceDE/>
        <w:autoSpaceDN/>
        <w:bidi w:val="0"/>
        <w:adjustRightInd/>
        <w:snapToGrid/>
        <w:spacing w:line="260" w:lineRule="exact"/>
        <w:textAlignment w:val="auto"/>
        <w:outlineLvl w:val="9"/>
      </w:pPr>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r>
        <w:rPr>
          <w:rFonts w:hint="eastAsia"/>
          <w:sz w:val="32"/>
          <w:szCs w:val="32"/>
        </w:rPr>
        <w:t>（十二）农村集体土地征收基层政务公开标准目录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黑体" w:hAnsi="宋体" w:eastAsia="黑体" w:cs="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1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78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14" w:type="dxa"/>
            <w:vMerge w:val="continue"/>
            <w:tcBorders>
              <w:top w:val="single" w:color="auto" w:sz="4" w:space="0"/>
              <w:left w:val="single" w:color="auto" w:sz="4" w:space="0"/>
              <w:right w:val="single" w:color="auto" w:sz="4" w:space="0"/>
            </w:tcBorders>
            <w:vAlign w:val="center"/>
          </w:tcPr>
          <w:p/>
        </w:tc>
        <w:tc>
          <w:tcPr>
            <w:tcW w:w="1260" w:type="dxa"/>
            <w:vMerge w:val="continue"/>
            <w:tcBorders>
              <w:top w:val="single" w:color="auto" w:sz="4" w:space="0"/>
              <w:left w:val="single" w:color="auto" w:sz="4" w:space="0"/>
              <w:right w:val="single" w:color="auto" w:sz="4" w:space="0"/>
            </w:tcBorders>
            <w:vAlign w:val="center"/>
          </w:tcPr>
          <w:p/>
        </w:tc>
        <w:tc>
          <w:tcPr>
            <w:tcW w:w="198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786" w:type="dxa"/>
            <w:vMerge w:val="continue"/>
            <w:tcBorders>
              <w:top w:val="single" w:color="auto" w:sz="4" w:space="0"/>
              <w:left w:val="single" w:color="auto" w:sz="4" w:space="0"/>
              <w:right w:val="single" w:color="auto" w:sz="4" w:space="0"/>
            </w:tcBorders>
            <w:vAlign w:val="center"/>
          </w:tcPr>
          <w:p/>
        </w:tc>
        <w:tc>
          <w:tcPr>
            <w:tcW w:w="554"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875"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spacing w:line="320" w:lineRule="exact"/>
              <w:jc w:val="center"/>
              <w:rPr>
                <w:rFonts w:ascii="仿宋_GB2312" w:eastAsia="仿宋_GB2312"/>
                <w:color w:val="000000"/>
                <w:sz w:val="18"/>
                <w:szCs w:val="18"/>
              </w:rPr>
            </w:pPr>
            <w:r>
              <w:rPr>
                <w:rFonts w:ascii="仿宋_GB2312" w:eastAsia="仿宋_GB2312"/>
                <w:color w:val="000000"/>
                <w:sz w:val="18"/>
                <w:szCs w:val="18"/>
              </w:rPr>
              <w:t>1</w:t>
            </w:r>
          </w:p>
        </w:tc>
        <w:tc>
          <w:tcPr>
            <w:tcW w:w="720"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征地管理政策</w:t>
            </w:r>
          </w:p>
        </w:tc>
        <w:tc>
          <w:tcPr>
            <w:tcW w:w="720"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2714" w:type="dxa"/>
            <w:tcBorders>
              <w:top w:val="single" w:color="auto" w:sz="4" w:space="0"/>
              <w:left w:val="single" w:color="auto" w:sz="4" w:space="0"/>
              <w:right w:val="single" w:color="auto" w:sz="4" w:space="0"/>
            </w:tcBorders>
            <w:vAlign w:val="center"/>
          </w:tcPr>
          <w:p>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征地补偿安置法律以及适用于本地区的政策、技术标准等规定要求。</w:t>
            </w:r>
            <w:r>
              <w:rPr>
                <w:rFonts w:ascii="仿宋_GB2312" w:eastAsia="仿宋_GB2312"/>
                <w:color w:val="000000"/>
                <w:sz w:val="18"/>
                <w:szCs w:val="18"/>
              </w:rPr>
              <w:t>1.</w:t>
            </w:r>
            <w:r>
              <w:rPr>
                <w:rFonts w:hint="eastAsia" w:ascii="仿宋_GB2312" w:eastAsia="仿宋_GB2312"/>
                <w:color w:val="000000"/>
                <w:sz w:val="18"/>
                <w:szCs w:val="18"/>
              </w:rPr>
              <w:t>法律法规和规章；</w:t>
            </w:r>
            <w:r>
              <w:rPr>
                <w:rFonts w:ascii="仿宋_GB2312" w:eastAsia="仿宋_GB2312"/>
                <w:color w:val="000000"/>
                <w:sz w:val="18"/>
                <w:szCs w:val="18"/>
              </w:rPr>
              <w:t>2.</w:t>
            </w:r>
            <w:r>
              <w:rPr>
                <w:rFonts w:hint="eastAsia" w:ascii="仿宋_GB2312" w:eastAsia="仿宋_GB2312"/>
                <w:color w:val="000000"/>
                <w:sz w:val="18"/>
                <w:szCs w:val="18"/>
              </w:rPr>
              <w:t>征地前期准备、征地审查报批、征地组织实施规范性文件；</w:t>
            </w:r>
            <w:r>
              <w:rPr>
                <w:rFonts w:ascii="仿宋_GB2312" w:eastAsia="仿宋_GB2312"/>
                <w:color w:val="000000"/>
                <w:sz w:val="18"/>
                <w:szCs w:val="18"/>
              </w:rPr>
              <w:t>3.</w:t>
            </w:r>
            <w:r>
              <w:rPr>
                <w:rFonts w:hint="eastAsia" w:ascii="仿宋_GB2312" w:eastAsia="仿宋_GB2312"/>
                <w:color w:val="000000"/>
                <w:sz w:val="18"/>
                <w:szCs w:val="18"/>
              </w:rPr>
              <w:t>土地补偿费和安置补助费标准（征地区片综合地价或征地统一年产值标准）；</w:t>
            </w:r>
            <w:r>
              <w:rPr>
                <w:rFonts w:ascii="仿宋_GB2312" w:eastAsia="仿宋_GB2312"/>
                <w:color w:val="000000"/>
                <w:sz w:val="18"/>
                <w:szCs w:val="18"/>
              </w:rPr>
              <w:t>4.</w:t>
            </w:r>
            <w:r>
              <w:rPr>
                <w:rFonts w:hint="eastAsia" w:ascii="仿宋_GB2312" w:eastAsia="仿宋_GB2312"/>
                <w:color w:val="000000"/>
                <w:sz w:val="18"/>
                <w:szCs w:val="18"/>
              </w:rPr>
              <w:t>地上附着物和青苗补偿费标准；〔</w:t>
            </w:r>
            <w:r>
              <w:rPr>
                <w:rFonts w:ascii="仿宋_GB2312" w:eastAsia="仿宋_GB2312"/>
                <w:color w:val="000000"/>
                <w:sz w:val="18"/>
                <w:szCs w:val="18"/>
              </w:rPr>
              <w:t>*</w:t>
            </w:r>
            <w:r>
              <w:rPr>
                <w:rFonts w:hint="eastAsia" w:ascii="仿宋_GB2312" w:eastAsia="仿宋_GB2312"/>
                <w:color w:val="000000"/>
                <w:sz w:val="18"/>
                <w:szCs w:val="18"/>
              </w:rPr>
              <w:t>农村村民住宅拆迁补偿标准〕；〔</w:t>
            </w:r>
            <w:r>
              <w:rPr>
                <w:rFonts w:ascii="仿宋_GB2312" w:eastAsia="仿宋_GB2312"/>
                <w:color w:val="000000"/>
                <w:sz w:val="18"/>
                <w:szCs w:val="18"/>
              </w:rPr>
              <w:t>*</w:t>
            </w:r>
            <w:r>
              <w:rPr>
                <w:rFonts w:hint="eastAsia" w:ascii="仿宋_GB2312" w:eastAsia="仿宋_GB2312"/>
                <w:color w:val="000000"/>
                <w:sz w:val="18"/>
                <w:szCs w:val="18"/>
              </w:rPr>
              <w:t>征地工作流程图〕。</w:t>
            </w:r>
          </w:p>
        </w:tc>
        <w:tc>
          <w:tcPr>
            <w:tcW w:w="1260"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自该信息形成或者变更之日起</w:t>
            </w:r>
            <w:r>
              <w:rPr>
                <w:rFonts w:ascii="仿宋_GB2312" w:eastAsia="仿宋_GB2312"/>
                <w:color w:val="000000"/>
                <w:sz w:val="18"/>
                <w:szCs w:val="18"/>
              </w:rPr>
              <w:t>20</w:t>
            </w:r>
            <w:r>
              <w:rPr>
                <w:rFonts w:hint="eastAsia" w:ascii="仿宋_GB2312" w:eastAsia="仿宋_GB2312"/>
                <w:color w:val="000000"/>
                <w:sz w:val="18"/>
                <w:szCs w:val="18"/>
              </w:rPr>
              <w:t>个工作日内予以公开，法律法规另有规定的除外。</w:t>
            </w:r>
          </w:p>
        </w:tc>
        <w:tc>
          <w:tcPr>
            <w:tcW w:w="1620"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和负责农村集体土地征收的有关部门</w:t>
            </w:r>
          </w:p>
        </w:tc>
        <w:tc>
          <w:tcPr>
            <w:tcW w:w="1786"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■征地信息公开平台</w:t>
            </w:r>
            <w:r>
              <w:rPr>
                <w:rFonts w:ascii="仿宋_GB2312" w:eastAsia="仿宋_GB2312"/>
                <w:color w:val="000000"/>
                <w:sz w:val="18"/>
                <w:szCs w:val="18"/>
              </w:rPr>
              <w:t xml:space="preserve">      </w:t>
            </w:r>
          </w:p>
          <w:p>
            <w:pPr>
              <w:widowControl/>
              <w:spacing w:line="240" w:lineRule="exact"/>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6" w:hRule="atLeas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征地前期准备</w:t>
            </w:r>
          </w:p>
        </w:tc>
        <w:tc>
          <w:tcPr>
            <w:tcW w:w="720"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征地启动公告</w:t>
            </w:r>
          </w:p>
        </w:tc>
        <w:tc>
          <w:tcPr>
            <w:tcW w:w="2714" w:type="dxa"/>
            <w:tcBorders>
              <w:top w:val="single" w:color="auto" w:sz="4" w:space="0"/>
              <w:left w:val="single" w:color="auto" w:sz="4" w:space="0"/>
              <w:right w:val="single" w:color="auto" w:sz="4" w:space="0"/>
            </w:tcBorders>
            <w:vAlign w:val="center"/>
          </w:tcPr>
          <w:p>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在拟征收土地前，应明确征收土地有关事项并予以公开。</w:t>
            </w:r>
            <w:r>
              <w:rPr>
                <w:rFonts w:ascii="仿宋_GB2312" w:eastAsia="仿宋_GB2312"/>
                <w:color w:val="000000"/>
                <w:sz w:val="18"/>
                <w:szCs w:val="18"/>
              </w:rPr>
              <w:t>1.</w:t>
            </w:r>
            <w:r>
              <w:rPr>
                <w:rFonts w:hint="eastAsia" w:ascii="仿宋_GB2312" w:eastAsia="仿宋_GB2312"/>
                <w:color w:val="000000"/>
                <w:sz w:val="18"/>
                <w:szCs w:val="18"/>
              </w:rPr>
              <w:t>拟征收土地用途；</w:t>
            </w:r>
            <w:r>
              <w:rPr>
                <w:rFonts w:ascii="仿宋_GB2312" w:eastAsia="仿宋_GB2312"/>
                <w:color w:val="000000"/>
                <w:sz w:val="18"/>
                <w:szCs w:val="18"/>
              </w:rPr>
              <w:t>2.</w:t>
            </w:r>
            <w:r>
              <w:rPr>
                <w:rFonts w:hint="eastAsia" w:ascii="仿宋_GB2312" w:eastAsia="仿宋_GB2312"/>
                <w:color w:val="000000"/>
                <w:sz w:val="18"/>
                <w:szCs w:val="18"/>
              </w:rPr>
              <w:t>拟征收土地的位置和范围；</w:t>
            </w:r>
            <w:r>
              <w:rPr>
                <w:rFonts w:ascii="仿宋_GB2312" w:eastAsia="仿宋_GB2312"/>
                <w:color w:val="000000"/>
                <w:sz w:val="18"/>
                <w:szCs w:val="18"/>
              </w:rPr>
              <w:t>3.</w:t>
            </w:r>
            <w:r>
              <w:rPr>
                <w:rFonts w:hint="eastAsia" w:ascii="仿宋_GB2312" w:eastAsia="仿宋_GB2312"/>
                <w:color w:val="000000"/>
                <w:sz w:val="18"/>
                <w:szCs w:val="18"/>
              </w:rPr>
              <w:t>征地补偿标准及安置途径；</w:t>
            </w:r>
            <w:r>
              <w:rPr>
                <w:rFonts w:ascii="仿宋_GB2312" w:eastAsia="仿宋_GB2312"/>
                <w:color w:val="000000"/>
                <w:sz w:val="18"/>
                <w:szCs w:val="18"/>
              </w:rPr>
              <w:t>4.</w:t>
            </w:r>
            <w:r>
              <w:rPr>
                <w:rFonts w:hint="eastAsia" w:ascii="仿宋_GB2312" w:eastAsia="仿宋_GB2312"/>
                <w:color w:val="000000"/>
                <w:sz w:val="18"/>
                <w:szCs w:val="18"/>
              </w:rPr>
              <w:t>开展土地现状调查的安排；</w:t>
            </w:r>
            <w:r>
              <w:rPr>
                <w:rFonts w:ascii="仿宋_GB2312" w:eastAsia="仿宋_GB2312"/>
                <w:color w:val="000000"/>
                <w:sz w:val="18"/>
                <w:szCs w:val="18"/>
              </w:rPr>
              <w:t>5.</w:t>
            </w:r>
            <w:r>
              <w:rPr>
                <w:rFonts w:hint="eastAsia" w:ascii="仿宋_GB2312" w:eastAsia="仿宋_GB2312"/>
                <w:color w:val="000000"/>
                <w:sz w:val="18"/>
                <w:szCs w:val="18"/>
              </w:rPr>
              <w:t>拟征收土地的原用途管控（包括不得抢栽、抢种、抢建等有关规定）；</w:t>
            </w:r>
          </w:p>
        </w:tc>
        <w:tc>
          <w:tcPr>
            <w:tcW w:w="1260"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、《国务院关于深化改革严格土地管理的决定》</w:t>
            </w:r>
          </w:p>
        </w:tc>
        <w:tc>
          <w:tcPr>
            <w:tcW w:w="1980"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在实地启动拟征收土地工作时，在村公示栏公开。</w:t>
            </w:r>
          </w:p>
          <w:p>
            <w:pPr>
              <w:spacing w:line="240" w:lineRule="exact"/>
              <w:rPr>
                <w:rFonts w:ascii="仿宋_GB2312" w:eastAsia="仿宋_GB2312"/>
                <w:color w:val="000000"/>
                <w:sz w:val="18"/>
                <w:szCs w:val="18"/>
              </w:rPr>
            </w:pPr>
          </w:p>
        </w:tc>
        <w:tc>
          <w:tcPr>
            <w:tcW w:w="1620"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以及负责实施农村集体土地征收的有关部门（含乡镇政府等）</w:t>
            </w:r>
          </w:p>
        </w:tc>
        <w:tc>
          <w:tcPr>
            <w:tcW w:w="1786" w:type="dxa"/>
            <w:tcBorders>
              <w:top w:val="single" w:color="auto" w:sz="4" w:space="0"/>
              <w:left w:val="single" w:color="auto" w:sz="4" w:space="0"/>
              <w:right w:val="single" w:color="auto" w:sz="4" w:space="0"/>
            </w:tcBorders>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p>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▲征地信息公开平台</w:t>
            </w:r>
          </w:p>
          <w:p>
            <w:pPr>
              <w:widowControl/>
              <w:spacing w:line="240" w:lineRule="exact"/>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pPr>
              <w:spacing w:line="240" w:lineRule="exact"/>
              <w:jc w:val="center"/>
              <w:rPr>
                <w:rFonts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spacing w:line="24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3</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征地前期准备</w:t>
            </w:r>
          </w:p>
        </w:tc>
        <w:tc>
          <w:tcPr>
            <w:tcW w:w="720" w:type="dxa"/>
            <w:tcBorders>
              <w:top w:val="single" w:color="auto" w:sz="4" w:space="0"/>
              <w:left w:val="single" w:color="auto" w:sz="4" w:space="0"/>
              <w:right w:val="single" w:color="auto" w:sz="4" w:space="0"/>
            </w:tcBorders>
            <w:vAlign w:val="center"/>
          </w:tcPr>
          <w:p>
            <w:pPr>
              <w:widowControl/>
              <w:spacing w:line="320" w:lineRule="exact"/>
              <w:jc w:val="center"/>
              <w:rPr>
                <w:rFonts w:ascii="仿宋_GB2312" w:eastAsia="仿宋_GB2312"/>
                <w:color w:val="000000"/>
                <w:sz w:val="18"/>
                <w:szCs w:val="18"/>
              </w:rPr>
            </w:pPr>
            <w:r>
              <w:rPr>
                <w:rFonts w:hint="eastAsia" w:ascii="仿宋_GB2312" w:eastAsia="仿宋_GB2312"/>
                <w:color w:val="000000"/>
                <w:sz w:val="18"/>
                <w:szCs w:val="18"/>
              </w:rPr>
              <w:t>征地补偿安置方案公告</w:t>
            </w:r>
          </w:p>
        </w:tc>
        <w:tc>
          <w:tcPr>
            <w:tcW w:w="2714" w:type="dxa"/>
            <w:tcBorders>
              <w:top w:val="single" w:color="auto" w:sz="4" w:space="0"/>
              <w:left w:val="single" w:color="auto" w:sz="4" w:space="0"/>
              <w:right w:val="single" w:color="auto" w:sz="4" w:space="0"/>
            </w:tcBorders>
            <w:vAlign w:val="center"/>
          </w:tcPr>
          <w:p>
            <w:pPr>
              <w:rPr>
                <w:rFonts w:ascii="仿宋_GB2312" w:eastAsia="仿宋_GB2312"/>
                <w:color w:val="000000"/>
                <w:sz w:val="18"/>
                <w:szCs w:val="18"/>
              </w:rPr>
            </w:pPr>
            <w:r>
              <w:rPr>
                <w:rFonts w:hint="eastAsia" w:ascii="仿宋_GB2312" w:eastAsia="仿宋_GB2312"/>
                <w:color w:val="000000"/>
                <w:sz w:val="18"/>
                <w:szCs w:val="18"/>
              </w:rPr>
              <w:t>征收土地公告期满后，县（市、区）自然资源主管部门和负责农村集体土地征收的有关部门拟定《征地补偿安置方案》并予以公开。</w:t>
            </w:r>
          </w:p>
          <w:p>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被征收土地的位置、地类、面积，地上附着物和青苗的种类、数量，需要安置的农业人口和数量；</w:t>
            </w:r>
          </w:p>
          <w:p>
            <w:pPr>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土地补偿费和安置补助费的标准、数额、支付对象和支付方式；</w:t>
            </w:r>
          </w:p>
          <w:p>
            <w:pPr>
              <w:rPr>
                <w:rFonts w:ascii="仿宋_GB2312" w:eastAsia="仿宋_GB2312"/>
                <w:color w:val="000000"/>
                <w:sz w:val="18"/>
                <w:szCs w:val="18"/>
              </w:rPr>
            </w:pPr>
            <w:r>
              <w:rPr>
                <w:rFonts w:ascii="仿宋_GB2312" w:eastAsia="仿宋_GB2312"/>
                <w:color w:val="000000"/>
                <w:sz w:val="18"/>
                <w:szCs w:val="18"/>
              </w:rPr>
              <w:t>3.</w:t>
            </w:r>
            <w:r>
              <w:rPr>
                <w:rFonts w:hint="eastAsia" w:ascii="仿宋_GB2312" w:eastAsia="仿宋_GB2312"/>
                <w:color w:val="000000"/>
                <w:sz w:val="18"/>
                <w:szCs w:val="18"/>
              </w:rPr>
              <w:t>地上附着物和青苗的补偿标准与支付方式；</w:t>
            </w:r>
          </w:p>
          <w:p>
            <w:pPr>
              <w:rPr>
                <w:rFonts w:ascii="仿宋_GB2312" w:eastAsia="仿宋_GB2312"/>
                <w:color w:val="000000"/>
                <w:sz w:val="18"/>
                <w:szCs w:val="18"/>
              </w:rPr>
            </w:pPr>
            <w:r>
              <w:rPr>
                <w:rFonts w:ascii="仿宋_GB2312" w:eastAsia="仿宋_GB2312"/>
                <w:color w:val="000000"/>
                <w:sz w:val="18"/>
                <w:szCs w:val="18"/>
              </w:rPr>
              <w:t>4.</w:t>
            </w:r>
            <w:r>
              <w:rPr>
                <w:rFonts w:hint="eastAsia" w:ascii="仿宋_GB2312" w:eastAsia="仿宋_GB2312"/>
                <w:color w:val="000000"/>
                <w:sz w:val="18"/>
                <w:szCs w:val="18"/>
              </w:rPr>
              <w:t>社会保障费用的筹集方法、缴费比例和办法；</w:t>
            </w:r>
          </w:p>
          <w:p>
            <w:pPr>
              <w:rPr>
                <w:rFonts w:ascii="仿宋_GB2312" w:eastAsia="仿宋_GB2312"/>
                <w:color w:val="000000"/>
                <w:sz w:val="18"/>
                <w:szCs w:val="18"/>
              </w:rPr>
            </w:pPr>
            <w:r>
              <w:rPr>
                <w:rFonts w:ascii="仿宋_GB2312" w:eastAsia="仿宋_GB2312"/>
                <w:color w:val="000000"/>
                <w:sz w:val="18"/>
                <w:szCs w:val="18"/>
              </w:rPr>
              <w:t>5.</w:t>
            </w:r>
            <w:r>
              <w:rPr>
                <w:rFonts w:hint="eastAsia" w:ascii="仿宋_GB2312" w:eastAsia="仿宋_GB2312"/>
                <w:color w:val="000000"/>
                <w:sz w:val="18"/>
                <w:szCs w:val="18"/>
              </w:rPr>
              <w:t>农业人员安置具体途径；</w:t>
            </w:r>
          </w:p>
          <w:p>
            <w:pPr>
              <w:rPr>
                <w:rFonts w:ascii="仿宋_GB2312" w:eastAsia="仿宋_GB2312"/>
                <w:color w:val="000000"/>
                <w:sz w:val="18"/>
                <w:szCs w:val="18"/>
              </w:rPr>
            </w:pPr>
            <w:r>
              <w:rPr>
                <w:rFonts w:ascii="仿宋_GB2312" w:eastAsia="仿宋_GB2312"/>
                <w:color w:val="000000"/>
                <w:sz w:val="18"/>
                <w:szCs w:val="18"/>
              </w:rPr>
              <w:t>6.</w:t>
            </w:r>
            <w:r>
              <w:rPr>
                <w:rFonts w:hint="eastAsia" w:ascii="仿宋_GB2312" w:eastAsia="仿宋_GB2312"/>
                <w:color w:val="000000"/>
                <w:sz w:val="18"/>
                <w:szCs w:val="18"/>
              </w:rPr>
              <w:t>其他有关征地补偿、安置的具体措施；</w:t>
            </w:r>
          </w:p>
          <w:p>
            <w:pPr>
              <w:rPr>
                <w:rFonts w:ascii="仿宋_GB2312" w:eastAsia="仿宋_GB2312"/>
                <w:color w:val="000000"/>
                <w:sz w:val="18"/>
                <w:szCs w:val="18"/>
              </w:rPr>
            </w:pPr>
            <w:r>
              <w:rPr>
                <w:rFonts w:ascii="仿宋_GB2312" w:eastAsia="仿宋_GB2312"/>
                <w:color w:val="000000"/>
                <w:sz w:val="18"/>
                <w:szCs w:val="18"/>
              </w:rPr>
              <w:t>7.</w:t>
            </w:r>
            <w:r>
              <w:rPr>
                <w:rFonts w:hint="eastAsia" w:ascii="仿宋_GB2312" w:eastAsia="仿宋_GB2312"/>
                <w:color w:val="000000"/>
                <w:sz w:val="18"/>
                <w:szCs w:val="18"/>
              </w:rPr>
              <w:t>听证等救济途径；</w:t>
            </w:r>
          </w:p>
          <w:p>
            <w:pPr>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征地补偿安置方案前置的，在前置环节一并公开〕。</w:t>
            </w:r>
          </w:p>
        </w:tc>
        <w:tc>
          <w:tcPr>
            <w:tcW w:w="1260" w:type="dxa"/>
            <w:tcBorders>
              <w:top w:val="single" w:color="auto" w:sz="4" w:space="0"/>
              <w:left w:val="single" w:color="auto" w:sz="4" w:space="0"/>
              <w:right w:val="single" w:color="auto" w:sz="4" w:space="0"/>
            </w:tcBorders>
            <w:vAlign w:val="center"/>
          </w:tcPr>
          <w:p>
            <w:pPr>
              <w:widowControl/>
              <w:spacing w:line="320" w:lineRule="exac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《中华人民共和国土地管理法》</w:t>
            </w:r>
          </w:p>
        </w:tc>
        <w:tc>
          <w:tcPr>
            <w:tcW w:w="1980" w:type="dxa"/>
            <w:tcBorders>
              <w:top w:val="single" w:color="auto" w:sz="4" w:space="0"/>
              <w:left w:val="single" w:color="auto" w:sz="4" w:space="0"/>
              <w:right w:val="single" w:color="auto" w:sz="4" w:space="0"/>
            </w:tcBorders>
            <w:vAlign w:val="center"/>
          </w:tcPr>
          <w:p>
            <w:pPr>
              <w:widowControl/>
              <w:spacing w:line="320" w:lineRule="exact"/>
              <w:ind w:firstLine="360" w:firstLineChars="200"/>
              <w:rPr>
                <w:rFonts w:ascii="仿宋_GB2312" w:eastAsia="仿宋_GB2312"/>
                <w:color w:val="000000"/>
                <w:sz w:val="18"/>
                <w:szCs w:val="18"/>
              </w:rPr>
            </w:pPr>
            <w:r>
              <w:rPr>
                <w:rFonts w:hint="eastAsia" w:ascii="仿宋_GB2312" w:eastAsia="仿宋_GB2312"/>
                <w:color w:val="000000"/>
                <w:sz w:val="18"/>
                <w:szCs w:val="18"/>
              </w:rPr>
              <w:t>征地启动公告后</w:t>
            </w:r>
            <w:r>
              <w:rPr>
                <w:rFonts w:ascii="仿宋_GB2312" w:eastAsia="仿宋_GB2312"/>
                <w:color w:val="000000"/>
                <w:sz w:val="18"/>
                <w:szCs w:val="18"/>
              </w:rPr>
              <w:t>5</w:t>
            </w:r>
            <w:r>
              <w:rPr>
                <w:rFonts w:hint="eastAsia" w:ascii="仿宋_GB2312" w:eastAsia="仿宋_GB2312"/>
                <w:color w:val="000000"/>
                <w:sz w:val="18"/>
                <w:szCs w:val="18"/>
              </w:rPr>
              <w:t>个工作日内公开。</w:t>
            </w:r>
          </w:p>
          <w:p>
            <w:pPr>
              <w:widowControl/>
              <w:spacing w:line="320" w:lineRule="exact"/>
              <w:rPr>
                <w:rFonts w:ascii="仿宋_GB2312" w:eastAsia="仿宋_GB2312"/>
                <w:color w:val="000000"/>
                <w:sz w:val="18"/>
                <w:szCs w:val="18"/>
              </w:rPr>
            </w:pPr>
          </w:p>
        </w:tc>
        <w:tc>
          <w:tcPr>
            <w:tcW w:w="1620" w:type="dxa"/>
            <w:tcBorders>
              <w:top w:val="single" w:color="auto" w:sz="4" w:space="0"/>
              <w:left w:val="single" w:color="auto" w:sz="4" w:space="0"/>
              <w:right w:val="single" w:color="auto" w:sz="4" w:space="0"/>
            </w:tcBorders>
            <w:vAlign w:val="center"/>
          </w:tcPr>
          <w:p>
            <w:pPr>
              <w:widowControl/>
              <w:spacing w:line="320" w:lineRule="exact"/>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和负责农村集体土地征收的有关部门</w:t>
            </w:r>
          </w:p>
        </w:tc>
        <w:tc>
          <w:tcPr>
            <w:tcW w:w="1786"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p>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pPr>
              <w:widowControl/>
              <w:rPr>
                <w:rFonts w:ascii="仿宋_GB2312" w:eastAsia="仿宋_GB2312"/>
                <w:color w:val="000000"/>
                <w:sz w:val="18"/>
                <w:szCs w:val="18"/>
              </w:rPr>
            </w:pPr>
            <w:r>
              <w:rPr>
                <w:rFonts w:hint="eastAsia" w:ascii="仿宋_GB2312" w:eastAsia="仿宋_GB2312"/>
                <w:color w:val="000000"/>
                <w:sz w:val="18"/>
                <w:szCs w:val="18"/>
              </w:rPr>
              <w:t>▲征地信息公开平台</w:t>
            </w:r>
            <w:r>
              <w:rPr>
                <w:rFonts w:ascii="仿宋_GB2312" w:eastAsia="仿宋_GB2312"/>
                <w:color w:val="000000"/>
                <w:sz w:val="18"/>
                <w:szCs w:val="18"/>
              </w:rPr>
              <w:br w:type="textWrapping"/>
            </w:r>
          </w:p>
        </w:tc>
        <w:tc>
          <w:tcPr>
            <w:tcW w:w="554"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ind w:firstLine="90" w:firstLineChars="50"/>
              <w:rPr>
                <w:rFonts w:ascii="仿宋_GB2312" w:eastAsia="仿宋_GB2312"/>
                <w:color w:val="000000"/>
                <w:sz w:val="18"/>
                <w:szCs w:val="18"/>
              </w:rPr>
            </w:pPr>
            <w:r>
              <w:rPr>
                <w:rFonts w:ascii="仿宋_GB2312"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征地审查报批</w:t>
            </w:r>
          </w:p>
        </w:tc>
        <w:tc>
          <w:tcPr>
            <w:tcW w:w="720"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征地报批材料</w:t>
            </w:r>
          </w:p>
        </w:tc>
        <w:tc>
          <w:tcPr>
            <w:tcW w:w="2714" w:type="dxa"/>
            <w:tcBorders>
              <w:top w:val="single" w:color="auto" w:sz="4" w:space="0"/>
              <w:left w:val="single" w:color="auto" w:sz="4" w:space="0"/>
              <w:right w:val="single" w:color="auto" w:sz="4" w:space="0"/>
            </w:tcBorders>
            <w:vAlign w:val="center"/>
          </w:tcPr>
          <w:p>
            <w:pPr>
              <w:spacing w:line="260" w:lineRule="exact"/>
              <w:rPr>
                <w:rFonts w:ascii="仿宋_GB2312" w:eastAsia="仿宋_GB2312"/>
                <w:color w:val="000000"/>
                <w:sz w:val="18"/>
                <w:szCs w:val="18"/>
              </w:rPr>
            </w:pPr>
            <w:r>
              <w:rPr>
                <w:rFonts w:hint="eastAsia" w:ascii="仿宋_GB2312" w:eastAsia="仿宋_GB2312"/>
                <w:color w:val="000000"/>
                <w:sz w:val="18"/>
                <w:szCs w:val="18"/>
                <w:lang w:eastAsia="zh-CN"/>
              </w:rPr>
              <w:t>县</w:t>
            </w:r>
            <w:r>
              <w:rPr>
                <w:rFonts w:hint="eastAsia" w:ascii="仿宋_GB2312" w:eastAsia="仿宋_GB2312"/>
                <w:color w:val="000000"/>
                <w:sz w:val="18"/>
                <w:szCs w:val="18"/>
              </w:rPr>
              <w:t>（市、区）人民政府按照建设用地审查报批有关规定，组织用地报批过程中的相关报批材料予以公开。</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建设用地呈报说明书、农用地转用方案、补充耕地方案、征收土地方案、供地方案；</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其他相关文字报批材料和图件由各省（区、市）确定公开方式〕。</w:t>
            </w:r>
          </w:p>
        </w:tc>
        <w:tc>
          <w:tcPr>
            <w:tcW w:w="1260" w:type="dxa"/>
            <w:tcBorders>
              <w:top w:val="single" w:color="auto" w:sz="4" w:space="0"/>
              <w:left w:val="single" w:color="auto" w:sz="4" w:space="0"/>
              <w:right w:val="single" w:color="auto" w:sz="4" w:space="0"/>
            </w:tcBorders>
            <w:vAlign w:val="center"/>
          </w:tcPr>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、《政府信息公开条例》、建设用地审查报批有关规定。</w:t>
            </w:r>
          </w:p>
        </w:tc>
        <w:tc>
          <w:tcPr>
            <w:tcW w:w="1980" w:type="dxa"/>
            <w:tcBorders>
              <w:top w:val="single" w:color="auto" w:sz="4" w:space="0"/>
              <w:left w:val="single" w:color="auto" w:sz="4" w:space="0"/>
              <w:right w:val="single" w:color="auto" w:sz="4" w:space="0"/>
            </w:tcBorders>
            <w:vAlign w:val="center"/>
          </w:tcPr>
          <w:p>
            <w:pPr>
              <w:widowControl/>
              <w:spacing w:before="156" w:beforeLines="50" w:after="156" w:afterLines="50" w:line="260" w:lineRule="exact"/>
              <w:jc w:val="left"/>
              <w:rPr>
                <w:rFonts w:ascii="仿宋_GB2312" w:eastAsia="仿宋_GB2312"/>
                <w:color w:val="000000"/>
                <w:sz w:val="18"/>
                <w:szCs w:val="18"/>
              </w:rPr>
            </w:pPr>
            <w:r>
              <w:rPr>
                <w:rFonts w:hint="eastAsia" w:ascii="仿宋_GB2312" w:eastAsia="仿宋_GB2312"/>
                <w:color w:val="000000"/>
                <w:sz w:val="18"/>
                <w:szCs w:val="18"/>
              </w:rPr>
              <w:t>收到征地批准文件之日起</w:t>
            </w:r>
            <w:r>
              <w:rPr>
                <w:rFonts w:ascii="仿宋_GB2312" w:eastAsia="仿宋_GB2312"/>
                <w:color w:val="000000"/>
                <w:sz w:val="18"/>
                <w:szCs w:val="18"/>
              </w:rPr>
              <w:t>10</w:t>
            </w:r>
            <w:r>
              <w:rPr>
                <w:rFonts w:hint="eastAsia" w:ascii="仿宋_GB2312" w:eastAsia="仿宋_GB2312"/>
                <w:color w:val="000000"/>
                <w:sz w:val="18"/>
                <w:szCs w:val="18"/>
              </w:rPr>
              <w:t>个工作日内公开。</w:t>
            </w:r>
          </w:p>
        </w:tc>
        <w:tc>
          <w:tcPr>
            <w:tcW w:w="1620" w:type="dxa"/>
            <w:tcBorders>
              <w:top w:val="single" w:color="auto" w:sz="4" w:space="0"/>
              <w:left w:val="single" w:color="auto" w:sz="4" w:space="0"/>
              <w:right w:val="single" w:color="auto" w:sz="4" w:space="0"/>
            </w:tcBorders>
            <w:vAlign w:val="center"/>
          </w:tcPr>
          <w:p>
            <w:pPr>
              <w:widowControl/>
              <w:spacing w:line="260" w:lineRule="exact"/>
              <w:rPr>
                <w:rFonts w:hint="eastAsia" w:ascii="仿宋_GB2312" w:eastAsia="仿宋_GB2312"/>
                <w:color w:val="000000"/>
                <w:sz w:val="18"/>
                <w:szCs w:val="18"/>
                <w:lang w:eastAsia="zh-CN"/>
              </w:rPr>
            </w:pPr>
            <w:r>
              <w:rPr>
                <w:rFonts w:hint="eastAsia" w:ascii="仿宋_GB2312" w:hAnsi="宋体" w:eastAsia="仿宋_GB2312"/>
                <w:color w:val="000000"/>
                <w:sz w:val="18"/>
                <w:szCs w:val="18"/>
                <w:lang w:eastAsia="zh-CN"/>
              </w:rPr>
              <w:t>自然资源和规划分局</w:t>
            </w:r>
          </w:p>
        </w:tc>
        <w:tc>
          <w:tcPr>
            <w:tcW w:w="1786" w:type="dxa"/>
            <w:tcBorders>
              <w:top w:val="single" w:color="auto" w:sz="4" w:space="0"/>
              <w:left w:val="single" w:color="auto" w:sz="4" w:space="0"/>
              <w:right w:val="single" w:color="auto" w:sz="4" w:space="0"/>
            </w:tcBorders>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▲征地信息公开平台</w:t>
            </w:r>
          </w:p>
          <w:p>
            <w:pPr>
              <w:widowControl/>
              <w:spacing w:line="260" w:lineRule="exact"/>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spacing w:line="320" w:lineRule="exact"/>
              <w:jc w:val="center"/>
              <w:rPr>
                <w:rFonts w:ascii="仿宋_GB2312" w:eastAsia="仿宋_GB2312"/>
                <w:color w:val="000000"/>
                <w:sz w:val="18"/>
                <w:szCs w:val="18"/>
              </w:rPr>
            </w:pPr>
            <w:r>
              <w:rPr>
                <w:rFonts w:ascii="仿宋_GB2312"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征地批准文件</w:t>
            </w:r>
          </w:p>
        </w:tc>
        <w:tc>
          <w:tcPr>
            <w:tcW w:w="2714" w:type="dxa"/>
            <w:tcBorders>
              <w:top w:val="single" w:color="auto" w:sz="4" w:space="0"/>
              <w:left w:val="single" w:color="auto" w:sz="4" w:space="0"/>
              <w:right w:val="single" w:color="auto" w:sz="4" w:space="0"/>
            </w:tcBorders>
            <w:vAlign w:val="center"/>
          </w:tcPr>
          <w:p>
            <w:pPr>
              <w:spacing w:line="260" w:lineRule="exact"/>
              <w:rPr>
                <w:rFonts w:ascii="仿宋_GB2312" w:eastAsia="仿宋_GB2312"/>
                <w:color w:val="000000"/>
                <w:sz w:val="18"/>
                <w:szCs w:val="18"/>
              </w:rPr>
            </w:pPr>
            <w:r>
              <w:rPr>
                <w:rFonts w:hint="eastAsia" w:ascii="仿宋_GB2312" w:eastAsia="仿宋_GB2312"/>
                <w:color w:val="000000"/>
                <w:sz w:val="18"/>
                <w:szCs w:val="18"/>
              </w:rPr>
              <w:t>有权一级人民政府批准用地的批复文件、地方人民政府转发批复文件应予以公开。</w:t>
            </w:r>
            <w:r>
              <w:rPr>
                <w:rFonts w:ascii="仿宋_GB2312"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国务院批准用地批复文件（指用地由国务院批准）；</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省级人民政府批准用地批复文件（指用地由省级人民政府批准）；</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3.</w:t>
            </w:r>
            <w:r>
              <w:rPr>
                <w:rFonts w:hint="eastAsia" w:ascii="仿宋_GB2312" w:eastAsia="仿宋_GB2312"/>
                <w:color w:val="000000"/>
                <w:sz w:val="18"/>
                <w:szCs w:val="18"/>
              </w:rPr>
              <w:t>国务院批准城市用地后省级人民政府审核同意实施方案文件；</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4.</w:t>
            </w:r>
            <w:r>
              <w:rPr>
                <w:rFonts w:hint="eastAsia" w:ascii="仿宋_GB2312" w:eastAsia="仿宋_GB2312"/>
                <w:color w:val="000000"/>
                <w:sz w:val="18"/>
                <w:szCs w:val="18"/>
              </w:rPr>
              <w:t>地方人民政府转发用地批复文件；</w:t>
            </w:r>
          </w:p>
          <w:p>
            <w:pPr>
              <w:widowControl/>
              <w:spacing w:line="260" w:lineRule="exact"/>
              <w:rPr>
                <w:rFonts w:ascii="仿宋_GB2312" w:eastAsia="仿宋_GB2312"/>
                <w:color w:val="000000"/>
                <w:sz w:val="18"/>
                <w:szCs w:val="18"/>
              </w:rPr>
            </w:pPr>
            <w:r>
              <w:rPr>
                <w:rFonts w:ascii="仿宋_GB2312" w:eastAsia="仿宋_GB2312"/>
                <w:color w:val="000000"/>
                <w:sz w:val="18"/>
                <w:szCs w:val="18"/>
              </w:rPr>
              <w:t>5.</w:t>
            </w:r>
            <w:r>
              <w:rPr>
                <w:rFonts w:hint="eastAsia" w:ascii="仿宋_GB2312" w:eastAsia="仿宋_GB2312"/>
                <w:color w:val="000000"/>
                <w:sz w:val="18"/>
                <w:szCs w:val="18"/>
              </w:rPr>
              <w:t>其他用地批准文件。</w:t>
            </w:r>
          </w:p>
        </w:tc>
        <w:tc>
          <w:tcPr>
            <w:tcW w:w="1260" w:type="dxa"/>
            <w:tcBorders>
              <w:top w:val="single" w:color="auto" w:sz="4" w:space="0"/>
              <w:left w:val="single" w:color="auto" w:sz="4" w:space="0"/>
              <w:right w:val="single" w:color="auto" w:sz="4" w:space="0"/>
            </w:tcBorders>
            <w:vAlign w:val="center"/>
          </w:tcPr>
          <w:p>
            <w:pPr>
              <w:widowControl/>
              <w:spacing w:line="260" w:lineRule="exact"/>
              <w:jc w:val="lef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、《政府信息公开条例》</w:t>
            </w:r>
          </w:p>
          <w:p>
            <w:pPr>
              <w:widowControl/>
              <w:spacing w:line="260" w:lineRule="exact"/>
              <w:jc w:val="left"/>
              <w:rPr>
                <w:rFonts w:ascii="仿宋_GB2312" w:eastAsia="仿宋_GB2312"/>
                <w:color w:val="000000"/>
                <w:sz w:val="18"/>
                <w:szCs w:val="18"/>
              </w:rPr>
            </w:pPr>
          </w:p>
        </w:tc>
        <w:tc>
          <w:tcPr>
            <w:tcW w:w="1980" w:type="dxa"/>
            <w:tcBorders>
              <w:top w:val="single" w:color="auto" w:sz="4" w:space="0"/>
              <w:left w:val="single" w:color="auto" w:sz="4" w:space="0"/>
              <w:right w:val="single" w:color="auto" w:sz="4" w:space="0"/>
            </w:tcBorders>
            <w:vAlign w:val="center"/>
          </w:tcPr>
          <w:p>
            <w:pPr>
              <w:widowControl/>
              <w:spacing w:line="260" w:lineRule="exact"/>
              <w:jc w:val="left"/>
              <w:rPr>
                <w:rFonts w:ascii="仿宋_GB2312" w:eastAsia="仿宋_GB2312"/>
                <w:color w:val="000000"/>
                <w:sz w:val="18"/>
                <w:szCs w:val="18"/>
              </w:rPr>
            </w:pPr>
            <w:r>
              <w:rPr>
                <w:rFonts w:hint="eastAsia" w:ascii="仿宋_GB2312" w:eastAsia="仿宋_GB2312"/>
                <w:color w:val="000000"/>
                <w:sz w:val="18"/>
                <w:szCs w:val="18"/>
              </w:rPr>
              <w:t>收到征地批准文件之日起</w:t>
            </w:r>
            <w:r>
              <w:rPr>
                <w:rFonts w:ascii="仿宋_GB2312" w:eastAsia="仿宋_GB2312"/>
                <w:color w:val="000000"/>
                <w:sz w:val="18"/>
                <w:szCs w:val="18"/>
              </w:rPr>
              <w:t>10</w:t>
            </w:r>
            <w:r>
              <w:rPr>
                <w:rFonts w:hint="eastAsia" w:ascii="仿宋_GB2312" w:eastAsia="仿宋_GB2312"/>
                <w:color w:val="000000"/>
                <w:sz w:val="18"/>
                <w:szCs w:val="18"/>
              </w:rPr>
              <w:t>个工作日内公开。</w:t>
            </w:r>
          </w:p>
        </w:tc>
        <w:tc>
          <w:tcPr>
            <w:tcW w:w="1620" w:type="dxa"/>
            <w:tcBorders>
              <w:top w:val="single" w:color="auto" w:sz="4" w:space="0"/>
              <w:left w:val="single" w:color="auto" w:sz="4" w:space="0"/>
              <w:right w:val="single" w:color="auto" w:sz="4" w:space="0"/>
            </w:tcBorders>
            <w:vAlign w:val="center"/>
          </w:tcPr>
          <w:p>
            <w:pPr>
              <w:widowControl/>
              <w:spacing w:line="260" w:lineRule="exact"/>
              <w:jc w:val="left"/>
              <w:rPr>
                <w:rFonts w:hint="eastAsia" w:ascii="仿宋_GB2312" w:eastAsia="仿宋_GB2312"/>
                <w:color w:val="000000"/>
                <w:sz w:val="18"/>
                <w:szCs w:val="18"/>
                <w:lang w:eastAsia="zh-CN"/>
              </w:rPr>
            </w:pPr>
            <w:r>
              <w:rPr>
                <w:rFonts w:hint="eastAsia" w:ascii="仿宋_GB2312" w:hAnsi="宋体" w:eastAsia="仿宋_GB2312"/>
                <w:color w:val="000000"/>
                <w:sz w:val="18"/>
                <w:szCs w:val="18"/>
                <w:lang w:eastAsia="zh-CN"/>
              </w:rPr>
              <w:t>自然资源和规划分局</w:t>
            </w:r>
          </w:p>
        </w:tc>
        <w:tc>
          <w:tcPr>
            <w:tcW w:w="1786" w:type="dxa"/>
            <w:tcBorders>
              <w:top w:val="single" w:color="auto" w:sz="4" w:space="0"/>
              <w:left w:val="single" w:color="auto" w:sz="4" w:space="0"/>
              <w:right w:val="single" w:color="auto" w:sz="4" w:space="0"/>
            </w:tcBorders>
            <w:vAlign w:val="center"/>
          </w:tcPr>
          <w:p>
            <w:pPr>
              <w:widowControl/>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▲征地信息公开平台</w:t>
            </w:r>
            <w:r>
              <w:rPr>
                <w:rFonts w:ascii="仿宋_GB2312" w:eastAsia="仿宋_GB2312"/>
                <w:color w:val="000000"/>
                <w:sz w:val="18"/>
                <w:szCs w:val="18"/>
              </w:rPr>
              <w:t xml:space="preserve">      </w:t>
            </w:r>
          </w:p>
          <w:p>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tc>
        <w:tc>
          <w:tcPr>
            <w:tcW w:w="554"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spacing w:line="30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6</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征地组织实施</w:t>
            </w:r>
          </w:p>
        </w:tc>
        <w:tc>
          <w:tcPr>
            <w:tcW w:w="720" w:type="dxa"/>
            <w:tcBorders>
              <w:top w:val="single" w:color="auto" w:sz="4" w:space="0"/>
              <w:left w:val="single" w:color="auto" w:sz="4" w:space="0"/>
              <w:right w:val="single" w:color="auto" w:sz="4" w:space="0"/>
            </w:tcBorders>
            <w:vAlign w:val="center"/>
          </w:tcPr>
          <w:p>
            <w:pPr>
              <w:widowControl/>
              <w:spacing w:line="320" w:lineRule="exact"/>
              <w:jc w:val="left"/>
              <w:rPr>
                <w:rFonts w:ascii="仿宋_GB2312" w:eastAsia="仿宋_GB2312"/>
                <w:color w:val="000000"/>
                <w:sz w:val="18"/>
                <w:szCs w:val="18"/>
              </w:rPr>
            </w:pPr>
            <w:r>
              <w:rPr>
                <w:rFonts w:hint="eastAsia" w:ascii="仿宋_GB2312" w:eastAsia="仿宋_GB2312"/>
                <w:color w:val="000000"/>
                <w:sz w:val="18"/>
                <w:szCs w:val="18"/>
              </w:rPr>
              <w:t>征地补偿安置方案听证</w:t>
            </w:r>
          </w:p>
        </w:tc>
        <w:tc>
          <w:tcPr>
            <w:tcW w:w="2714" w:type="dxa"/>
            <w:tcBorders>
              <w:top w:val="single" w:color="auto" w:sz="4" w:space="0"/>
              <w:left w:val="single" w:color="auto" w:sz="4" w:space="0"/>
              <w:right w:val="single" w:color="auto" w:sz="4" w:space="0"/>
            </w:tcBorders>
            <w:vAlign w:val="center"/>
          </w:tcPr>
          <w:p>
            <w:pPr>
              <w:rPr>
                <w:rFonts w:ascii="仿宋_GB2312" w:eastAsia="仿宋_GB2312"/>
                <w:color w:val="000000"/>
                <w:sz w:val="18"/>
                <w:szCs w:val="18"/>
              </w:rPr>
            </w:pPr>
            <w:r>
              <w:rPr>
                <w:rFonts w:hint="eastAsia" w:ascii="仿宋_GB2312" w:eastAsia="仿宋_GB2312"/>
                <w:color w:val="000000"/>
                <w:sz w:val="18"/>
                <w:szCs w:val="18"/>
              </w:rPr>
              <w:t>依申请开展听证工作的，听证结果公开。按征地补偿安置方案公告确定的时间制作《听证通知书》；按《听证通知书》规定的时间组织听证；实施听证的，公开听证相关材料。</w:t>
            </w:r>
          </w:p>
          <w:p>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《听证通知书》；</w:t>
            </w:r>
          </w:p>
          <w:p>
            <w:pPr>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听证处理意见；〔</w:t>
            </w:r>
            <w:r>
              <w:rPr>
                <w:rFonts w:ascii="仿宋_GB2312" w:eastAsia="仿宋_GB2312"/>
                <w:color w:val="000000"/>
                <w:sz w:val="18"/>
                <w:szCs w:val="18"/>
              </w:rPr>
              <w:t>*</w:t>
            </w:r>
            <w:r>
              <w:rPr>
                <w:rFonts w:hint="eastAsia" w:ascii="仿宋_GB2312" w:eastAsia="仿宋_GB2312"/>
                <w:color w:val="000000"/>
                <w:sz w:val="18"/>
                <w:szCs w:val="18"/>
              </w:rPr>
              <w:t>听证笔录有关资料〕。</w:t>
            </w:r>
          </w:p>
        </w:tc>
        <w:tc>
          <w:tcPr>
            <w:tcW w:w="1260"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eastAsia="仿宋_GB2312"/>
                <w:color w:val="000000"/>
                <w:sz w:val="18"/>
                <w:szCs w:val="18"/>
              </w:rPr>
              <w:t>《国土资源听证规定》、《国土资源部办公厅关于进一步做好市县征地信息公开工作有关问题的通知》</w:t>
            </w:r>
          </w:p>
        </w:tc>
        <w:tc>
          <w:tcPr>
            <w:tcW w:w="1980"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eastAsia="仿宋_GB2312"/>
                <w:color w:val="000000"/>
                <w:sz w:val="18"/>
                <w:szCs w:val="18"/>
              </w:rPr>
              <w:t>①《听证通知书》应在组织听证</w:t>
            </w:r>
            <w:r>
              <w:rPr>
                <w:rFonts w:ascii="仿宋_GB2312" w:eastAsia="仿宋_GB2312"/>
                <w:color w:val="000000"/>
                <w:sz w:val="18"/>
                <w:szCs w:val="18"/>
              </w:rPr>
              <w:t>7</w:t>
            </w:r>
            <w:r>
              <w:rPr>
                <w:rFonts w:hint="eastAsia" w:ascii="仿宋_GB2312" w:eastAsia="仿宋_GB2312"/>
                <w:color w:val="000000"/>
                <w:sz w:val="18"/>
                <w:szCs w:val="18"/>
              </w:rPr>
              <w:t>个工作日前予以公开；②其他听证公开内容在征地听证结束后</w:t>
            </w:r>
            <w:r>
              <w:rPr>
                <w:rFonts w:ascii="仿宋_GB2312" w:eastAsia="仿宋_GB2312"/>
                <w:color w:val="000000"/>
                <w:sz w:val="18"/>
                <w:szCs w:val="18"/>
              </w:rPr>
              <w:t>5</w:t>
            </w:r>
            <w:r>
              <w:rPr>
                <w:rFonts w:hint="eastAsia" w:ascii="仿宋_GB2312" w:eastAsia="仿宋_GB2312"/>
                <w:color w:val="000000"/>
                <w:sz w:val="18"/>
                <w:szCs w:val="18"/>
              </w:rPr>
              <w:t>个工作日内公开。公示结束后，转为依申请公开。</w:t>
            </w:r>
          </w:p>
        </w:tc>
        <w:tc>
          <w:tcPr>
            <w:tcW w:w="1620"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和负责农村集体土地征收的有关部门</w:t>
            </w:r>
          </w:p>
        </w:tc>
        <w:tc>
          <w:tcPr>
            <w:tcW w:w="1786" w:type="dxa"/>
            <w:tcBorders>
              <w:top w:val="single" w:color="auto" w:sz="4" w:space="0"/>
              <w:left w:val="single" w:color="auto" w:sz="4" w:space="0"/>
              <w:right w:val="single" w:color="auto" w:sz="4" w:space="0"/>
            </w:tcBorders>
            <w:vAlign w:val="center"/>
          </w:tcPr>
          <w:p>
            <w:pPr>
              <w:widowControl/>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p>
            <w:pPr>
              <w:widowControl/>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p>
        </w:tc>
        <w:tc>
          <w:tcPr>
            <w:tcW w:w="875"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r>
    </w:tbl>
    <w:p>
      <w:pPr>
        <w:jc w:val="center"/>
      </w:pPr>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r>
        <w:rPr>
          <w:rFonts w:hint="eastAsia"/>
          <w:sz w:val="32"/>
          <w:szCs w:val="32"/>
        </w:rPr>
        <w:t>（十三）生态环境领域基层政务公开标准目录</w:t>
      </w:r>
    </w:p>
    <w:tbl>
      <w:tblPr>
        <w:tblStyle w:val="9"/>
        <w:tblpPr w:leftFromText="180" w:rightFromText="180" w:vertAnchor="text" w:horzAnchor="page" w:tblpX="1348" w:tblpY="643"/>
        <w:tblOverlap w:val="never"/>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2520"/>
        <w:gridCol w:w="2700"/>
        <w:gridCol w:w="1620"/>
        <w:gridCol w:w="1098"/>
        <w:gridCol w:w="1365"/>
        <w:gridCol w:w="597"/>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7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9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36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w:t>
            </w:r>
          </w:p>
          <w:p>
            <w:pPr>
              <w:widowControl/>
              <w:jc w:val="center"/>
              <w:rPr>
                <w:rFonts w:ascii="黑体" w:hAnsi="宋体" w:eastAsia="黑体" w:cs="宋体"/>
                <w:kern w:val="0"/>
                <w:sz w:val="22"/>
              </w:rPr>
            </w:pPr>
            <w:r>
              <w:rPr>
                <w:rFonts w:hint="eastAsia" w:ascii="黑体" w:hAnsi="宋体" w:eastAsia="黑体" w:cs="宋体"/>
                <w:kern w:val="0"/>
                <w:sz w:val="22"/>
              </w:rPr>
              <w:t>和载体</w:t>
            </w:r>
          </w:p>
        </w:tc>
        <w:tc>
          <w:tcPr>
            <w:tcW w:w="1306"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w:t>
            </w:r>
          </w:p>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事项</w:t>
            </w:r>
          </w:p>
        </w:tc>
        <w:tc>
          <w:tcPr>
            <w:tcW w:w="2520" w:type="dxa"/>
            <w:vMerge w:val="continue"/>
            <w:tcBorders>
              <w:top w:val="single" w:color="auto" w:sz="4" w:space="0"/>
              <w:left w:val="single" w:color="auto" w:sz="4" w:space="0"/>
              <w:right w:val="single" w:color="auto" w:sz="4" w:space="0"/>
            </w:tcBorders>
            <w:vAlign w:val="center"/>
          </w:tcPr>
          <w:p/>
        </w:tc>
        <w:tc>
          <w:tcPr>
            <w:tcW w:w="270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098" w:type="dxa"/>
            <w:vMerge w:val="continue"/>
            <w:tcBorders>
              <w:top w:val="single" w:color="auto" w:sz="4" w:space="0"/>
              <w:left w:val="single" w:color="auto" w:sz="4" w:space="0"/>
              <w:right w:val="single" w:color="auto" w:sz="4" w:space="0"/>
            </w:tcBorders>
            <w:vAlign w:val="center"/>
          </w:tcPr>
          <w:p/>
        </w:tc>
        <w:tc>
          <w:tcPr>
            <w:tcW w:w="1365" w:type="dxa"/>
            <w:vMerge w:val="continue"/>
            <w:tcBorders>
              <w:top w:val="single" w:color="auto" w:sz="4" w:space="0"/>
              <w:left w:val="single" w:color="auto" w:sz="4" w:space="0"/>
              <w:right w:val="single" w:color="auto" w:sz="4" w:space="0"/>
            </w:tcBorders>
            <w:vAlign w:val="center"/>
          </w:tcPr>
          <w:p/>
        </w:tc>
        <w:tc>
          <w:tcPr>
            <w:tcW w:w="597"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许可</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建设项目环境影响评价文件审批</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《环境影响评价法》、</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、《政府信息公开条例》</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区行政审批局</w:t>
            </w:r>
          </w:p>
        </w:tc>
        <w:tc>
          <w:tcPr>
            <w:tcW w:w="1365"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许可</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防治污染设施拆除或闲置审批</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、《环境噪声污染防治法》、《政府信息公开条例》、《关于全面推进政务公开工作的意见》、《开展基层政务公开标准化规范化试点工作方案》</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区行政审批局</w:t>
            </w:r>
          </w:p>
        </w:tc>
        <w:tc>
          <w:tcPr>
            <w:tcW w:w="1365"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许可</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危险废</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物经营</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许可证</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、《政府信息公开条例》、《危险废物经营许可证管理办法》、《国务院关于取消和下放一批行政审批项目的决定》、《关于做好下放危险废物经营许可审批工作的通知》</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区行政审批局</w:t>
            </w:r>
          </w:p>
        </w:tc>
        <w:tc>
          <w:tcPr>
            <w:tcW w:w="1365"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行政处罚行政强制和行政命令</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行政处罚流程</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行政处罚事先告知书；行政处罚听证通知书；处罚执行情况：同意分期（延期）缴纳罚款通知书、督促履行义务催告书、强制执行申请书等</w:t>
            </w:r>
          </w:p>
        </w:tc>
        <w:tc>
          <w:tcPr>
            <w:tcW w:w="270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、《环境噪声污染防治法》、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、《核安全法》、《环境影响评价法》、《政府信息公开条例》、《环境行政处罚办法》</w:t>
            </w:r>
          </w:p>
        </w:tc>
        <w:tc>
          <w:tcPr>
            <w:tcW w:w="162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行政处罚决定</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行政处罚决定书（全文公开）</w:t>
            </w:r>
          </w:p>
        </w:tc>
        <w:tc>
          <w:tcPr>
            <w:tcW w:w="270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098" w:type="dxa"/>
            <w:vMerge w:val="continue"/>
            <w:tcBorders>
              <w:top w:val="single" w:color="auto" w:sz="4" w:space="0"/>
              <w:left w:val="single" w:color="auto" w:sz="4" w:space="0"/>
              <w:right w:val="single" w:color="auto" w:sz="4" w:space="0"/>
            </w:tcBorders>
            <w:vAlign w:val="center"/>
          </w:tcP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行政处罚行政强制和行政命令</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行政强制流程</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查封、扣押清单；查封（扣押）延期通知书；解除查封（扣押）决定书</w:t>
            </w:r>
          </w:p>
        </w:tc>
        <w:tc>
          <w:tcPr>
            <w:tcW w:w="270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、《环境噪声污染防治法》、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、《核安全法》、《环境影响评价法》、《政府信息公开条例》、《环境行政处罚办法》</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行政强制决定</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查封、扣押决定书（全文公开）</w:t>
            </w:r>
          </w:p>
        </w:tc>
        <w:tc>
          <w:tcPr>
            <w:tcW w:w="2700"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命令</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责令改正违法行为决定书（全文公开）</w:t>
            </w:r>
          </w:p>
        </w:tc>
        <w:tc>
          <w:tcPr>
            <w:tcW w:w="2700"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continue"/>
            <w:tcBorders>
              <w:top w:val="single" w:color="auto" w:sz="4" w:space="0"/>
              <w:left w:val="single" w:color="auto" w:sz="4" w:space="0"/>
              <w:right w:val="single" w:color="auto" w:sz="4" w:space="0"/>
            </w:tcBorders>
            <w:vAlign w:val="center"/>
          </w:tc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管理</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奖励</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奖励办法、奖励公告、奖励决定</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、《环境噪声污染防治法》、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、《核安全法》、《环境影响评价法》、《政府信息公开条例》</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管理</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确认</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运行环节：受理、确认、送达、事后监管；责任事项</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行政裁决和行政调解</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运行环节：受理、审理、裁决或调解、执行；责任事项</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、《政府信息公开条例》、《关于全面推进政务公开工作的意见》</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continue"/>
            <w:tcBorders>
              <w:top w:val="single" w:color="auto" w:sz="4" w:space="0"/>
              <w:left w:val="single" w:color="auto" w:sz="4" w:space="0"/>
              <w:right w:val="single" w:color="auto" w:sz="4" w:space="0"/>
            </w:tcBorders>
            <w:vAlign w:val="center"/>
          </w:tc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管理</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给付</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运行环节：受理、审查、决定、给付、事后监管；责任事项</w:t>
            </w:r>
          </w:p>
        </w:tc>
        <w:tc>
          <w:tcPr>
            <w:tcW w:w="270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检查</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运行环节：制定方案、实施检查、事后监管；责任事项</w:t>
            </w:r>
          </w:p>
        </w:tc>
        <w:tc>
          <w:tcPr>
            <w:tcW w:w="2700"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continue"/>
            <w:tcBorders>
              <w:top w:val="single" w:color="auto" w:sz="4" w:space="0"/>
              <w:left w:val="single" w:color="auto" w:sz="4" w:space="0"/>
              <w:right w:val="single" w:color="auto" w:sz="4" w:space="0"/>
            </w:tcBorders>
            <w:vAlign w:val="center"/>
          </w:tc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其他行政职责</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企业事业单位突发环境事件应急预案备案</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企业事业单位突发环境事件应急预案备案情况</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《中华人民共和国突发事件应对法》</w:t>
            </w:r>
            <w:r>
              <w:rPr>
                <w:rFonts w:hint="eastAsia" w:ascii="仿宋_GB2312" w:hAnsi="宋体" w:eastAsia="仿宋_GB2312"/>
                <w:color w:val="000000"/>
                <w:sz w:val="18"/>
                <w:szCs w:val="18"/>
              </w:rPr>
              <w:t>、《政府信息公开条例》、《企业事业单位突发环境事件应急预案备案管理办法（试行）》</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生态环境保护政策与业务</w:t>
            </w:r>
          </w:p>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咨询</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生态环境保护政策与业务咨询答复函</w:t>
            </w:r>
          </w:p>
        </w:tc>
        <w:tc>
          <w:tcPr>
            <w:tcW w:w="270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w:t>
            </w:r>
          </w:p>
        </w:tc>
        <w:tc>
          <w:tcPr>
            <w:tcW w:w="162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生态环境主题活动组织情况</w:t>
            </w:r>
          </w:p>
        </w:tc>
        <w:tc>
          <w:tcPr>
            <w:tcW w:w="2520" w:type="dxa"/>
            <w:tcBorders>
              <w:top w:val="single" w:color="auto" w:sz="4" w:space="0"/>
              <w:left w:val="single" w:color="auto" w:sz="4" w:space="0"/>
              <w:right w:val="single" w:color="auto" w:sz="4" w:space="0"/>
            </w:tcBorders>
            <w:vAlign w:val="center"/>
          </w:tcPr>
          <w:p>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环保公众开放活动通知、活动开展情况；在公共场所开展环境保护宣传教育活动通知、活动开展情况；六五环境日、石家庄生态日等主题宣传活动通知、活动开展情况。</w:t>
            </w:r>
          </w:p>
        </w:tc>
        <w:tc>
          <w:tcPr>
            <w:tcW w:w="270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098" w:type="dxa"/>
            <w:vMerge w:val="continue"/>
            <w:tcBorders>
              <w:top w:val="single" w:color="auto" w:sz="4" w:space="0"/>
              <w:left w:val="single" w:color="auto" w:sz="4" w:space="0"/>
              <w:right w:val="single" w:color="auto" w:sz="4" w:space="0"/>
            </w:tcBorders>
            <w:vAlign w:val="center"/>
          </w:tcPr>
          <w:p/>
        </w:tc>
        <w:tc>
          <w:tcPr>
            <w:tcW w:w="1365" w:type="dxa"/>
            <w:vMerge w:val="continue"/>
            <w:tcBorders>
              <w:top w:val="single" w:color="auto" w:sz="4" w:space="0"/>
              <w:left w:val="single" w:color="auto" w:sz="4" w:space="0"/>
              <w:right w:val="single" w:color="auto" w:sz="4" w:space="0"/>
            </w:tcBorders>
            <w:vAlign w:val="center"/>
          </w:tc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生态环境污染举报咨询</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生态环境举报、咨询方式（电话、地址等）</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《环境保护法》、《政府信息公开条例》、《环境信访办法》</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污染源监督监测</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重点排污单位监督性监测信息</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《政府信息公开条例》、《国家重点监控企业污染源监督性监测及信息公开办法》、《国家生态环境监测方案》、每年印发的全国生态环境监测工作要点</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污染源信息发布</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重点排污单位基本情况、总量控制、污染防治等信息，重点排污单位环境信息公开情况监管信息</w:t>
            </w:r>
          </w:p>
        </w:tc>
        <w:tc>
          <w:tcPr>
            <w:tcW w:w="270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w:t>
            </w:r>
          </w:p>
        </w:tc>
        <w:tc>
          <w:tcPr>
            <w:tcW w:w="1620" w:type="dxa"/>
            <w:vMerge w:val="restart"/>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生态环境举报信访信息发布</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公开重点生态环境举报、信访案件及处理情况</w:t>
            </w:r>
          </w:p>
        </w:tc>
        <w:tc>
          <w:tcPr>
            <w:tcW w:w="270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098" w:type="dxa"/>
            <w:vMerge w:val="continue"/>
            <w:tcBorders>
              <w:top w:val="single" w:color="auto" w:sz="4" w:space="0"/>
              <w:left w:val="single" w:color="auto" w:sz="4" w:space="0"/>
              <w:right w:val="single" w:color="auto" w:sz="4" w:space="0"/>
            </w:tcBorders>
            <w:vAlign w:val="center"/>
          </w:tcPr>
          <w:p/>
        </w:tc>
        <w:tc>
          <w:tcPr>
            <w:tcW w:w="1365" w:type="dxa"/>
            <w:vMerge w:val="continue"/>
            <w:tcBorders>
              <w:top w:val="single" w:color="auto" w:sz="4" w:space="0"/>
              <w:left w:val="single" w:color="auto" w:sz="4" w:space="0"/>
              <w:right w:val="single" w:color="auto" w:sz="4" w:space="0"/>
            </w:tcBorders>
            <w:vAlign w:val="center"/>
          </w:tc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生态环境质量信息发布</w:t>
            </w:r>
          </w:p>
        </w:tc>
        <w:tc>
          <w:tcPr>
            <w:tcW w:w="25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水环境质量信息（地表水监测结果和集中式生活饮用水水源水质状况报告）；实时空气质量指数（</w:t>
            </w:r>
            <w:r>
              <w:rPr>
                <w:rFonts w:ascii="仿宋_GB2312" w:hAnsi="宋体" w:eastAsia="仿宋_GB2312"/>
                <w:color w:val="000000"/>
                <w:sz w:val="18"/>
                <w:szCs w:val="18"/>
              </w:rPr>
              <w:t>AQI</w:t>
            </w:r>
            <w:r>
              <w:rPr>
                <w:rFonts w:hint="eastAsia" w:ascii="仿宋_GB2312" w:hAnsi="宋体" w:eastAsia="仿宋_GB2312"/>
                <w:color w:val="000000"/>
                <w:sz w:val="18"/>
                <w:szCs w:val="18"/>
              </w:rPr>
              <w:t>）和</w:t>
            </w:r>
            <w:r>
              <w:rPr>
                <w:rFonts w:ascii="仿宋_GB2312" w:hAnsi="宋体" w:eastAsia="仿宋_GB2312"/>
                <w:color w:val="000000"/>
                <w:sz w:val="18"/>
                <w:szCs w:val="18"/>
              </w:rPr>
              <w:t>PM2.5</w:t>
            </w:r>
            <w:r>
              <w:rPr>
                <w:rFonts w:hint="eastAsia" w:ascii="仿宋_GB2312" w:hAnsi="宋体" w:eastAsia="仿宋_GB2312"/>
                <w:color w:val="000000"/>
                <w:sz w:val="18"/>
                <w:szCs w:val="18"/>
              </w:rPr>
              <w:t>浓度；声环境功能区监测结果（包括声环境功能区类别、监测点位、执行标准、监测结果）；其他环境质量信息</w:t>
            </w:r>
          </w:p>
        </w:tc>
        <w:tc>
          <w:tcPr>
            <w:tcW w:w="270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《环境保护法》、《政府信息公开条例》、《国务院关于印发水污染防治行动计划的通知》</w:t>
            </w:r>
          </w:p>
        </w:tc>
        <w:tc>
          <w:tcPr>
            <w:tcW w:w="1620" w:type="dxa"/>
            <w:tcBorders>
              <w:top w:val="single" w:color="auto" w:sz="4" w:space="0"/>
              <w:left w:val="single" w:color="auto" w:sz="4" w:space="0"/>
              <w:right w:val="single" w:color="auto" w:sz="4" w:space="0"/>
            </w:tcBorders>
            <w:vAlign w:val="center"/>
          </w:tcPr>
          <w:p>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adjustRightInd w:val="0"/>
              <w:snapToGrid w:val="0"/>
              <w:rPr>
                <w:rFonts w:ascii="仿宋_GB2312" w:hAnsi="宋体" w:eastAsia="仿宋_GB2312"/>
                <w:color w:val="000000"/>
                <w:sz w:val="18"/>
                <w:szCs w:val="18"/>
              </w:rPr>
            </w:pPr>
          </w:p>
          <w:p>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adjustRightInd w:val="0"/>
              <w:snapToGrid w:val="0"/>
              <w:jc w:val="center"/>
              <w:rPr>
                <w:rFonts w:ascii="仿宋_GB2312" w:hAnsi="宋体" w:eastAsia="仿宋_GB2312"/>
                <w:color w:val="000000"/>
                <w:sz w:val="18"/>
                <w:szCs w:val="18"/>
              </w:rPr>
            </w:pPr>
          </w:p>
        </w:tc>
      </w:tr>
    </w:tbl>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r>
        <w:rPr>
          <w:rFonts w:hint="eastAsia"/>
          <w:sz w:val="32"/>
          <w:szCs w:val="32"/>
        </w:rPr>
        <w:t>（十四）保障性住房领域基层政务公开标准目录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74"/>
        <w:gridCol w:w="1800"/>
        <w:gridCol w:w="3332"/>
        <w:gridCol w:w="1305"/>
        <w:gridCol w:w="1123"/>
        <w:gridCol w:w="1246"/>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9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3332"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30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2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4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74"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800" w:type="dxa"/>
            <w:vMerge w:val="continue"/>
            <w:tcBorders>
              <w:top w:val="single" w:color="auto" w:sz="4" w:space="0"/>
              <w:left w:val="single" w:color="auto" w:sz="4" w:space="0"/>
              <w:right w:val="single" w:color="auto" w:sz="4" w:space="0"/>
            </w:tcBorders>
            <w:vAlign w:val="center"/>
          </w:tcP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法规政策</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文件名称；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文号；</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发布部门；</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实施日期；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正文。</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《已购公有住房和经济适用住房上市出售管理暂行办法》、《廉租住房保障办法》、《经济适用住房管理办法》、《公共租赁住房管理办法》、《住房城乡建设部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国家发改委关于公共租赁住房和廉租住房并轨运行的通知》、《中共中央办公厅国务院办公厅印发〈关于全面推进政务公开工作的意见〉的通知》、《国务院办公厅印发〈关于全面推进政务公开工作的意见〉实施细则的通知》、《住房和城乡建设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财政部关于做好城镇住房保障家庭租赁补贴工作的指导意见》、《国务院办公厅关于推进公共资源配置领域政府信息公开的意见》、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信息获取（形成、变更）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区政府办公室</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政策文件</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文件名称；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文号；</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发布部门；</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实施日期；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正文。</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重大决策</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决策前预公开</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决策公开制度；</w:t>
            </w:r>
          </w:p>
          <w:p>
            <w:pPr>
              <w:rPr>
                <w:rFonts w:ascii="仿宋_GB2312" w:hAnsi="宋体" w:eastAsia="仿宋_GB2312"/>
                <w:color w:val="000000"/>
                <w:sz w:val="18"/>
                <w:szCs w:val="18"/>
              </w:rPr>
            </w:pPr>
            <w:r>
              <w:rPr>
                <w:rFonts w:hint="eastAsia" w:ascii="仿宋_GB2312" w:hAnsi="宋体" w:eastAsia="仿宋_GB2312"/>
                <w:color w:val="000000"/>
                <w:sz w:val="18"/>
                <w:szCs w:val="18"/>
              </w:rPr>
              <w:t>意见征集。</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《政府信息公开条例》、《中共中央办公厅国务院办公厅印发〈关于全面推进政务公开工作的意见〉的通知》、《国务院办公厅印发〈关于全面推进政务公开工作的意见〉实施细则的通知》</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决策会议公开</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会议名称；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会议时间地点；</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会议结果。</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决策结果公开</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保障性住房领域方案、公示公告、通知等。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规划计划</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中长期规划</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保障性住房专项规划。</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年度计划</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年度建设计划任务量：开工套数、基本建成套数；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年度计划项目：项目名称、建设地点、总建筑面积、住宅面积、计划开工时间、计划竣工时间。</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建设管理</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立项信息</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项目名称；建设地点；投资金额；计划安排。</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开工项目清单</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项目名称；建设地址；建设方式；建设总套数；开工时间；年度计划开工套数、实际开工套数；年度计划基本建成套数；建设、设计、施工和监理单位名称等。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基本建成项目清单</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项目名称；建设地址；建设单位；竣工套数；竣工时间等。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竣工项目清单</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项目名称；建设地址；建设单位；竣工套数；竣工时间等。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配套设施建设情况</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项目名称；建设地址；建设方式；开工时间；建设、设计、施工和监理单位名称等。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配给管理</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保障性住房申请受理</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申请受理公告；</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申请条件、程序、期限和所需材料；</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租赁补贴发放计划。</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r>
              <w:rPr>
                <w:rFonts w:ascii="仿宋_GB2312" w:hAnsi="宋体" w:eastAsia="仿宋_GB2312"/>
                <w:color w:val="000000"/>
                <w:sz w:val="18"/>
                <w:szCs w:val="18"/>
              </w:rPr>
              <w:t xml:space="preserve">                           </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公租房承租资格审核</w:t>
            </w:r>
          </w:p>
        </w:tc>
        <w:tc>
          <w:tcPr>
            <w:tcW w:w="1800"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申请受理；</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审核结果：申请对象姓名、身份证号</w:t>
            </w:r>
            <w:r>
              <w:rPr>
                <w:rFonts w:ascii="仿宋_GB2312" w:hAnsi="宋体" w:eastAsia="仿宋_GB2312"/>
                <w:color w:val="000000"/>
                <w:sz w:val="18"/>
                <w:szCs w:val="18"/>
              </w:rPr>
              <w:t>(</w:t>
            </w:r>
            <w:r>
              <w:rPr>
                <w:rFonts w:hint="eastAsia" w:ascii="仿宋_GB2312" w:hAnsi="宋体" w:eastAsia="仿宋_GB2312"/>
                <w:color w:val="000000"/>
                <w:sz w:val="18"/>
                <w:szCs w:val="18"/>
              </w:rPr>
              <w:t>隐藏部分号码</w:t>
            </w:r>
            <w:r>
              <w:rPr>
                <w:rFonts w:ascii="仿宋_GB2312" w:hAnsi="宋体" w:eastAsia="仿宋_GB2312"/>
                <w:color w:val="000000"/>
                <w:sz w:val="18"/>
                <w:szCs w:val="18"/>
              </w:rPr>
              <w:t>)</w:t>
            </w:r>
            <w:r>
              <w:rPr>
                <w:rFonts w:hint="eastAsia" w:ascii="仿宋_GB2312" w:hAnsi="宋体" w:eastAsia="仿宋_GB2312"/>
                <w:color w:val="000000"/>
                <w:sz w:val="18"/>
                <w:szCs w:val="18"/>
              </w:rPr>
              <w:t>、申请房源类型；</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公租房租赁补贴或租金减免审批</w:t>
            </w:r>
          </w:p>
        </w:tc>
        <w:tc>
          <w:tcPr>
            <w:tcW w:w="1800" w:type="dxa"/>
            <w:vMerge w:val="continue"/>
            <w:tcBorders>
              <w:top w:val="single" w:color="auto" w:sz="4" w:space="0"/>
              <w:left w:val="single" w:color="auto" w:sz="4" w:space="0"/>
              <w:right w:val="single" w:color="auto" w:sz="4" w:space="0"/>
            </w:tcBorders>
            <w:vAlign w:val="center"/>
          </w:tcP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经济适用住房购买资格审核</w:t>
            </w:r>
          </w:p>
        </w:tc>
        <w:tc>
          <w:tcPr>
            <w:tcW w:w="1800" w:type="dxa"/>
            <w:vMerge w:val="continue"/>
            <w:tcBorders>
              <w:top w:val="single" w:color="auto" w:sz="4" w:space="0"/>
              <w:left w:val="single" w:color="auto" w:sz="4" w:space="0"/>
              <w:right w:val="single" w:color="auto" w:sz="4" w:space="0"/>
            </w:tcBorders>
            <w:vAlign w:val="center"/>
          </w:tcP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配给管理</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房源信息</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项目名称；保障性住房类型；竣工日期；地址；住房套数；待分配套数；已分配套数；套型；面积；配租配售价格；分配日期等。</w:t>
            </w:r>
          </w:p>
        </w:tc>
        <w:tc>
          <w:tcPr>
            <w:tcW w:w="33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tcBorders>
              <w:top w:val="single" w:color="auto" w:sz="4" w:space="0"/>
              <w:left w:val="single" w:color="auto" w:sz="4" w:space="0"/>
              <w:right w:val="single" w:color="auto" w:sz="4" w:space="0"/>
            </w:tcBorders>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选房或摇号公告</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公告名称；发布部门；发布日期；正文，包括时间、地点、流程、注意事项等。</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分配结果</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保障对象姓名；保障性住房类型；房号、面积、套型；所在建设项目名称等。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办理配租配售公告</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公告名称；发布部门；发布日期；正文，包括时间、地点、流程、注意事项等。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公租房资格定期审核</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年审或定期审核家庭信息，含保障对象编号、姓名、身份证号﹝隐藏部分号码﹞；配租房源；套型；面积；是否审核通过；未通过原因等。</w:t>
            </w:r>
          </w:p>
        </w:tc>
        <w:tc>
          <w:tcPr>
            <w:tcW w:w="33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《公共租赁住房管理办法》、《国务院办公厅关于推进公共资源配置领域政府信息公开的意见》</w:t>
            </w:r>
          </w:p>
        </w:tc>
        <w:tc>
          <w:tcPr>
            <w:tcW w:w="13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自愿退出</w:t>
            </w:r>
          </w:p>
        </w:tc>
        <w:tc>
          <w:tcPr>
            <w:tcW w:w="1800"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原保障对象姓名、身份证号（隐藏部分号码）；原租购项目名称、地址、类型、套型、面积等；原享受补贴面积、标准等。</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到期退出</w:t>
            </w:r>
          </w:p>
        </w:tc>
        <w:tc>
          <w:tcPr>
            <w:tcW w:w="1800" w:type="dxa"/>
            <w:vMerge w:val="continue"/>
            <w:tcBorders>
              <w:top w:val="single" w:color="auto" w:sz="4" w:space="0"/>
              <w:left w:val="single" w:color="auto" w:sz="4" w:space="0"/>
              <w:right w:val="single" w:color="auto" w:sz="4" w:space="0"/>
            </w:tcBorders>
            <w:vAlign w:val="center"/>
          </w:tcP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不符合条件退出</w:t>
            </w:r>
          </w:p>
        </w:tc>
        <w:tc>
          <w:tcPr>
            <w:tcW w:w="1800" w:type="dxa"/>
            <w:vMerge w:val="continue"/>
            <w:tcBorders>
              <w:top w:val="single" w:color="auto" w:sz="4" w:space="0"/>
              <w:left w:val="single" w:color="auto" w:sz="4" w:space="0"/>
              <w:right w:val="single" w:color="auto" w:sz="4" w:space="0"/>
            </w:tcBorders>
            <w:vAlign w:val="center"/>
          </w:tcP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违规处罚退出</w:t>
            </w:r>
          </w:p>
        </w:tc>
        <w:tc>
          <w:tcPr>
            <w:tcW w:w="1800" w:type="dxa"/>
            <w:vMerge w:val="continue"/>
            <w:tcBorders>
              <w:top w:val="single" w:color="auto" w:sz="4" w:space="0"/>
              <w:left w:val="single" w:color="auto" w:sz="4" w:space="0"/>
              <w:right w:val="single" w:color="auto" w:sz="4" w:space="0"/>
            </w:tcBorders>
            <w:vAlign w:val="center"/>
          </w:tcP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26</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租赁补贴发放</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保障对象姓名、身份证号（隐藏部分号码）；发放金额；发放年度、月份、日期；发放方式。</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27</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租金收取</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保障对象姓名、身份证号（隐藏部分号码）；应缴租金；实收租金；未足额收取原因；租金年度、月份；收取日期；收取方式。</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28</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租金减免</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保障对象姓名、身份证号（隐藏部分号码）；保障项目名称、类型、套型、面积；原应缴租金标准、现应缴租金标准。</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29</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腾退管理</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腾退对象；腾退日期；腾退原因；实退租金。</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30</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房屋维修</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维修内容；维修标准；维修资金来源渠道；维修单位名称；联系人，联系方式。</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31</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保障性住房调整</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保障对象姓名、身份证号（隐藏部分号码）；调整前和调整后保障项目名称、类型、套型、面积等；不予调整原因。</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32</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运营承接主体管理</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单位名称；获取运营资格方式；运营承接主体统一社会信用代码；负责人姓名；办公地址、联系电话；注册资金；服务范围；监督考核情况等。</w:t>
            </w:r>
          </w:p>
        </w:tc>
        <w:tc>
          <w:tcPr>
            <w:tcW w:w="3332"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《经济适用住房管理办法》、《公共租赁住房管理办法》、《国务院办公厅关于推进公共资源配置领域政府信息公开的意见》</w:t>
            </w:r>
          </w:p>
        </w:tc>
        <w:tc>
          <w:tcPr>
            <w:tcW w:w="1305"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33</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办事指南</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申请保障</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申请条件；申请所需材料及范本；申请流程和办理时限；申请受理（办理）机构；受理地点；咨询电话、监督电话等。</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34</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合同备案</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合同范本；备案机构；受理地点；咨询电话等。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35</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申请租金减免</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申请所需材料及范本；申请流程和办理时限；申请受理（办理）机构；受理地点；咨询电话、监督电话等。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36</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办事指南</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缴纳租金</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租金标准；缴纳方式、时限；受理（办理）机构；咨询电话、监督电话等。</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37</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保障性住房调换</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申请所需材料及范本；申请方式、流程；申请受理（办理）机构；受理地点；咨询电话、监督电话等。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38</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自愿退出</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申请所需材料及范本；申请方式、流程；申请受理（办理）机构；受理地点；咨询电话、监督电话等。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39</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政策解读</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解读主体；解读内容；解读方式；解读时间等。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40</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回应关切</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主动回应</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公众提出的意见建议及回复情况；公开突发事件应对情况等。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41</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回应关切</w:t>
            </w:r>
          </w:p>
        </w:tc>
        <w:tc>
          <w:tcPr>
            <w:tcW w:w="1274"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在收集分析研判舆情的基础上，针对舆论关注的焦点、热点和关键问题的互动回应内容。</w:t>
            </w:r>
          </w:p>
        </w:tc>
        <w:tc>
          <w:tcPr>
            <w:tcW w:w="3332"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42</w:t>
            </w:r>
          </w:p>
        </w:tc>
        <w:tc>
          <w:tcPr>
            <w:tcW w:w="72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评价结果</w:t>
            </w: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上级评价、表彰情况</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上级对本地区保障性住房领域年度工作完成情况的评价、通报、排名；获上级表彰、入围上级推广示范情况等。</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43</w:t>
            </w:r>
          </w:p>
        </w:tc>
        <w:tc>
          <w:tcPr>
            <w:tcW w:w="720" w:type="dxa"/>
            <w:vMerge w:val="continue"/>
            <w:tcBorders>
              <w:top w:val="single" w:color="auto" w:sz="4" w:space="0"/>
              <w:left w:val="single" w:color="auto" w:sz="4" w:space="0"/>
              <w:right w:val="single" w:color="auto" w:sz="4" w:space="0"/>
            </w:tcBorders>
            <w:vAlign w:val="center"/>
          </w:tcPr>
          <w:p/>
        </w:tc>
        <w:tc>
          <w:tcPr>
            <w:tcW w:w="1274"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社会评价情况</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公众对保障性住房工作满意度评价。</w:t>
            </w:r>
          </w:p>
        </w:tc>
        <w:tc>
          <w:tcPr>
            <w:tcW w:w="3332" w:type="dxa"/>
            <w:vMerge w:val="continue"/>
            <w:tcBorders>
              <w:top w:val="single" w:color="auto" w:sz="4" w:space="0"/>
              <w:left w:val="single" w:color="auto" w:sz="4" w:space="0"/>
              <w:right w:val="single" w:color="auto" w:sz="4" w:space="0"/>
            </w:tcBorders>
            <w:vAlign w:val="center"/>
          </w:tcPr>
          <w:p/>
        </w:tc>
        <w:tc>
          <w:tcPr>
            <w:tcW w:w="1305" w:type="dxa"/>
            <w:vMerge w:val="continue"/>
            <w:tcBorders>
              <w:top w:val="single" w:color="auto" w:sz="4" w:space="0"/>
              <w:left w:val="single" w:color="auto" w:sz="4" w:space="0"/>
              <w:right w:val="single" w:color="auto" w:sz="4" w:space="0"/>
            </w:tcBorders>
            <w:vAlign w:val="center"/>
          </w:tcPr>
          <w:p/>
        </w:tc>
        <w:tc>
          <w:tcPr>
            <w:tcW w:w="1123" w:type="dxa"/>
            <w:vMerge w:val="continue"/>
            <w:tcBorders>
              <w:top w:val="single" w:color="auto" w:sz="4" w:space="0"/>
              <w:left w:val="single" w:color="auto" w:sz="4" w:space="0"/>
              <w:right w:val="single" w:color="auto" w:sz="4" w:space="0"/>
            </w:tcBorders>
            <w:vAlign w:val="center"/>
          </w:tcPr>
          <w:p/>
        </w:tc>
        <w:tc>
          <w:tcPr>
            <w:tcW w:w="1246"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bl>
    <w:p/>
    <w:p/>
    <w:p>
      <w:pPr>
        <w:jc w:val="center"/>
        <w:rPr>
          <w:sz w:val="32"/>
          <w:szCs w:val="32"/>
        </w:rPr>
      </w:pPr>
      <w:r>
        <w:rPr>
          <w:rFonts w:hint="eastAsia"/>
          <w:sz w:val="32"/>
          <w:szCs w:val="32"/>
        </w:rPr>
        <w:t>（十五）国有土地上房屋征收与补偿领域基层政务公开标准目录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1800"/>
        <w:gridCol w:w="3240"/>
        <w:gridCol w:w="1260"/>
        <w:gridCol w:w="1381"/>
        <w:gridCol w:w="1139"/>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32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81"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139"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800" w:type="dxa"/>
            <w:vMerge w:val="continue"/>
            <w:tcBorders>
              <w:top w:val="single" w:color="auto" w:sz="4" w:space="0"/>
              <w:left w:val="single" w:color="auto" w:sz="4" w:space="0"/>
              <w:right w:val="single" w:color="auto" w:sz="4" w:space="0"/>
            </w:tcBorders>
            <w:vAlign w:val="center"/>
          </w:tcPr>
          <w:p/>
        </w:tc>
        <w:tc>
          <w:tcPr>
            <w:tcW w:w="3240" w:type="dxa"/>
            <w:vMerge w:val="continue"/>
            <w:tcBorders>
              <w:top w:val="single" w:color="auto" w:sz="4" w:space="0"/>
              <w:left w:val="single" w:color="auto" w:sz="4" w:space="0"/>
              <w:right w:val="single" w:color="auto" w:sz="4" w:space="0"/>
            </w:tcBorders>
            <w:vAlign w:val="center"/>
          </w:tcPr>
          <w:p/>
        </w:tc>
        <w:tc>
          <w:tcPr>
            <w:tcW w:w="1260" w:type="dxa"/>
            <w:vMerge w:val="continue"/>
            <w:tcBorders>
              <w:top w:val="single" w:color="auto" w:sz="4" w:space="0"/>
              <w:left w:val="single" w:color="auto" w:sz="4" w:space="0"/>
              <w:right w:val="single" w:color="auto" w:sz="4" w:space="0"/>
            </w:tcBorders>
            <w:vAlign w:val="center"/>
          </w:tcPr>
          <w:p/>
        </w:tc>
        <w:tc>
          <w:tcPr>
            <w:tcW w:w="1381" w:type="dxa"/>
            <w:vMerge w:val="continue"/>
            <w:tcBorders>
              <w:top w:val="single" w:color="auto" w:sz="4" w:space="0"/>
              <w:left w:val="single" w:color="auto" w:sz="4" w:space="0"/>
              <w:right w:val="single" w:color="auto" w:sz="4" w:space="0"/>
            </w:tcBorders>
            <w:vAlign w:val="center"/>
          </w:tcPr>
          <w:p/>
        </w:tc>
        <w:tc>
          <w:tcPr>
            <w:tcW w:w="1139"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国家层面法规政策</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区政府及房屋征收部门</w:t>
            </w:r>
          </w:p>
        </w:tc>
        <w:tc>
          <w:tcPr>
            <w:tcW w:w="1139"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地方层面法规政策</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地方性法规；地方政府规章；规范性文件</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区政府及房屋征收部门</w:t>
            </w:r>
          </w:p>
        </w:tc>
        <w:tc>
          <w:tcPr>
            <w:tcW w:w="1139"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征收</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启动要件</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征收项目符合公共利益的相关材料</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四规划一计划</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381"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区政府</w:t>
            </w:r>
            <w:r>
              <w:rPr>
                <w:rFonts w:hint="eastAsia" w:ascii="仿宋_GB2312" w:hAnsi="宋体" w:eastAsia="仿宋_GB2312"/>
                <w:color w:val="000000"/>
                <w:sz w:val="18"/>
                <w:szCs w:val="18"/>
              </w:rPr>
              <w:t>及相关部门</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■其他</w:t>
            </w:r>
            <w:r>
              <w:rPr>
                <w:rFonts w:ascii="仿宋_GB2312" w:hAnsi="宋体" w:eastAsia="仿宋_GB2312"/>
                <w:color w:val="000000"/>
                <w:sz w:val="18"/>
                <w:szCs w:val="18"/>
              </w:rPr>
              <w:t>_</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社会稳定风险评估</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社会稳定风险评估结果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■其他</w:t>
            </w:r>
            <w:r>
              <w:rPr>
                <w:rFonts w:ascii="仿宋_GB2312" w:hAnsi="宋体" w:eastAsia="仿宋_GB2312"/>
                <w:color w:val="000000"/>
                <w:sz w:val="18"/>
                <w:szCs w:val="18"/>
              </w:rPr>
              <w:t>_</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征收</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房屋调查登记</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入户调查通知；调查结果；认定结果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征收范围未经登记建筑和临时建筑认定、被征收人入户调查通知、调查结果、认定结果</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区政府及房屋征收部门</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房屋征收补偿方案拟订</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论证结论</w:t>
            </w:r>
            <w:r>
              <w:rPr>
                <w:rFonts w:ascii="仿宋_GB2312" w:hAnsi="宋体" w:eastAsia="仿宋_GB2312"/>
                <w:color w:val="000000"/>
                <w:sz w:val="18"/>
                <w:szCs w:val="18"/>
              </w:rPr>
              <w:t>;</w:t>
            </w:r>
            <w:r>
              <w:rPr>
                <w:rFonts w:hint="eastAsia" w:ascii="仿宋_GB2312" w:hAnsi="宋体" w:eastAsia="仿宋_GB2312"/>
                <w:color w:val="000000"/>
                <w:sz w:val="18"/>
                <w:szCs w:val="18"/>
              </w:rPr>
              <w:t>征求意见情况</w:t>
            </w:r>
            <w:r>
              <w:rPr>
                <w:rFonts w:ascii="仿宋_GB2312" w:hAnsi="宋体" w:eastAsia="仿宋_GB2312"/>
                <w:color w:val="000000"/>
                <w:sz w:val="18"/>
                <w:szCs w:val="18"/>
              </w:rPr>
              <w:t>;</w:t>
            </w:r>
            <w:r>
              <w:rPr>
                <w:rFonts w:hint="eastAsia" w:ascii="仿宋_GB2312" w:hAnsi="宋体" w:eastAsia="仿宋_GB2312"/>
                <w:color w:val="000000"/>
                <w:sz w:val="18"/>
                <w:szCs w:val="18"/>
              </w:rPr>
              <w:t>根据公众意见修改情况</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个工作日内予以公开；征求意见期限不得少于</w:t>
            </w:r>
            <w:r>
              <w:rPr>
                <w:rFonts w:ascii="仿宋_GB2312" w:hAnsi="宋体" w:eastAsia="仿宋_GB2312"/>
                <w:color w:val="000000"/>
                <w:sz w:val="18"/>
                <w:szCs w:val="18"/>
              </w:rPr>
              <w:t>30</w:t>
            </w:r>
            <w:r>
              <w:rPr>
                <w:rFonts w:hint="eastAsia" w:ascii="仿宋_GB2312" w:hAnsi="宋体" w:eastAsia="仿宋_GB2312"/>
                <w:color w:val="000000"/>
                <w:sz w:val="18"/>
                <w:szCs w:val="18"/>
              </w:rPr>
              <w:t>日</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■其他</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房屋征收决定</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房屋征收决定公告（包括补偿方案和行政复议、行政诉讼权利等事项）。</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评估</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房地产估价机构确定</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房地产估价机构选定或确定通知</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房地产估价机构报名通知选定或确定通知</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p>
            <w:pPr>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被征收房屋评估</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分户的初步评估结果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被征收人分户的初步评估结果</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Merge w:val="continue"/>
            <w:tcBorders>
              <w:top w:val="single" w:color="auto" w:sz="4" w:space="0"/>
              <w:left w:val="single" w:color="auto" w:sz="4" w:space="0"/>
              <w:right w:val="single" w:color="auto" w:sz="4" w:space="0"/>
            </w:tcBorders>
            <w:vAlign w:val="center"/>
          </w:tcP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补偿</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分户补偿情况</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分户补偿结果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被征收人分户补偿结果</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补偿</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产权调换房屋</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房源信息；选房办法；选房结果。</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房屋征收补偿决定</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房屋征收补偿决定公告。</w:t>
            </w:r>
          </w:p>
        </w:tc>
        <w:tc>
          <w:tcPr>
            <w:tcW w:w="324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pStyle w:val="2"/>
        <w:jc w:val="center"/>
        <w:rPr>
          <w:rFonts w:hint="eastAsia" w:ascii="宋体" w:eastAsia="宋体" w:cs="宋体"/>
          <w:b w:val="0"/>
          <w:bCs w:val="0"/>
          <w:sz w:val="32"/>
          <w:szCs w:val="32"/>
        </w:rPr>
      </w:pPr>
      <w:bookmarkStart w:id="1" w:name="_Toc24724719"/>
      <w:r>
        <w:rPr>
          <w:rFonts w:hint="eastAsia" w:ascii="宋体" w:eastAsia="宋体" w:cs="宋体"/>
          <w:b w:val="0"/>
          <w:bCs w:val="0"/>
          <w:sz w:val="32"/>
          <w:szCs w:val="32"/>
        </w:rPr>
        <w:t>（十六）农村危房改造领域基层政务公开标准目录</w:t>
      </w:r>
    </w:p>
    <w:bookmarkEnd w:id="1"/>
    <w:tbl>
      <w:tblPr>
        <w:tblStyle w:val="9"/>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900"/>
        <w:gridCol w:w="1260"/>
        <w:gridCol w:w="1980"/>
        <w:gridCol w:w="1800"/>
        <w:gridCol w:w="1402"/>
        <w:gridCol w:w="1440"/>
        <w:gridCol w:w="2018"/>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vMerge w:val="restart"/>
            <w:vAlign w:val="center"/>
          </w:tcPr>
          <w:p>
            <w:pPr>
              <w:widowControl/>
              <w:jc w:val="center"/>
              <w:rPr>
                <w:rFonts w:ascii="Times New Roman" w:hAnsi="Times New Roman"/>
                <w:color w:val="000000"/>
                <w:kern w:val="0"/>
                <w:sz w:val="22"/>
              </w:rPr>
            </w:pPr>
            <w:r>
              <w:rPr>
                <w:rFonts w:ascii="Times New Roman" w:hAnsi="宋体"/>
                <w:color w:val="000000"/>
                <w:kern w:val="0"/>
                <w:sz w:val="22"/>
              </w:rPr>
              <w:t>序号</w:t>
            </w:r>
          </w:p>
        </w:tc>
        <w:tc>
          <w:tcPr>
            <w:tcW w:w="21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02"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018"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right w:val="single" w:color="auto" w:sz="4" w:space="0"/>
            </w:tcBorders>
            <w:vAlign w:val="center"/>
          </w:tcPr>
          <w:p/>
        </w:tc>
        <w:tc>
          <w:tcPr>
            <w:tcW w:w="1800" w:type="dxa"/>
            <w:vMerge w:val="continue"/>
            <w:tcBorders>
              <w:top w:val="single" w:color="auto" w:sz="4" w:space="0"/>
              <w:left w:val="single" w:color="auto" w:sz="4" w:space="0"/>
              <w:right w:val="single" w:color="auto" w:sz="4" w:space="0"/>
            </w:tcBorders>
            <w:vAlign w:val="center"/>
          </w:tcPr>
          <w:p/>
        </w:tc>
        <w:tc>
          <w:tcPr>
            <w:tcW w:w="1402" w:type="dxa"/>
            <w:vMerge w:val="continue"/>
            <w:tcBorders>
              <w:top w:val="single" w:color="auto" w:sz="4" w:space="0"/>
              <w:left w:val="single" w:color="auto" w:sz="4" w:space="0"/>
              <w:right w:val="single" w:color="auto" w:sz="4" w:space="0"/>
            </w:tcBorders>
            <w:vAlign w:val="center"/>
          </w:tcPr>
          <w:p/>
        </w:tc>
        <w:tc>
          <w:tcPr>
            <w:tcW w:w="1440" w:type="dxa"/>
            <w:vMerge w:val="continue"/>
            <w:tcBorders>
              <w:top w:val="single" w:color="auto" w:sz="4" w:space="0"/>
              <w:left w:val="single" w:color="auto" w:sz="4" w:space="0"/>
              <w:right w:val="single" w:color="auto" w:sz="4" w:space="0"/>
            </w:tcBorders>
            <w:vAlign w:val="center"/>
          </w:tcPr>
          <w:p/>
        </w:tc>
        <w:tc>
          <w:tcPr>
            <w:tcW w:w="2018"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ascii="Times New Roman" w:hAnsi="Times New Roman"/>
                <w:color w:val="000000"/>
                <w:kern w:val="0"/>
                <w:sz w:val="16"/>
                <w:szCs w:val="16"/>
              </w:rPr>
            </w:pPr>
            <w:r>
              <w:rPr>
                <w:rFonts w:hint="eastAsia" w:ascii="Times New Roman" w:hAnsi="Times New Roman"/>
                <w:color w:val="000000"/>
                <w:kern w:val="0"/>
                <w:sz w:val="16"/>
                <w:szCs w:val="16"/>
              </w:rPr>
              <w:t>1</w:t>
            </w:r>
          </w:p>
        </w:tc>
        <w:tc>
          <w:tcPr>
            <w:tcW w:w="9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部门文件</w:t>
            </w: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农村危房改造相关文件</w:t>
            </w:r>
          </w:p>
        </w:tc>
        <w:tc>
          <w:tcPr>
            <w:tcW w:w="1980" w:type="dxa"/>
            <w:tcBorders>
              <w:top w:val="single" w:color="auto" w:sz="4" w:space="0"/>
              <w:left w:val="single" w:color="auto" w:sz="4" w:space="0"/>
              <w:right w:val="single" w:color="auto" w:sz="4" w:space="0"/>
            </w:tcBorders>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rPr>
              <w:t>文件分类、生成日期、标题、文号、有效性、关键词和具体内容等</w:t>
            </w:r>
          </w:p>
        </w:tc>
        <w:tc>
          <w:tcPr>
            <w:tcW w:w="1800" w:type="dxa"/>
            <w:tcBorders>
              <w:top w:val="single" w:color="auto" w:sz="4" w:space="0"/>
              <w:left w:val="single" w:color="auto" w:sz="4" w:space="0"/>
              <w:right w:val="single" w:color="auto" w:sz="4" w:space="0"/>
            </w:tcBorders>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rPr>
              <w:t>《政府信息公开条例》、《关于全面推进政务公开工作的意见》及其实施细则</w:t>
            </w:r>
          </w:p>
        </w:tc>
        <w:tc>
          <w:tcPr>
            <w:tcW w:w="1402" w:type="dxa"/>
            <w:tcBorders>
              <w:top w:val="single" w:color="auto" w:sz="4" w:space="0"/>
              <w:left w:val="single" w:color="auto" w:sz="4" w:space="0"/>
              <w:right w:val="single" w:color="auto" w:sz="4" w:space="0"/>
            </w:tcBorders>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widowControl/>
              <w:rPr>
                <w:rFonts w:ascii="黑体" w:hAnsi="宋体" w:eastAsia="黑体" w:cs="宋体"/>
                <w:color w:val="000000"/>
                <w:kern w:val="0"/>
                <w:sz w:val="22"/>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pPr>
              <w:widowControl/>
              <w:rPr>
                <w:rFonts w:ascii="黑体" w:hAnsi="宋体" w:eastAsia="黑体" w:cs="宋体"/>
                <w:kern w:val="0"/>
                <w:sz w:val="22"/>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2" w:hRule="atLeas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2</w:t>
            </w:r>
          </w:p>
        </w:tc>
        <w:tc>
          <w:tcPr>
            <w:tcW w:w="90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政策解读</w:t>
            </w: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上级政策解读</w:t>
            </w:r>
          </w:p>
        </w:tc>
        <w:tc>
          <w:tcPr>
            <w:tcW w:w="1980" w:type="dxa"/>
            <w:vMerge w:val="restart"/>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着重解读政策措施的背景依据、目标任务、主要内容、涉及范围、执行标准，以及注意事项、关键词诠释、惠民利民举措、新旧政策差异等。</w:t>
            </w:r>
          </w:p>
        </w:tc>
        <w:tc>
          <w:tcPr>
            <w:tcW w:w="1800" w:type="dxa"/>
            <w:vMerge w:val="restart"/>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《政府信息公开条例》、《关于全面推进政务公开工作的意见》及其实施细则</w:t>
            </w:r>
          </w:p>
        </w:tc>
        <w:tc>
          <w:tcPr>
            <w:tcW w:w="1402" w:type="dxa"/>
            <w:vMerge w:val="restart"/>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vMerge w:val="restart"/>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vMerge w:val="restart"/>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3</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980" w:type="dxa"/>
            <w:vMerge w:val="continue"/>
            <w:tcBorders>
              <w:top w:val="single" w:color="auto" w:sz="4" w:space="0"/>
              <w:left w:val="single" w:color="auto" w:sz="4" w:space="0"/>
              <w:right w:val="single" w:color="auto" w:sz="4" w:space="0"/>
            </w:tcBorders>
            <w:vAlign w:val="center"/>
          </w:tcPr>
          <w:p/>
        </w:tc>
        <w:tc>
          <w:tcPr>
            <w:tcW w:w="1800" w:type="dxa"/>
            <w:vMerge w:val="continue"/>
            <w:tcBorders>
              <w:top w:val="single" w:color="auto" w:sz="4" w:space="0"/>
              <w:left w:val="single" w:color="auto" w:sz="4" w:space="0"/>
              <w:right w:val="single" w:color="auto" w:sz="4" w:space="0"/>
            </w:tcBorders>
            <w:vAlign w:val="center"/>
          </w:tcPr>
          <w:p/>
        </w:tc>
        <w:tc>
          <w:tcPr>
            <w:tcW w:w="1402" w:type="dxa"/>
            <w:vMerge w:val="continue"/>
            <w:tcBorders>
              <w:top w:val="single" w:color="auto" w:sz="4" w:space="0"/>
              <w:left w:val="single" w:color="auto" w:sz="4" w:space="0"/>
              <w:right w:val="single" w:color="auto" w:sz="4" w:space="0"/>
            </w:tcBorders>
            <w:vAlign w:val="center"/>
          </w:tcPr>
          <w:p/>
        </w:tc>
        <w:tc>
          <w:tcPr>
            <w:tcW w:w="1440" w:type="dxa"/>
            <w:vMerge w:val="continue"/>
            <w:tcBorders>
              <w:top w:val="single" w:color="auto" w:sz="4" w:space="0"/>
              <w:left w:val="single" w:color="auto" w:sz="4" w:space="0"/>
              <w:right w:val="single" w:color="auto" w:sz="4" w:space="0"/>
            </w:tcBorders>
            <w:vAlign w:val="center"/>
          </w:tcPr>
          <w:p/>
        </w:tc>
        <w:tc>
          <w:tcPr>
            <w:tcW w:w="2018"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c>
          <w:tcPr>
            <w:tcW w:w="709" w:type="dxa"/>
            <w:vMerge w:val="continue"/>
            <w:tcBorders>
              <w:top w:val="single" w:color="auto" w:sz="4" w:space="0"/>
              <w:left w:val="single" w:color="auto" w:sz="4" w:space="0"/>
              <w:right w:val="single" w:color="auto" w:sz="4" w:space="0"/>
            </w:tcBorders>
            <w:vAlign w:val="center"/>
          </w:tcPr>
          <w:p/>
        </w:tc>
        <w:tc>
          <w:tcPr>
            <w:tcW w:w="551" w:type="dxa"/>
            <w:vMerge w:val="continue"/>
            <w:tcBorders>
              <w:top w:val="single" w:color="auto" w:sz="4" w:space="0"/>
              <w:left w:val="single" w:color="auto" w:sz="4" w:space="0"/>
              <w:right w:val="single" w:color="auto" w:sz="4" w:space="0"/>
            </w:tcBorders>
            <w:vAlign w:val="center"/>
          </w:tcPr>
          <w:p/>
        </w:tc>
        <w:tc>
          <w:tcPr>
            <w:tcW w:w="720"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4</w:t>
            </w:r>
          </w:p>
        </w:tc>
        <w:tc>
          <w:tcPr>
            <w:tcW w:w="90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计划实施</w:t>
            </w: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任务分配</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及时公开农村危房改造补助农户名单</w:t>
            </w:r>
          </w:p>
        </w:tc>
        <w:tc>
          <w:tcPr>
            <w:tcW w:w="1800" w:type="dxa"/>
            <w:vMerge w:val="restart"/>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《住房城乡建设部 财政部 国务院扶贫办关于加强和完善建档立卡贫困户等重点对象农村危房改造若干问题的通知》等</w:t>
            </w:r>
          </w:p>
        </w:tc>
        <w:tc>
          <w:tcPr>
            <w:tcW w:w="1402"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分配结果确定后20个工作日内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5</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组织培训</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组织开展农村建筑工匠培训文件</w:t>
            </w:r>
          </w:p>
        </w:tc>
        <w:tc>
          <w:tcPr>
            <w:tcW w:w="1800" w:type="dxa"/>
            <w:vMerge w:val="continue"/>
            <w:tcBorders>
              <w:top w:val="single" w:color="auto" w:sz="4" w:space="0"/>
              <w:left w:val="single" w:color="auto" w:sz="4" w:space="0"/>
              <w:right w:val="single" w:color="auto" w:sz="4" w:space="0"/>
            </w:tcBorders>
            <w:vAlign w:val="center"/>
          </w:tcP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6</w:t>
            </w:r>
          </w:p>
        </w:tc>
        <w:tc>
          <w:tcPr>
            <w:tcW w:w="90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农村危房等级评定标准</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农村危房等级评定相关标准</w:t>
            </w:r>
          </w:p>
        </w:tc>
        <w:tc>
          <w:tcPr>
            <w:tcW w:w="180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、《政府信息公开条例》、《住房城乡建设部 财政部关于印发农村危房改造脱贫攻坚三年行动方案的通知》、《住房城乡建设部 财政部 国务院扶贫办关于加强和完善建档立卡贫困户等重点对象农村危房改造若干问题的通知》等</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7</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农村危房改造对象申请条件</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农村危房改造农户申请条件</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8</w:t>
            </w:r>
          </w:p>
        </w:tc>
        <w:tc>
          <w:tcPr>
            <w:tcW w:w="90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9</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农村危房改造竣工合格标准</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农村危房改造竣工验收要求</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10</w:t>
            </w:r>
          </w:p>
        </w:tc>
        <w:tc>
          <w:tcPr>
            <w:tcW w:w="90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对象认定</w:t>
            </w: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危改户认定程序</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农村危房改造申请程序</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11</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认定结果</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认定结果</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12</w:t>
            </w:r>
          </w:p>
        </w:tc>
        <w:tc>
          <w:tcPr>
            <w:tcW w:w="9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预算管理</w:t>
            </w: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预算编制和执行情况</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预算、预算调整、决算、预算执行情况的报告及报表有关内容，部门预算、决算及报表有关内容</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经县级人民代表大会、人民代表大会常务委员会批准或财政部门批复后20日内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13</w:t>
            </w:r>
          </w:p>
        </w:tc>
        <w:tc>
          <w:tcPr>
            <w:tcW w:w="9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w:t>
            </w: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决策部署落实情况等</w:t>
            </w:r>
          </w:p>
        </w:tc>
        <w:tc>
          <w:tcPr>
            <w:tcW w:w="1800"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《关于全面推进政务公开工作的意见》及其实施细则</w:t>
            </w: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14</w:t>
            </w:r>
          </w:p>
        </w:tc>
        <w:tc>
          <w:tcPr>
            <w:tcW w:w="9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年度任务实施</w:t>
            </w: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年度任务执行情况</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年度工作完成情况等</w:t>
            </w:r>
          </w:p>
        </w:tc>
        <w:tc>
          <w:tcPr>
            <w:tcW w:w="1800" w:type="dxa"/>
            <w:vMerge w:val="continue"/>
            <w:tcBorders>
              <w:top w:val="single" w:color="auto" w:sz="4" w:space="0"/>
              <w:left w:val="single" w:color="auto" w:sz="4" w:space="0"/>
              <w:right w:val="single" w:color="auto" w:sz="4" w:space="0"/>
            </w:tcBorders>
            <w:vAlign w:val="center"/>
          </w:tcP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15</w:t>
            </w:r>
          </w:p>
        </w:tc>
        <w:tc>
          <w:tcPr>
            <w:tcW w:w="900" w:type="dxa"/>
            <w:vMerge w:val="restart"/>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舆情收集、热点及关键问题回应</w:t>
            </w:r>
          </w:p>
        </w:tc>
        <w:tc>
          <w:tcPr>
            <w:tcW w:w="126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舆情收集回应</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接受投诉、咨询、建议等联系电话、通信地址等</w:t>
            </w:r>
          </w:p>
        </w:tc>
        <w:tc>
          <w:tcPr>
            <w:tcW w:w="1800"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《政府信息公开条例》、《关于全面推进政务公开工作的意见》及其实施细则</w:t>
            </w:r>
          </w:p>
        </w:tc>
        <w:tc>
          <w:tcPr>
            <w:tcW w:w="1402" w:type="dxa"/>
            <w:tcBorders>
              <w:top w:val="single" w:color="auto" w:sz="4" w:space="0"/>
              <w:left w:val="single" w:color="auto" w:sz="4" w:space="0"/>
              <w:right w:val="single" w:color="auto" w:sz="4" w:space="0"/>
            </w:tcBorders>
            <w:vAlign w:val="center"/>
          </w:tcPr>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w:t>
            </w:r>
          </w:p>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起20个工作日</w:t>
            </w:r>
          </w:p>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内</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16</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98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涉及群众切身利益和舆论关注的焦点、热点及关键问题等回应内容</w:t>
            </w:r>
          </w:p>
        </w:tc>
        <w:tc>
          <w:tcPr>
            <w:tcW w:w="1800" w:type="dxa"/>
            <w:vMerge w:val="continue"/>
            <w:tcBorders>
              <w:top w:val="single" w:color="auto" w:sz="4" w:space="0"/>
              <w:left w:val="single" w:color="auto" w:sz="4" w:space="0"/>
              <w:right w:val="single" w:color="auto" w:sz="4" w:space="0"/>
            </w:tcBorders>
            <w:vAlign w:val="center"/>
          </w:tcPr>
          <w:p/>
        </w:tc>
        <w:tc>
          <w:tcPr>
            <w:tcW w:w="1402"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及时发布信息；对涉及重大舆情的，要快速反应，并根据工作进展情况，持续发布信息。</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olor w:val="000000"/>
                <w:sz w:val="18"/>
                <w:szCs w:val="18"/>
              </w:rPr>
            </w:pPr>
          </w:p>
        </w:tc>
      </w:tr>
    </w:tbl>
    <w:p>
      <w:pPr>
        <w:jc w:val="center"/>
        <w:rPr>
          <w:rFonts w:hint="eastAsia" w:ascii="仿宋_GB2312" w:hAnsi="Times New Roman" w:eastAsia="仿宋_GB2312"/>
          <w:sz w:val="18"/>
          <w:szCs w:val="18"/>
        </w:rPr>
      </w:pPr>
    </w:p>
    <w:p>
      <w:pPr>
        <w:jc w:val="center"/>
        <w:rPr>
          <w:rFonts w:hint="eastAsia"/>
          <w:sz w:val="32"/>
          <w:szCs w:val="32"/>
        </w:rPr>
      </w:pPr>
    </w:p>
    <w:p>
      <w:pPr>
        <w:jc w:val="center"/>
        <w:rPr>
          <w:sz w:val="32"/>
          <w:szCs w:val="32"/>
        </w:rPr>
      </w:pPr>
      <w:r>
        <w:rPr>
          <w:rFonts w:hint="eastAsia"/>
          <w:sz w:val="32"/>
          <w:szCs w:val="32"/>
        </w:rPr>
        <w:t>（十</w:t>
      </w:r>
      <w:r>
        <w:rPr>
          <w:rFonts w:hint="eastAsia"/>
          <w:sz w:val="32"/>
          <w:szCs w:val="32"/>
          <w:lang w:eastAsia="zh-CN"/>
        </w:rPr>
        <w:t>七</w:t>
      </w:r>
      <w:r>
        <w:rPr>
          <w:rFonts w:hint="eastAsia"/>
          <w:sz w:val="32"/>
          <w:szCs w:val="32"/>
        </w:rPr>
        <w:t>）市政服务领域基层政务公开标准目录</w:t>
      </w:r>
    </w:p>
    <w:tbl>
      <w:tblPr>
        <w:tblStyle w:val="9"/>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620"/>
        <w:gridCol w:w="1800"/>
        <w:gridCol w:w="144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right w:val="single" w:color="auto" w:sz="4" w:space="0"/>
            </w:tcBorders>
            <w:vAlign w:val="center"/>
          </w:tcPr>
          <w:p/>
        </w:tc>
        <w:tc>
          <w:tcPr>
            <w:tcW w:w="1800" w:type="dxa"/>
            <w:vMerge w:val="continue"/>
            <w:tcBorders>
              <w:top w:val="single" w:color="auto" w:sz="4" w:space="0"/>
              <w:left w:val="single" w:color="auto" w:sz="4" w:space="0"/>
              <w:right w:val="single" w:color="auto" w:sz="4" w:space="0"/>
            </w:tcBorders>
            <w:vAlign w:val="center"/>
          </w:tcPr>
          <w:p/>
        </w:tc>
        <w:tc>
          <w:tcPr>
            <w:tcW w:w="1620" w:type="dxa"/>
            <w:vMerge w:val="continue"/>
            <w:tcBorders>
              <w:top w:val="single" w:color="auto" w:sz="4" w:space="0"/>
              <w:left w:val="single" w:color="auto" w:sz="4" w:space="0"/>
              <w:right w:val="single" w:color="auto" w:sz="4" w:space="0"/>
            </w:tcBorders>
            <w:vAlign w:val="center"/>
          </w:tcPr>
          <w:p/>
        </w:tc>
        <w:tc>
          <w:tcPr>
            <w:tcW w:w="1800" w:type="dxa"/>
            <w:vMerge w:val="continue"/>
            <w:tcBorders>
              <w:top w:val="single" w:color="auto" w:sz="4" w:space="0"/>
              <w:left w:val="single" w:color="auto" w:sz="4" w:space="0"/>
              <w:right w:val="single" w:color="auto" w:sz="4" w:space="0"/>
            </w:tcBorders>
            <w:vAlign w:val="center"/>
          </w:tcPr>
          <w:p/>
        </w:tc>
        <w:tc>
          <w:tcPr>
            <w:tcW w:w="14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市政设施建设类审批</w:t>
            </w:r>
          </w:p>
        </w:tc>
        <w:tc>
          <w:tcPr>
            <w:tcW w:w="126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占用、挖掘城市道路审批</w:t>
            </w:r>
          </w:p>
        </w:tc>
        <w:tc>
          <w:tcPr>
            <w:tcW w:w="198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仿宋" w:eastAsia="仿宋_GB2312" w:cs="仿宋"/>
                <w:sz w:val="18"/>
                <w:szCs w:val="18"/>
              </w:rPr>
              <w:t>《城市道路管理条例》</w:t>
            </w:r>
          </w:p>
        </w:tc>
        <w:tc>
          <w:tcPr>
            <w:tcW w:w="16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vMerge w:val="restart"/>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eastAsia="仿宋_GB2312"/>
                <w:color w:val="000000"/>
                <w:sz w:val="18"/>
                <w:szCs w:val="18"/>
              </w:rPr>
            </w:pPr>
            <w:r>
              <w:rPr>
                <w:rFonts w:hint="eastAsia" w:ascii="仿宋_GB2312" w:eastAsia="仿宋_GB2312"/>
                <w:color w:val="000000"/>
                <w:sz w:val="18"/>
                <w:szCs w:val="18"/>
              </w:rPr>
              <w:t>依附城市道路建设各种管线及城市桥梁上架设各类市政管线审批</w:t>
            </w:r>
          </w:p>
        </w:tc>
        <w:tc>
          <w:tcPr>
            <w:tcW w:w="1980"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tcBorders>
              <w:top w:val="single" w:color="auto" w:sz="4" w:space="0"/>
              <w:left w:val="single" w:color="auto" w:sz="4" w:space="0"/>
              <w:right w:val="single" w:color="auto" w:sz="4" w:space="0"/>
            </w:tcBorders>
            <w:vAlign w:val="center"/>
          </w:tcPr>
          <w:p>
            <w:pPr>
              <w:rPr>
                <w:rFonts w:ascii="仿宋_GB2312" w:hAnsi="仿宋" w:eastAsia="仿宋_GB2312" w:cs="仿宋"/>
                <w:sz w:val="18"/>
                <w:szCs w:val="18"/>
              </w:rPr>
            </w:pPr>
            <w:r>
              <w:rPr>
                <w:rFonts w:hint="eastAsia" w:ascii="仿宋_GB2312" w:eastAsia="仿宋_GB2312"/>
                <w:color w:val="000000"/>
                <w:sz w:val="18"/>
                <w:szCs w:val="18"/>
              </w:rPr>
              <w:t>《城镇燃气管理条例》</w:t>
            </w:r>
          </w:p>
        </w:tc>
        <w:tc>
          <w:tcPr>
            <w:tcW w:w="1620"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区行政审批局</w:t>
            </w:r>
          </w:p>
        </w:tc>
        <w:tc>
          <w:tcPr>
            <w:tcW w:w="14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特殊车辆在城市道路上行驶</w:t>
            </w:r>
          </w:p>
        </w:tc>
        <w:tc>
          <w:tcPr>
            <w:tcW w:w="198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hAnsi="仿宋" w:eastAsia="仿宋_GB2312" w:cs="仿宋"/>
                <w:sz w:val="18"/>
                <w:szCs w:val="18"/>
              </w:rPr>
              <w:t>《城市道路管理条例》</w:t>
            </w:r>
          </w:p>
        </w:tc>
        <w:tc>
          <w:tcPr>
            <w:tcW w:w="16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城市园林绿化管理</w:t>
            </w:r>
          </w:p>
        </w:tc>
        <w:tc>
          <w:tcPr>
            <w:tcW w:w="126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城市园林绿化行政审批</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对临时占用城市绿化用地，砍伐城市树木，迁移古树名木，改变绿化规划、绿化用地的使用性质等审批事项申请条件、申请材料、申请流程、法定依据、受理机构、办理结果。</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《政府信息公开条例》、《城市绿化条例》、《国务院对确需保留的行政审批项目设定行政许可的决定》</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城市园林绿化行政处罚</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对违规占用城市绿化用地、砍伐城市树木、迁移古树名木等城市绿化违法违规行为的处罚内容、处罚依据、处罚流程和实施机关。对城市绿化违法违规行为的处罚结果。</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《政府信息公开条例》、《城市绿化条例》</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tcPr>
          <w:p>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6</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城市供水、城镇排水与污水处理</w:t>
            </w:r>
          </w:p>
        </w:tc>
        <w:tc>
          <w:tcPr>
            <w:tcW w:w="126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因工程建设需要拆除、改动、迁移供水、排水与污水处理设施审核</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《城市供水条例》《城镇排水与污水处理条例》《国务院关于印发清理规范投资项目报建审批事项实施方案的通知》</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7</w:t>
            </w:r>
          </w:p>
        </w:tc>
        <w:tc>
          <w:tcPr>
            <w:tcW w:w="900" w:type="dxa"/>
            <w:vMerge w:val="restart"/>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城市供水、城镇排水与污水处理</w:t>
            </w: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因工程施工、设备维修等确需停止供水的审批</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《城市供水条例》</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8</w:t>
            </w:r>
          </w:p>
        </w:tc>
        <w:tc>
          <w:tcPr>
            <w:tcW w:w="900" w:type="dxa"/>
            <w:vMerge w:val="continue"/>
            <w:tcBorders>
              <w:top w:val="single" w:color="auto" w:sz="4" w:space="0"/>
              <w:left w:val="single" w:color="auto" w:sz="4" w:space="0"/>
              <w:right w:val="single" w:color="auto" w:sz="4" w:space="0"/>
            </w:tcBorders>
            <w:vAlign w:val="center"/>
          </w:tcPr>
          <w:p/>
        </w:tc>
        <w:tc>
          <w:tcPr>
            <w:tcW w:w="126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对从事工业、建筑、餐饮、医疗等活动的企业事业单位、个体工商户向城镇排水设施排放污水许可的审批</w:t>
            </w:r>
          </w:p>
        </w:tc>
        <w:tc>
          <w:tcPr>
            <w:tcW w:w="198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p>
        </w:tc>
        <w:tc>
          <w:tcPr>
            <w:tcW w:w="180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《城镇排水与污水处理条例》</w:t>
            </w:r>
          </w:p>
        </w:tc>
        <w:tc>
          <w:tcPr>
            <w:tcW w:w="16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bl>
    <w:p/>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r>
        <w:rPr>
          <w:rFonts w:hint="eastAsia"/>
          <w:sz w:val="32"/>
          <w:szCs w:val="32"/>
        </w:rPr>
        <w:t>（十</w:t>
      </w:r>
      <w:r>
        <w:rPr>
          <w:rFonts w:hint="eastAsia"/>
          <w:sz w:val="32"/>
          <w:szCs w:val="32"/>
          <w:lang w:eastAsia="zh-CN"/>
        </w:rPr>
        <w:t>八</w:t>
      </w:r>
      <w:r>
        <w:rPr>
          <w:rFonts w:hint="eastAsia"/>
          <w:sz w:val="32"/>
          <w:szCs w:val="32"/>
        </w:rPr>
        <w:t>）城市综合执法领域基层政务公开标准目录</w:t>
      </w:r>
    </w:p>
    <w:tbl>
      <w:tblPr>
        <w:tblStyle w:val="9"/>
        <w:tblW w:w="14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55"/>
        <w:gridCol w:w="1095"/>
        <w:gridCol w:w="1350"/>
        <w:gridCol w:w="2850"/>
        <w:gridCol w:w="1500"/>
        <w:gridCol w:w="1830"/>
        <w:gridCol w:w="1700"/>
        <w:gridCol w:w="1255"/>
        <w:gridCol w:w="570"/>
        <w:gridCol w:w="516"/>
        <w:gridCol w:w="504"/>
        <w:gridCol w:w="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455"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序号</w:t>
            </w:r>
          </w:p>
        </w:tc>
        <w:tc>
          <w:tcPr>
            <w:tcW w:w="244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公开事项</w:t>
            </w:r>
          </w:p>
        </w:tc>
        <w:tc>
          <w:tcPr>
            <w:tcW w:w="285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公开内容</w:t>
            </w:r>
          </w:p>
        </w:tc>
        <w:tc>
          <w:tcPr>
            <w:tcW w:w="150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公开依据</w:t>
            </w:r>
          </w:p>
        </w:tc>
        <w:tc>
          <w:tcPr>
            <w:tcW w:w="183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公开时限</w:t>
            </w:r>
          </w:p>
        </w:tc>
        <w:tc>
          <w:tcPr>
            <w:tcW w:w="170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公开主体</w:t>
            </w:r>
          </w:p>
        </w:tc>
        <w:tc>
          <w:tcPr>
            <w:tcW w:w="1255"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公开渠道和载体</w:t>
            </w:r>
            <w:r>
              <w:rPr>
                <w:rFonts w:ascii="黑体" w:hAnsi="黑体" w:eastAsia="黑体" w:cs="黑体"/>
                <w:bCs/>
                <w:color w:val="000000"/>
                <w:kern w:val="0"/>
                <w:sz w:val="18"/>
                <w:szCs w:val="18"/>
              </w:rPr>
              <w:t xml:space="preserve">   </w:t>
            </w:r>
          </w:p>
        </w:tc>
        <w:tc>
          <w:tcPr>
            <w:tcW w:w="108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公开对象</w:t>
            </w:r>
          </w:p>
        </w:tc>
        <w:tc>
          <w:tcPr>
            <w:tcW w:w="93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1" w:hRule="atLeast"/>
        </w:trPr>
        <w:tc>
          <w:tcPr>
            <w:tcW w:w="455"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一级事项</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二级事项</w:t>
            </w:r>
          </w:p>
        </w:tc>
        <w:tc>
          <w:tcPr>
            <w:tcW w:w="2850" w:type="dxa"/>
            <w:vMerge w:val="continue"/>
            <w:tcBorders>
              <w:left w:val="single" w:color="000000" w:sz="4" w:space="0"/>
              <w:right w:val="single" w:color="000000" w:sz="4" w:space="0"/>
            </w:tcBorders>
            <w:tcMar>
              <w:top w:w="15" w:type="dxa"/>
              <w:left w:w="15" w:type="dxa"/>
              <w:right w:w="15" w:type="dxa"/>
            </w:tcMar>
            <w:vAlign w:val="center"/>
          </w:tcPr>
          <w:p/>
        </w:tc>
        <w:tc>
          <w:tcPr>
            <w:tcW w:w="1500" w:type="dxa"/>
            <w:vMerge w:val="continue"/>
            <w:tcBorders>
              <w:left w:val="single" w:color="000000" w:sz="4" w:space="0"/>
              <w:right w:val="single" w:color="000000" w:sz="4" w:space="0"/>
            </w:tcBorders>
            <w:tcMar>
              <w:top w:w="15" w:type="dxa"/>
              <w:left w:w="15" w:type="dxa"/>
              <w:right w:w="15" w:type="dxa"/>
            </w:tcMar>
            <w:vAlign w:val="center"/>
          </w:tcPr>
          <w:p/>
        </w:tc>
        <w:tc>
          <w:tcPr>
            <w:tcW w:w="1830" w:type="dxa"/>
            <w:vMerge w:val="continue"/>
            <w:tcBorders>
              <w:left w:val="single" w:color="000000" w:sz="4" w:space="0"/>
              <w:right w:val="single" w:color="000000" w:sz="4" w:space="0"/>
            </w:tcBorders>
            <w:tcMar>
              <w:top w:w="15" w:type="dxa"/>
              <w:left w:w="15" w:type="dxa"/>
              <w:right w:w="15" w:type="dxa"/>
            </w:tcMar>
            <w:vAlign w:val="center"/>
          </w:tcPr>
          <w:p/>
        </w:tc>
        <w:tc>
          <w:tcPr>
            <w:tcW w:w="1700" w:type="dxa"/>
            <w:vMerge w:val="continue"/>
            <w:tcBorders>
              <w:left w:val="single" w:color="000000" w:sz="4" w:space="0"/>
              <w:right w:val="single" w:color="000000" w:sz="4" w:space="0"/>
            </w:tcBorders>
            <w:tcMar>
              <w:top w:w="15" w:type="dxa"/>
              <w:left w:w="15" w:type="dxa"/>
              <w:right w:w="15" w:type="dxa"/>
            </w:tcMar>
            <w:vAlign w:val="center"/>
          </w:tcPr>
          <w:p/>
        </w:tc>
        <w:tc>
          <w:tcPr>
            <w:tcW w:w="1255" w:type="dxa"/>
            <w:vMerge w:val="continue"/>
            <w:tcBorders>
              <w:left w:val="single" w:color="000000" w:sz="4" w:space="0"/>
              <w:right w:val="single" w:color="000000" w:sz="4" w:space="0"/>
            </w:tcBorders>
            <w:tcMar>
              <w:top w:w="15" w:type="dxa"/>
              <w:left w:w="15" w:type="dxa"/>
              <w:right w:w="15" w:type="dxa"/>
            </w:tcMar>
            <w:vAlign w:val="center"/>
          </w:tcP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全社会</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特定群体</w:t>
            </w: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主动</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依申请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不符合预售条件预售商品房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《中华人民共和国城市房地产管理法》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未取得资质等级证书或者超越资质等级从事房地产开发经营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房产测绘单位在房产面积测算中不执行国家标准、规范和规定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房产测绘单位在房产面积测算中弄虚作假、欺骗房屋权利人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房产测绘单位房产面积测算失误，造成重大损失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房地产经纪人员以个人名义承接房地产经纪业务和收取费用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房地产经纪机构提供代办贷款、代办房地产登记等其他服务，未向委托人说明服务内容、收费标准等情况，并未经委托人同意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房地产经纪服务合同未由从事该业务的一名房地产经纪人或者两名房地产经纪人协理签名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房地产经纪机构签订房地产经纪服务合同前，不向交易当事人说明和书面告知规定事项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房地产经纪机构未按照规定如实记录业务情况或者保存房地产经纪服务合同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房地产经纪机构擅自对外发布房源信息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房地产经纪机构擅自划转客户交易结算资金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房地产经纪机构和房地产经纪人员以隐瞒、欺诈、胁迫、贿赂等不正当手段招揽业务，诱骗消费者交易或者强制交易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房地产经纪机构和房地产经纪人员泄露或者不当使用委托人的个人信息或者商业秘密，谋取不正当利益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为交易当事人规避房屋交易税费等非法目的，房地产经纪机构和房地产经纪人员就同一房屋签订不同交易价款的合同提供便利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房地产经纪机构和房地产经纪人员改变房屋内部结构分割出租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房地产经纪机构和房地产经纪人员侵占、挪用房地产交易资金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房地产经纪机构和房地产经纪人员承购、承租自己提供经纪服务的房屋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房地产经纪机构和房地产经纪人员为不符合交易条件的保障性住房和禁止交易的房屋提供经纪服务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房地产经纪机构和房地产经纪人员做出法律、法规禁止的其他行为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申请人隐瞒有关情况或者提供虚假材料申请房地产估价机构资质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以欺骗、贿赂等不正当手段取得房地产估价机构资质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未取得房地产估价机构资质从事房地产估价活动或者超越资质等级承揽估价业务</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一级资质房地产估价机构不按规定设立分支机构，或二、三级资质房地产估价机构设立分支机构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房地产估价机构不按照规定条件设立分支机构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房地产估价机构新设立的分支机构不备案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房地产估价机构不按规定承揽业务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房地产估价机构不按规定出具估价报告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房地产估价机构及其估价人员应当回避未回避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房地产估价机构涂改、倒卖、出租、出借或者以其他形式非法转让资质证书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房地产估价机构超越资质等级业务范围承接房地产估价业务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房地产估价机构以迎合高估或者低估要求、给予回扣、恶意压低收费等方式进行不正当竞争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房地产估价机构违反房地产估价规范和标准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房地产估价机构出具有虚假记载、误导性陈述或者重大遗漏的估价报告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房地产估价机构擅自设立分支机构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房地产估价机构未经委托人书面同意，擅自转让受托的估价业务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房地产估价机构有法律、法规禁止的其他行为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公共租赁住房的所有权人及其委托的运营单位向不符合条件的对象出租公共租赁住房的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公共租赁住房的所有权人及其委托的运营单位未履行公共租赁住房及其配套设施维修养护义务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公共租赁住房的所有权人及其委托的运营单位改变公共租赁住房的保障性住房性质、用途，以及配套设施的规划用途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申请人以欺骗等不正手段，登记为轮候对象或者承租公共租赁住房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承租人转借、转租或者擅自调换所承租公共租赁住房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承租人改变所承租公共租赁住房用途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承租人破坏或者擅自装修所承租公共租赁住房，拒不恢复原状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承租人在公共租赁住房内从事违法活动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承租人无正当理由连续</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个月以上闲置公共租赁住房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房地产经纪机构及其经纪人员提供公共租赁住房出租、转租、出售等经纪业务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出租属于违法建筑的房屋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出租不符合安全、防灾等工程建设强制性标准的房屋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出租违反规定改变房屋使用性质的房屋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出租法律、法规规定禁止出租的房屋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未以原设计的房间为最小出租单位，或人均租住建筑面积低于当地人民政府规定的最低标准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出租厨房、卫生间、阳台和地下储藏室供人员居住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房屋租赁合同订立后三十日内，房屋租赁当事人未按规定办理房屋租赁登记备案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房屋租赁登记备案内容发生变化、续租或者租赁终止后三十日内，当事人未按规定办理房屋租赁登记备案的变更、延续或者注销手续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公有住房售房单位未按规定交存首期住宅专项维修资金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未按规定交存首期住宅专项维修资金，公有住房售房单位将房屋交付买受人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公有住房售房单位未按规定分摊维修、更新、改造费用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未按规定交存首期住宅专项维修资金，开发建设单位将房屋交付买受人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开发建设单位未按规定分摊维修、更新和改造费用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挪用住宅专项维修资金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城市低收入住房困难家庭隐瞒有关情况或者提供虚假材料申请廉租住房保障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对以欺骗等不正当手段，取得审核同意或者获得廉租住房保障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隐瞒有关情况或者提供虚假材料申请房地产估价师注册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注册房地产估价师聘用单位为申请人提供虚假注册材料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未经注册，擅自以注册房地产估价师名义从事房地产估价活动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注册房地产估价师未办理变更注册仍执业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注册房地产估价师不履行注册房地产估价师义务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注册房地产估价师在执业过程中，索贿、受贿或者谋取合同约定费用外的其他利益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注册房地产估价师签署有虚假记载、误导性陈述或者重大遗漏的估价报告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注册房地产估价师在估价报告中隐瞒或者歪曲事实</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注册房地产估价师允许他人以自己的名义从事房地产估价业务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注册房地产估价师同时在</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个或者</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个以上房地产估价机构执业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注册房地产估价师以个人名义承揽房地产估价业务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注册房地产估价师涂改、出租、出借或者以其他形式非法转让注册证书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注册房地产估价师超出聘用单位业务范围从事房地产估价活动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注册房地产估价师严重损害他人利益、名誉的行为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注册房地产估价师有法律、法规禁止的其他行为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注册房地产估价师或者其聘用单位未按照要求提供房地产估价师信用档案信息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开发企业未取得《商品房预售许可证》预售商品房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开发企业不按规定使用商品房预售款项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开发企业隐瞒有关情况、提供虚假材料，或者采用欺骗、贿赂等不正当手段取得商品房预售许可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不具备条件的单位从事白蚁防治业务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白蚁防治单位未建立健全白蚁防治质量保证体系，未严格按照国家和地方有关城市房屋白蚁防治的施工技术规范和操作程序进行防治</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白蚁防治单位违反规定，使用不合格药物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房地产开发企业在进行商品房销</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预</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售时未向购房人出具该项目的《白蚁预防合同》或者其他实施房屋白蚁预防的证明文件，或提供的《住宅质量保证书》中未包括白蚁预防质量保证的内容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原有房屋和超过白蚁预防包治期限的房屋发生蚁害的，房屋所有人、使用人或者房屋管理单位未委托白蚁防治单位进行灭治或未配合白蚁防治单位进行白蚁的检查和灭治工作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装修人未申报登记进行住宅室内装饰装修活动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装修人将住宅室内装饰装修工程委托给不具有相应资质等级企业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将没有防水要求的房间或者阳台改为卫生间、厨房间的，或者拆除连接阳台的砖、混凝土墙体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损坏房屋原有节能设施或者降低节能效果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擅自拆改供暖、燃气管道和设施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r>
              <w:rPr>
                <w:rFonts w:hint="eastAsia" w:ascii="仿宋" w:hAnsi="仿宋" w:eastAsia="仿宋" w:cs="仿宋_GB2312"/>
                <w:bCs/>
                <w:sz w:val="18"/>
                <w:szCs w:val="18"/>
              </w:rPr>
              <w:t>《城镇燃气管理条例》、《河北省燃气管理条例》、《河北省供热用热办法》《石家庄市供热用热条例》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未经原设计单位或者具有相应资质等级的设计单位提出设计方案，擅自超过设计标准或者规范增加楼面荷载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装饰装修企业违反国家有关安全生产规定和安全生产技术规程，不按照规定采取必要的安全防护和消防措施，擅自动用明火作业和进行焊接作业，或者对建筑安全事故隐患不采取措施予以消除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物业管理单位发现装修人或者装饰装修企业有违反规定的行为不及时向有关部门报告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将安装有淘汰便器水箱和配件的新建房屋验收交付使用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未按更新改造计划更换淘汰便器水箱和配件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在限定的期限内未更换淘汰便器水箱和配件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对漏水严重的房屋便器水箱和配件未按期进行维修或者更新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在利用房地产权属档案的过程中，损毁、丢失、涂改、伪造房地产权属档案或者擅自提供、抄录、公布、销毁房地产权属档案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企事业组织或者个人擅自出卖或者转让房地产权属档案的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未取得房地产开发企业资质证书，擅自销售商品房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在未解除商品房买卖合同前，将作为合同标的物的商品房再行销售给他人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房地产开发企业将未组织竣工验收、验收不合格或者对不合格按合格验收的商品房擅自交付使用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房地产开发企业未按规定将测绘成果或者需要由其提供的办理房屋权属登记的资料报送房地产行政主管部门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房地产开发企业在销售商品房中未按照规定的现售条件现售商品房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房地产开发企业在销售商品房中未按照规定在商品房现售前将房地产开发项目手册及符合商品房现售条件的有关证明文件报送房地产开发主管部门备案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房地产开发企业在销售商品房中返本销售或者变相返本销售商品房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房地产开发企业在销售商品房中在销售商品房中采取售后包租或者变相售后包租方式销售未竣工商品房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房地产开发企业在销售商品房中分割拆零销售商品住宅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房地产开发企业在销售商品房中不符合商品房销售条件，向买受人收取预订款性质费用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房地产开发企业在销售商品房中未按照规定向买受人明示《商品房销售管理办法》、《商品房买卖合同示范文本》、《城市商品房预售管理办法》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房地产开发企业在销售商品房中委托没有资格的机构代理销售商品房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房地产中介服务机构代理销售不符合销售条件的商品房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企业未取得资质证书从事房地产开发经营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企业超越资质等级从事房地产开发经营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企业隐瞒真实情况、弄虚作假骗取资质证书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企业涂改、出租、出借、转让、出卖资质证书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企业开发建设的项目工程质量低劣，发生重大工程质量事故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开发企业在商品住宅销售中不按照规定发放《住宅质量保证书》和《住宅使用说明书》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企业不按照规定办理变更手续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将不准上市出售的已购公有住房和经济适用住房上市出售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将已购公有住房和经济适用住房上市出售后，该户家庭又以非法手段按照成本价（或者标准价）购买公有住房或者政府提供优惠政策建设的住房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未取得施工许可证或者开工报告未经批准擅自施工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发包单位将工程发包给不具有相应资质条件的承包单位的，或者违反本法规定将建筑工程肢解发包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180"/>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超越本单位资质等级承揽工程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未取得资质证书承揽工程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以欺骗手段取得资质证书承揽工程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建筑施工企业转让、出借资质证书或者以其他方式允许他人以本企业的名义承揽工程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承包单位将承包的工程转包，或者违法分包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在工程发包与承包中索贿、受贿、行贿，且不构成犯罪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工程监理单位与建设单位或者建筑施工企业串通，弄虚作假、降低工程质量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工程监理单位转让监理业务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涉及建筑主体或者承重结构变动的装修工程擅自施工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建筑施工企业对建筑安全事故隐患不采取措施予以消除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建设单位要求建筑设计单位或者建筑施工企业违反建筑工程质量、安全标准，降低工程质量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建筑设计单位不按照建筑工程质量、安全标准进行设计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建筑施工企业在施工中偷工减料，使用不合格的建筑材料、建筑构配件和设备，或者有其他不按照工程设计图纸或者施工技术标准施工的行为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建筑施工企业不履行保修义务或者拖延履行保修义务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建设单位违反建筑节能标准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设计单位、施工单位、监理单位违反建筑节能标准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房地产开发企业在销售房屋时未向购买人明示所售房屋的节能措施、保温工程保修期等信息；或对以上信息作虚假宣传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建设单位将建设工程发包给不具有相应资质等级的勘察、设计、施工单位或者委托给不具有相应资质等级的工程监理单位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将建筑工程肢解发包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建设单位迫使承包方以低于成本的价格竞标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建设单位任意压缩合理工期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建设单位明示或者暗示设计单位或者施工单位违反工程建设强制性标准，降低工程质量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《实施工程建设强制性标准监督规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建设单位施工图设计文件未经审查或者审查不合格，擅自施工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建设项目必须实行工程监理而未实行工程监理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建设单位未按照国家规定办理工程质量监督手续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建设单位明示或者暗示施工单位使用不合格的建筑材料、建筑构配件和设备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《实施工程建设强制性标准监督规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建设单位未按照国家规定将竣工验收报告、有关认可文件或者准许使用文件报送备案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未组织竣工验收，建设单位擅自交付使用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验收不合格，建设单位擅自交付使用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建设单位对不合格的建设工程按照合格工程验收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建设工程竣工验收后，建设单位未向建设行政主管部门或者其他有关部门移交建设项目档案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勘察、设计、施工、工程监理单位允许其他单位或者个人以本单位名义承揽工程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工程监理单位转让工程监理业务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勘察单位未按照工程建设强制性标准进行勘察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设计单位未根据勘察成果文件进行工程设计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设计单位指定建筑材料、建筑构配件的生产厂、供应商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设计单位未按照工程建设强制性标准进行设计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施工单位在施工中偷工减料；使用不合格的建筑材料、建筑构配件和设备；或者有不按照工程设计图纸或者施工技术标准施工的其他行为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施工单位未对建筑材料、建筑构配件、设备和商品混凝土进行检验，或者未对涉及结构安全的试块、试件以及有关材料取样检测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工程监理单位与建设单位或者施工单位串通，弄虚作假、降低工程质量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工程监理单位将不合格的工程、建筑材料、构配件和设备按照合格签字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工程监理单位与被监理工程的施工承包单位以及建筑材料、建筑构配件和设备供应单位有隶属关系或者其他利害关系承担该项建设工程的监理业务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涉及建筑主体或者承重结构变动的装修工程，没有设计方案擅自施工；房屋建筑使用者在装修过程中擅自变动房屋建筑主体和承重结构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注册建筑师、注册结构工程师、监理工程师等注册执业人员因过错造成质量事故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建设单位未提供建设工程安全生产作业环境及安全施工措施所需费用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建设单位未将保证安全施工的措施或者拆除工程的有关资料报送有关部门备案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建设单位对勘察、设计、施工、工程监理等单位提出不符合安全生产法律、法规和强制性标准规定要求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建设单位要求施工单位压缩合同约定的工期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建设单位将拆除工程发包给不具有相应资质等级的施工单位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勘察单位、设计单位未按照法律、法规和工程建设强制性标准进行勘察、设计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采用新结构、新材料、新工艺的建设工程和特殊结构的建设工程，设计单位未在设计中提出保障施工作业人员安全和预防生产安全事故的措施建议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工程监理单位未对施工组织设计中的安全技术措施或者专项施工方案进行审查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工程监理单位发现安全事故隐患未及时要求施工单位整改或者暂时停止施工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施工单位拒不整改或者不停止施工，工程监理单位未及时向有关主管部门报告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工程监理单位未依照法律、法规和工程建设强制性标准实施监理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注册执业人员未执行法律、法规和工程建设强制性标准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为建设工程提供机械设备和配件的单位，未按照安全施工的要求配备齐全有效的保险、限位等安全设施和装置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出租单位出租未经安全性能检测或者经检测不合格的机械设备和施工机具及配件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施工起重机械和整体提升脚手架、模板等自升式架设设施安装、拆卸单位未编制拆装方案、制定安全施工措施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施工起重机械和整体提升脚手架、模板等自升式架设设施安装、拆卸单位未由专业技术人员现场监督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施工起重机械和整体提升脚手架、模板等自升式架设设施安装、拆卸单位未出具自检合格证明或者出具虚假证明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施工起重机械和整体提升脚手架、模板等自升式架设设施安装、拆卸单位未向施工单位进行安全使用说明，办理移交手续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施工单位未设立安全生产管理机构、配备专职安全生产管理人员或者分部分项工程施工时无专职安全生产管理人员现场监督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施工单位的主要负责人、项目负责人、专职安全生产管理人员、作业人员或者特种作业人员，未经安全教育培训或者经考核不合格即从事相关工作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施工单位未在施工现场的危险部位设置明显的安全警示标志，或者未按照国家有关规定在施工现场设置消防通道、消防水源、配备消防设施和灭火器材</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施工单位未向作业人员提供安全防护用具和安全防护服装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施工单位未按照规定在施工起重机械和整体提升脚手架、模板等自升式架设设施验收合格后登记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施工单位使用国家明令淘汰、禁止使用的危及施工安全的工艺、设备、材料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施工单位挪用列入建设工程概算的安全生产作业环境及安全施工措施所需费用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施工单位施工前未对有关安全施工的技术要求作出详细说明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施工单位未根据不同施工阶段和周围环境及季节、气候的变化，在施工现场采取相应的安全施工措施，或者在城市市区内的建设工程的施工现场未实行封闭围挡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施工单位在尚未竣工的建筑物内设置员工集体宿舍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施工现场临时搭建的建筑物不符合安全使用要求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施工单位未对因建设工程施工可能造成损害的毗邻建筑物、构筑物和地下管线等采取专项防护措施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安全防护用具、机械设备、施工机具及配件在进入施工现场前未经查验或者查验不合格施工单位即投入使用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施工单位使用未经验收或者验收不合格的施工起重机械和整体提升脚手架、模板等自升式架设设施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施工单位委托不具有相应资质的单位承担施工现场安装、拆卸施工起重机械和整体提升脚手架、模板等自升式架设设施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施工单位在施工组织设计中未编制安全技术措施、施工现场临时用电方案或者专项施工方案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施工单位的主要负责人、项目负责人未履行安全生产管理职责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不服管理、违反规章制度和操作规程冒险作业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施工单位取得资质证书后，降低安全生产条件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建设工程勘察、设计单位超越其资质等级许可的范围或者以其他建设工程勘察、设计单位的名义承揽建设工程勘察、设计业务；允许其他单位或者个人以本单位的名义承揽建设工程勘察、设计业务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未经注册，擅自以注册建设工程勘察、设计人员的名义从事建设工程勘察、设计活动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建设工程勘察、设计注册执业人员和其他专业技术人员未受聘于一个建设工程勘察、设计单位或者同时受聘于两个以上建设工程勘察、设计单位，从事建设工程勘察、设计活动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发包方将建设工程勘察、设计业务发包给不具有相应资质等级的建设工程勘察、设计单位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建设工程勘察、设计单位将所承揽的建设工程勘察、设计转包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勘察、设计单位未依据项目批准文件，城乡规划及专业规划，国家规定的建设工程勘察、设计深度要求编制建设工程勘察、设计文件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建设单位明示或者暗示设计单位、施工单位违反民用建筑节能强制性标准进行设计、施工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建设单位明示或者暗示施工单位使用不符合施工图设计文件要求的墙体材料、保温材料、门窗、采暖制冷系统和照明设备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建设单位采购不符合施工图设计文件要求的墙体材料、保温材料、门窗、采暖制冷系统和照明设备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建设单位对不符合民用建筑节能强制性标准的民用建筑项目出具竣工验收合格报告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设计单位未按照民用建筑节能强制性标准进行设计，或者使用列入禁止使用目录的技术、工艺、材料和设备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施工单位未按照民用建筑节能强制性标准进行施工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施工单位未对进入施工现场的墙体材料、保温材料、门窗、采暖制冷系统和照明设备进行查验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工程监理单位未按照民用建筑节能强制性标准实施监理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墙体、屋面的保温工程施工时，工程监理单位未采取旁站、巡视和平行检验等形式实施监理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对不符合施工图设计文件要求的墙体材料、保温材料、门窗、采暖制冷系统和照明设备，工程监理单位按照符合施工图设计文件要求签字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房地产开发企业销售商品房，未向购买人明示所售商品房的能源消耗指标、节能措施和保护要求、保温工程保修期等信息，或者向购买人明示的所售商品房能源消耗指标与实际能源消耗不符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注册执业人员未执行民用建筑节能强制性标准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以不正当手段取得注册建筑师考试合格资格或者注册建筑师证书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未经注册擅自以注册建筑师名义从事注册建筑师业务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注册建筑师以个人名义承接注册建筑师业务、收取费用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注册建筑师同时受聘于二个以上建筑设计单位执行业务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注册建筑师在建筑设计或者相关业务中侵犯他人合法权益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注册建筑师准许他人以本人名义执行业务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二级注册建筑师以一级注册建筑师的名义执行业务或者超越国家规定的执业范围执行业务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注册建筑师因建筑设计质量不合格发生重大责任事故，造成重大损失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房地产价格评估机构或者房地产估价师出具虚假或者有重大差错的评估报告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《国有土地上房屋征收与补偿条例》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建设单位未按照本规定提供工程周边环境等资料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建设单位未按照本规定在招标文件中列出危大工程清单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建设单位未按照施工合同约定及时支付危大工程施工技术措施费或者相应的安全防护文明施工措施费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建设单位未按照本规定委托具有相应勘察资质的单位进行第三方监测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建设单位未对第三方监测单位报告的异常情况组织采取处置措施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勘察单位未在勘察文件中说明地质条件可能造成的工程风险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设计单位未在设计文件中注明涉及危大工程的重点部位和环节，未提出保障工程周边环境安全和工程施工安全的意见的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施工单位未按照本规定编制并审核危大工程专项施工方案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施工单位未对超过一定规模的危大工程专项施工方案进行专家论证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施工单位未根据专家论证报告对超过一定规模的危大工程专项施工方案进行修改，或者未按照本规定重新组织专家论证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施工单位未严格按照专项施工方案组织施工，或者擅自修改专项施工方案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施工单位项目负责人未按照本规定现场履职或者组织限期整改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施工单位未按照本规定进行施工监测和安全巡视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施工单位未按照本规定组织危大工程验收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发生险情或者事故时，施工单位未采取应急处置措施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施工单位未按照本规定建立危大工程安全管理档案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监理单位的总监理工程师未按照本规定审查危大工程专项施工方案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发现施工单位未按照专项施工方案实施，监理单位未要求其整改或者停工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施工单位拒不整改或者不停止施工时，监理单位未向建设单位和工程所在地住房城乡建设主管部门报告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监理单位未按规定编制监理实施细则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监理单位未对危大工程施工实施专项巡视检查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监理单位未按规定参与组织危大工程验收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监理单位未按规定建立危大工程安全管理档案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监测单位未取得相应勘察资质从事第三方监测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监测单位未按规定编制监测方案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监测单位未按照监测方案开展监测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监测单位发现异常未及时报告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申请企业隐瞒有关真实情况或者提供虚假材料申请建筑业企业资质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企业以欺骗、贿赂等不正当手段取得建筑业企业资质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企业申请建筑业企业资质升级、资质增项，在申请之日起前一年至资质许可决定作出前，超越本企业资质等级或以其他企业的名义承揽工程，或允许其他企业或个人以本企业的名义承揽工程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企业申请建筑业企业资质升级、资质增项，在申请之日起前一年至资质许可决定作出前，与建设单位或企业之间相互串通投标，或以行贿等不正当手段谋取中标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企业申请建筑业企业资质升级、资质增项，在申请之日起前一年至资质许可决定作出前，未取得施工许可证擅自施工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企业申请建筑业企业资质升级、资质增项，在申请之日起前一年至资质许可决定作出前，将承包的工程转包或违法分包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企业申请建筑业企业资质升级、资质增项，在申请之日起前一年至资质许可决定作出前，违反国家工程建设强制性标准施工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企业申请建筑业企业资质升级、资质增项，在申请之日起前一年至资质许可决定作出前，恶意拖欠分包企业工程款或者劳务人员工资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企业申请建筑业企业资质升级、资质增项，在申请之日起前一年至资质许可决定作出前，隐瞒或谎报、拖延报告工程质量安全事故，破坏事故现场、阻碍对事故调查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企业申请建筑业企业资质升级、资质增项，在申请之日起前一年至资质许可决定作出前，按照国家法律、法规和标准规定需要持证上岗的现场管理人员和技术工种作业人员未取得证书上岗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企业申请建筑业企业资质升级、资质增项，在申请之日起前一年至资质许可决定作出前，未依法履行工程质量保修义务或拖延履行保修义务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企业申请建筑业企业资质升级、资质增项，在申请之日起前一年至资质许可决定作出前，伪造、变造、倒卖、出租、出借或者以其他形式非法转让建筑业企业资质证书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企业申请建筑业企业资质升级、资质增项，在申请之日起前一年至资质许可决定作出前，发生过较大以上质量安全事故或者发生过两起以上一般质量安全事故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企业申请建筑业企业资质升级、资质增项，在申请之日起前一年至资质许可决定作出前，有其它违反法律、法规的行为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企业未按照规定及时办理建筑业企业资质证书变更手续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企业在接受监督检查时，不如实提供有关材料，或者拒绝、阻碍监督检查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企业未按照规定要求提供企业信用档案信息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未取得建筑业企业资质承接分包工程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《房屋建筑和市政基础设施工程施工分包管理办法》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未取得施工许可证或者为规避办理施工许可证将工程项目分解后擅自施工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建设单位采用欺骗、贿赂等不正当手段取得施工许可证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建设单位隐瞒有关情况或者提供虚假材料申请施工许可证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建设单位伪造或者涂改施工许可证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“安管人员”隐瞒有关情况或者提供虚假材料申请安全生产考核</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“安管人员”以欺骗、贿赂等不正当手段取得安全生产考核合格证书</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“安管人员”涂改、倒卖、出租、出借或者以其他形式非法转让安全生产考核合格证书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建筑施工企业未按规定开展“安管人员”安全生产教育培训考核，或者未按规定如实将考核情况记入安全生产教育培训档案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建筑施工企业未按规定设立安全生产管理机构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建筑施工企业未按规定配备专职安全生产管理人员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危险性较大的分部分项工程施工时建筑施工企业未安排专职安全生产管理人员现场监督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“安管人员”未取得安全生产考核合格证书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“安管人员”未按规定办理证书变更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主要负责人、项目负责人未按规定履行安全生产管理职责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专职安全生产管理人员未按规定履行安全生产管理职责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工程造价咨询企业在建筑工程计价活动中，出具有虚假记载、误导性陈述的工程造价成果文件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《建筑工程施工发包与承包计价管理办法》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审查机构列入名录后不再符合规定条件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审查机构超出范围从事施工图审查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审查机构使用不符合条件审查人员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审查机构未按规定的内容进行审查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审查机构未按规定上报审查过程中发现的违法违规行为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审查机构未按规定填写审查意见告知书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审查机构未按规定在审查合格书和施工图上签字盖章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审查机构已出具审查合格书的施工图，仍有违反法律、法规和工程建设强制性标准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审查机构出具虚假审查合格书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审查人员在虚假审查合格书上签字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建设单位压缩合理审查周期的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建设单位提供不真实送审资料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建设单位对审查机构提出不符合法律、法规和工程建设强制性标准要求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建设单位在工程竣工验收合格之日起</w:t>
            </w:r>
            <w:r>
              <w:rPr>
                <w:rFonts w:ascii="仿宋" w:hAnsi="仿宋" w:eastAsia="仿宋" w:cs="仿宋"/>
                <w:color w:val="000000"/>
                <w:kern w:val="0"/>
                <w:sz w:val="18"/>
                <w:szCs w:val="18"/>
              </w:rPr>
              <w:t>15</w:t>
            </w:r>
            <w:r>
              <w:rPr>
                <w:rFonts w:hint="eastAsia" w:ascii="仿宋" w:hAnsi="仿宋" w:eastAsia="仿宋" w:cs="仿宋"/>
                <w:color w:val="000000"/>
                <w:kern w:val="0"/>
                <w:sz w:val="18"/>
                <w:szCs w:val="18"/>
              </w:rPr>
              <w:t>日内未办理工程竣工验收备案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建设单位将备案机关决定重新组织竣工验收的工程，在重新组织竣工验收前，擅自使用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建设单位采用虚假证明文件办理工程竣工验收备案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《中华人民共和国注册建筑师条例实施细则》</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《注册建造师管理规定》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《注册监理工程师管理规定》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以欺骗、贿赂等不正当手段取得注册证书和执业印章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《中华人民共和国注册建筑师条例实施细则》</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出租单位、自购建筑起重机械的使用单位未按照规定办理备案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出租单位、自购建筑起重机械的使用单位未按照规定办理注销手续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出租单位、自购建筑起重机械的使用单位未按照规定建立建筑起重机械安全技术档案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安装单位未按照安全技术标准及安装使用说明书等检查建筑起重机械及现场施工条件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安装单位未制定建筑起重机械安装、拆卸工程生产安全事故应急救援预案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安装单位未将建筑起重机械安装、拆卸工程专项施工方案，安装、拆卸人员名单，安装、拆卸时间等材料报施工总承包单位和监理单位审核后，告知工程所在地县级以上地方人民政府建设主管部门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安装单位未按照规定建立建筑起重机械安装、拆卸工程档案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安装单位未按照建筑起重机械安装、拆卸工程专项施工方案及安全操作规程组织安装、拆卸作业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使用单位未根据不同施工阶段、周围环境以及季节、气候的变化，对建筑起重机械采取相应的安全防护措施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使用单位未制定建筑起重机械生产安全事故应急救援预案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使用单位未设置相应的设备管理机构或者配备专职的设备管理人员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建筑起重机械出现故障或者发生异常情况时，使用单位未立即停止使用，或未待消除故障和事故隐患后，再重新投入使用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使用单位未指定专职设备管理人员进行现场监督检查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使用单位擅自在建筑起重机械上安装非原制造厂制造的标准节和附着装置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施工总承包单位未向安装单位提供拟安装设备位置的基础施工资料，确保建筑起重机械进场安装、拆卸所需的施工条件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施工总承包单位未审核安装单位、使用单位的资质证书、安全生产许可证和特种作业人员的特种作业操作资格证书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施工总承包单位未审核安装单位制定的建筑起重机械安装、拆卸工程专项施工方案和生产安全事故应急救援预案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施工总承包单位未审核使用单位制定的建筑起重机械生产安全事故应急救援预案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施工现场有多台塔式起重机作业时，施工单位未组织制定并实施防止塔式起重机相互碰撞的安全措施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监理单位未审核建筑起重机械特种设备制造许可证、产品合格证、制造监督检验证明、备案证明等文件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监理单位未审核建筑起重机械安装单位、使用单位的资质证书、安全生产许可证和特种作业人员的特种作业操作资格证书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监理单位未监督安装单位执行建筑起重机械安装、拆卸工程专项施工方案情况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监理单位未监督检查建筑起重机械的使用情况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建设单位未按照规定协调组织制定防止多台塔式起重机相互碰撞的安全措施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接到监理单位报告后，建设单位未责令安装单位、使用单位立即停工整改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建设单位未为勘察工作提供必要的现场工作条件或者未提供真实、可靠原始资料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工程勘察企业未按照工程建设强制性标准进行勘察、弄虚作假、提供虚假成果资料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工程勘察企业勘察文件没有责任人签字或者签字不全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工程勘察企业原始记录不按照规定记录或者记录不完整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工程勘察企业不参加施工验槽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项目完成后，工程勘察企业勘察文件不归档保存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企业隐瞒有关情况或者提供虚假材料申请资质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企业以欺骗、贿赂等不正当手段取得资质证书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企业未按照规定提供信用档案信息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企业涂改、倒卖、出租、出借或者以其他形式非法转让资质证书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申请人隐瞒有关情况或者提供虚假材料申请工程监理企业资质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工程监理企业以欺骗、贿赂等不正当手段取得工程监理企业资质证书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工程监理企业在监理过程中实施商业贿赂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工程监理企业涂改、伪造、出借、转让工程监理企业资质证书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工程监理企业未按照要求提供工程监理企业信用档案信息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未取得注册证书和执业印章，担任大中型建设工程项目施工单位项目负责人，或者以注册建造师的名义从事相关活动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注册建造师、注册造价工程师、注册监理工程师未办理变更注册而继续执业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《注册造价工程师管理办法》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注册建造师在执业活动中不履行注册建造师义务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注册建造师在执业活动中签署有虚假记载等不合格的文件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注册建造师在执业活动中允许他人以自己的名义从事执业活动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注册建造师在执业活动中同时在两个或者两个以上单位受聘或者执业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注册建造师在执业活动中涂改、倒卖、出租、出借或以其他形式非法转让资格证书、注册证书和执业印章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注册建造师在执业活动中超出执业范围和聘用单位业务范围内从事执业活动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注册建造师在执业活动中法律、法规、规章禁止的其他行为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注册建造师或者其聘用单位未按照要求提供注册建造师信用档案信息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聘用单位为申请人提供虚假注册材料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隐瞒有关情况或者提供虚假材料申请造价工程师注册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以欺骗、贿赂等不正当手段取得造价工程师注册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未经注册而以注册造价工程师的名义从事工程造价活动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注册造价工程师不履行注册造价工程师义务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注册造价工程师在执业过程中，索贿、受贿或者谋取合同约定费用外的其他利益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注册造价工程师签署有虚假记载、误导性陈述的工程造价成果文件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注册造价工程师以个人名义承接工程造价业务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注册造价工程师允许他人以自己名义从事工程造价业务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注册造价工程师同时在两个或者两个以上单位执业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注册造价工程师涂改、倒卖、出租、出借或者以其他形式非法转让注册证书或者执业印章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注册造价工程师有法律、法规、规章禁止的其他行为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注册造价工程师或者其聘用单位未按照要求提供造价工程师信用档案信息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申请人隐瞒有关情况或者提供虚假材料申请工程造价咨询企业资质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以欺骗、贿赂等不正当手段取得工程造价咨询企业资质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未取得工程造价咨询企业资质从事工程造价咨询活动或者超越资质等级承接工程造价咨询业务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工程造价咨询企业新设立分支机构不备案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工程造价咨询企业跨省、自治区、直辖市承接业务不备案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工程造价咨询企业涂改、倒卖、出租、出借资质证书，或者以其他形式非法转让资质证书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工程造价咨询企业超越资质等级业务范围承接工程造价咨询业务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工程造价咨询企业同时接受招标人和投标人或两个以上投标人对同一工程项目的工程造价咨询业务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工程造价咨询企业以给予回扣、恶意压低收费等方式进行不正当竞争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工程造价咨询企业转包承接的工程造价咨询业务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擅自使用没有国家技术标准又未经审定的新技术、新材料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擅自变动或者破坏房屋建筑抗震构件、隔震装置、减震部件或者地震反应观测系统等抗震设施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未对抗震能力受损、荷载增加或者需提高抗震设防类别的房屋建筑工程，进行抗震验算、修复和加固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鉴定需抗震加固的房屋建筑工程在进行装修改造时未进行抗震加固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未经注册，擅自以注册监理工程师的名义从事工程监理及相关业务活动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注册监理工程师在执业活动中以个人名义承接业务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注册监理工程师在执业活动中涂改、倒卖、出租、出借或者以其他形式非法转让注册证书或者执业印章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注册监理工程师在执业活动中泄露执业中应当保守的秘密并造成严重后果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注册监理工程师在执业活动中超出规定执业范围或者聘用单位业务范围从事执业活动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注册监理工程师在执业活动中弄虚作假提供执业活动成果</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注册监理工程师在执业活动中同时受聘于两个或者两个以上的单位，从事执业活动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注册监理工程师在执业活动中有其它违反法律、法规、规章的行为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建设单位未按照建筑节能强制性标准委托设计，擅自修改节能设计文件，明示或暗示设计单位、施工单位违反建筑节能设计强制性标准，降低工程建设质量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设计单位未按照建筑节能强制性标准进行设计</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且未进行修改；两年内，累计三项工程未按照建筑节能强制性标准设计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施工单位未按照节能设计进行施工；两年内，累计三项工程未按照符合节能标准要求的设计进行施工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未取得相应的资质，擅自承担本办法规定的检测业务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检测机构隐瞒有关情况或者提供虚假材料申请资质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检测机构超出资质范围从事检测活动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检测机构涂改、倒卖、出租、出借、转让资质证书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检测机构使用不符合条件的检测人员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检测机构未按规定上报发现的违法违规行为和检测不合格事项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检测机构未按规定在检测报告上签字盖章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检测机构未按照国家有关工程建设强制性标准进行检测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检测机构档案资料管理混乱，造成检测数据无法追溯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检测机构转包检测业务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检测机构伪造检测数据，出具虚假检测报告或鉴定结论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委托方委托未取得相应资质的检测机构进行检测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委托方明示或暗示检测机构出具虚假检测报告，篡改或伪造检测报告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委托方弄虚作假送检试样</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注册工程师在执业活动中以个人名义承接业务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注册工程师在执业活动中涂改、出租、出借或者以其他形式非法转让注册证书或者执业印章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注册工程师在执业活动中泄露执业中应当保守的秘密并造成严重后果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注册工程师在执业活动中超出本专业规定范围或者聘用单位业务范围从事执业活动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注册工程师在执业活动中弄虚作假提供执业活动成果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注册工程师在执业活动中有其它违反法律、法规、规章的行为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取得安全生产许可证的建筑施工企业，发生重大安全事故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建筑施工企业未取得安全生产许可证擅自从事建筑施工活动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安全生产许可证有效期满未办理延期手续，继续从事建筑施工活动；逾期仍不办理延期手续，继续从事建筑施工活动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建筑施工企业转让安全生产许可证；接受转让安全生产许可证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建筑施工企业冒用安全生产许可证或使用伪造的安全生产许可证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建筑施工企业隐瞒有关情况或者提供虚假材料申请安全生产许可证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建筑施工企业以欺骗、贿赂等不正当手段取得安全生产许可证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外资建筑业企业超越资质许可的业务范围承包工程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《外商投资建筑业企业管理规定》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施工图设计文件未经审查或者审查不合格，建设单位擅自施工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《超限高层建筑工程抗震设防管理规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勘察、设计单位未按照抗震设防专项审查意见进行超限高层建筑工程勘察、设计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《超限高层建筑工程抗震设防管理规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招标人不具备自行办理施工招标事宜条件而自行招标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勘察、设计单位违反工程建设强制性标准进行勘察、设计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施工单位违反工程建设强制性标准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工程监理单位违反强制性标准规定，将不合格的建设工程以及建筑材料、建筑构配件和设备按照合格签字的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施工单位在工程竣工验收后，不向建设单位出具质量保修书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施工单位关于质量保修的内容、期限违反规定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施工单位不履行保修义务或者拖延履行保修义务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未按有关规范、标准、规定进行设计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擅自改动设计文件中安全防范设施内容的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使用未经鉴定和鉴定不合格的产品、材料、设备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安全防范设施未经验收或验收不合格而交付使用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施工工地未设置硬质密闭围挡，或者未采取覆盖、分段作业、择时施工、洒水抑尘、冲洗地面和车辆等有效防尘降尘措施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建筑土方、工程渣土、建筑垃圾未及时清运，或者未采用密闭式防尘网遮盖</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建设单位未对暂时不能开工的建设用地的裸露地面进行覆盖，或者未对超过三个月不能开工的建设用地的裸露地面进行绿化、铺装或者遮盖</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随意倾倒、抛撒或者堆放生活垃圾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擅自关闭、闲置或者拆除生活垃圾处置设施、场所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工程施工单位不及时清运施工过程中产生的固体废物，造成环境污染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工程施工单位不按照环境卫生行政主管部门的规定对施工过程中产生的固体废物进行利用或者处置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必须进行招标的项目不招标；将必须进行招标的项目化整为零或者以其他任何方式规避招标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招标代理机构泄露应当保密的与招标投标活动有关的情况和资料；或者与招标人、投标人串通损害国家利益、社会公共利益或者他人合法权益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招标人以不合理的条件限制或者排斥潜在投标人；对潜在投标人实行歧视待遇；强制要求投标人组成联合体共同投标；或者限制投标人之间竞争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依法必须进行招标的项目的招标人向他人透露已获取招标文件的潜在投标人的名称、数量或者可能影响公平竞争的有关招标投标的其他情况；或者泄露标底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投标人相互串通投标或者与招标人串通投标；投标人以向招标人或者评标委员会成员行贿的手段谋取中标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投标人以他人名义投标或者以其他方式弄虚作假，骗取中标，且尚未构成犯罪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依法必须进行招标的项目，招标人与投标人就投标价格、投标方案等实质性内容进行谈判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评标委员会成员收受投标人的财物或者其他好处，评标委员会成员或者参加评标的有关工作人员向他人透露对投标文件的评审和比较、中标候选人的推荐以及与评标有关的其他情况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招标人在评标委员会依法推荐的中标候选人以外确定中标人；依法必须进行招标的项目在所有投标被评标委员会否决后自行确定中标人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中标人将中标项目转让给他人；将中标项目肢解后分别转让给他人；违反招标投标法和招标投标法实施条例规定将中标项目的部分主体、关键性工作分包给他人；或者分包人再次分包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招标人与中标人不按照招标文件和中标人的投标文件订立合同，或者招标人、中标人订立背离合同实质性内容的协议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中标人不按照与招标人订立的合同履行义务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依法应当公开招标的项目招标人不按照规定在指定媒介发布资格预审公告或者招标公告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招标人在不同媒介发布的同一招标项目的资格预审公告或者招标公告的内容不一致，影响潜在投标人申请资格预审或者投标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依法必须进行招标的项目的招标人不按照规定发布资格预审公告或者招标公告，构成规避招标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依法应当公开招标而招标人采用邀请招标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招标文件、资格预审文件的发售、澄清、修改的时限，或者确定的提交资格预审申请文件、投标文件的时限不符合招标投标法和本条例规定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招标人接受未通过资格预审的单位或者个人参加投标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招标人接受应当拒收的投标文件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招标代理机构在所代理的招标项目中投标、代理投标或者向该项目投标人提供咨询，接受委托编制标底的中介机构参加受托编制标底项目的投标或者为该项目的投标人编制投标文件、提供咨询</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招标人超过规定的比例收取投标保证金、履约保证金或者不按照规定退还投标保证金及银行同期存款利息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出让或者出租资格、资质证书供他人投标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依法必须进行招标的项目的招标人不按照规定组建评标委员会，或者确定、更换评标委员会成员违反招标投标法和招标投标法实施条例规定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评标委员会成员应当回避而不回避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评标委员会成员擅离职守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评标委员会成员不按照招标文件规定的评标标准和方法评标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评标委员会成员私下接触投标人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评标委员会成员向招标人征询确定中标人的意向或者接受任何单位或者个人明示或者暗示提出的倾向或者排斥特定投标人的要求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评标委员会成员对依法应当否决的投标不提出否决意见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评标委员会成员暗示或者诱导投标人作出澄清、说明或者接受投标人主动提出的澄清、说明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评标委员会成员有其他不客观、不公正履行职务的行为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评标委员会成员收受投标人的财物或者其他好处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依法必须进行招标的项目的招标人无正当理由不发出中标通知书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依法必须进行招标的项目的招标人中标通知书发出后无正当理由改变中标结果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依法必须进行招标的项目的招标人无正当理由不与中标人订立合同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依法必须进行招标的项目的招标人在订立合同时向中标人提出附加条件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中标人无正当理由不与招标人订立合同，在签订合同时向招标人提出附加条件，或者不按照招标文件要求提交履约保证金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招标人和中标人不按照招标文件和中标人的投标文件订立合同，合同的主要条款与招标文件、中标人的投标文件的内容不一致，或者招标人、中标人订立背离合同实质性内容的协议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招标人不按照规定对异议作出答复，继续进行招标投标活动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招标人澄清、修改招标文件的时限，或者确定的提交投标文件的时限不符合规定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招标人不按照规定组建评标委员会，或者评标委员会成员的确定违反规定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招标人无正当理由未按规定发出中标通知书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中标通知书发出后招标人无正当理由改变中标结果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招标人无正当理由未按规定与中标人订立合同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招标人在订立合同时向中标人提出附加条件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投标人以他人名义投标或者以其他方式弄虚作假，骗取中标，且尚未构成犯罪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评标委员会成员违反规定，对应当否决的投标不提出否决意见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依法必须公开招标的项目招标人不按照规定在指定媒介发布资格预审公告或者招标公告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招标文件、资格预审文件的发售、澄清、修改的时限，或者确定的提交资格预审申请文件、投标文件的时限不符合招标投标法和招标投标法实施条例规定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依法必须进行招标的项目的投标人以他人名义投标，利用伪造、转让、租借、无效的资质证书参加投标，或者请其他单位在自己编制的投标文件上代为签字盖章，弄虚作假，骗取中标，且未构成犯罪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招标人以抽签、摇号等不合理的条件限制或者排斥资格预审合格的潜在投标人参加投标，对潜在投标人实行歧视待遇的，强制要求投标人组成联合体共同投标，或者限制投标人之间竞争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招标人在不同媒介发布的同一招标项目的资格预审公告或者招标公告内容不一致，影响潜在投标人申请资格预审或者投标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招标人无正当理由不发出中标通知书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招标人无正当理由不与中标人订立合同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在订立合同时招标人向中标人提出附加条件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中标通知书发出后，中标人放弃中标项目的，无正当理由不与招标人签订合同的，在签订合同时向招标人提出附加条件或者更改合同实质性内容的，或者拒不提交所要求的履约保证金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依法必须进行招标的项目而不招标的，将必须进行招标的项目化整为零或者以其他任何方式规避招标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招标代理机构违法泄露应当保密的与招标投标活动有关的情况和资料，或者与招标人、投标人串通损害国家利益、社会公共利益或者他人合法权益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招标人以不合理的条件限制或者排斥潜在投标人，对潜在投标人实行歧视待遇，强制要求投标人组成联合体共同投标，或者限制投标人之间竞争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依法必须进行招标项目的招标人向他人透露已获取招标文件的潜在投标人的名称、数量或者可能影响公平竞争的有关招标投标的其他情况，或者泄露标底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招标人依法应当公开招标而采用邀请招标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投标人相互串通投标或者与招标人串通投标，投标人以向招标人或者评标委员会成员行贿的手段谋取中标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投标人以他人名义投标或者以其他方式弄虚作假，骗取中标的，尚未构成犯罪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2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依法必须进行招标的项目，招标人违法与投标人就投标价格、投标方案等实质性内容进行谈判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中标通知书发出后，中标人放弃中标项目；无正当理由不与招标人签订合同；在签订合同时向招标人提出附加条件或者更改合同实质性内容；或者拒不提交所要求的履约保证金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中标人将中标项目转让给他人，将中标项目肢解后分别转让给他人，违法将中标项目的部分主体、关键性工作分包给他人，或者分包人再次分包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合同的主要条款与招标文件、中标人的投标文件的内容不一致，或者招标人、中标人订立背离合同实质性内容的协议；或者招标人擅自提高履约保证金或强制要求中标人垫付中标项目建设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中标人不按照与招标人订立的合同履行义务，情节严重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开山、采石、开矿等破坏传统格局和历史风貌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占用保护规划确定保留的园林绿地、河湖水系、道路等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修建生产、储存爆炸性、易燃性、放射性、毒害性、腐蚀性物品的工厂、仓库等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在历史建筑上刻划、涂污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未经城乡规划主管部门会同同级文物主管部门批准拆除历史建筑以外的建筑物、构筑物或者其他设施；或者经批准但是在活动过程中对传统格局、历史风貌或者历史建筑构成破坏性影响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对历史建筑进行外部修缮装饰、添加设施以及改变历史建筑的结构或者使用性质；或者经批准但是在活动过程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在改变园林绿地、河湖水系等自然状态的活动中，对传统格局、历史风貌或者历史建筑构成破坏性影响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在核心保护范围内进行影视摄制、举办大型群众性活动中，对传统格局、历史风貌或者历史建筑构成破坏性影响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在其他影响传统格局、历史风貌或者历史建筑的活动中，构成破坏性影响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损坏或者擅自迁移、拆除历史建筑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擅自设置、移动、涂改或者损毁历史文化街区、名镇、名村标志牌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历史文化名城、名镇、名村保护范围内，开山、采石、开矿等破坏传统格局和历史风貌，占用保护规划确定保留的园林绿地、河湖水系、道路等，修建生产、储存爆炸性、易燃性、放射性、毒害性、腐蚀性物品的工厂、仓库等，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改变园林绿地、河湖水系等自然状态，进行影视摄制、举办大型群众性活动，拆除历史建筑以外的建筑物、构筑物或者其他设施，对历史建筑进行外部修缮装饰、添加设施以及改变历史建筑的结构或者使用性质，其他影响传统格局、历史风貌或者历史建筑，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损坏或者擅自迁移、拆除历史建筑，逾期不恢复原状或者不采取其他补救措施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损坏城市树木花草</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擅自砍伐城市树木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砍伐、擅自迁移古树名木或者因养护不善致使古树名木受到损伤或者死亡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损坏城市绿化设施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未经同意擅自占用城市绿化用地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不服从公共绿地管理单位管理的商业、服务摊点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在城市绿地范围内进行拦河截溪、取土采石、设置垃圾堆场、排放污水以及其他对城市生态环境造成破坏活动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随地吐痰、便溺，乱扔果皮、纸屑和烟头等废弃物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在城市建筑物、设施以及树木上涂写、刻画或者未经批准张挂、张贴宣传品等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在城市人民政府规定的街道的临街建筑物的阳台和窗外，堆放、吊挂有碍市容的物品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不按规定的时间、地点、方式，倾倒垃圾、粪便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不履行卫生责任区清扫保洁义务或者不按规定清运、处理垃圾和粪便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运输液体、散装货物不作密封、包扎、覆盖，造成泄漏、遗撒</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临街工地不设置护栏或者不作遮挡、停工场地不及时整理并作必要覆盖或者竣工后不及时清理和平整场地，影响市容和环境卫生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饲养家畜家禽影响市容和环境卫生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未经城市人民政府市容环境卫生行政主管部门同意，擅自设置大型户外广告，影响市容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未经城市人民政府市容环境卫生行政主管部门批准，擅自在街道两侧和公共场地堆放物料，搭建建筑物、构筑物或者其他设施，影响市容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未经批准擅自拆除环境卫生设施或者未按批准的拆迁方案进行拆迁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不符合城市容貌标准、环境卫生标准的建筑物或者设施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损坏各类环境卫生设施及其附属设施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单位和个人未按规定缴纳城市生活垃圾处理费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未按照城市生活垃圾治理规划和环境卫生设施标准配套建设城市生活垃圾收集设施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城市生活垃圾处置设施未经验收或者验收不合格投入使用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未经批准擅自关闭、闲置或者拆除城市生活垃圾处置设施、场所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随意倾倒、抛洒、堆放城市生活垃圾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未经批准从事城市生活垃圾经营性清扫、收集、运输或者处置活动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从事城市生活垃圾经营性清扫、收集、运输的企业在运输过程中沿途丢弃、遗撒生活垃圾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从事生活垃圾经营性清扫、收集、运输的企业不按照环境卫生作业标准和作业规范，在规定的时间内及时清扫、收运城市生活垃圾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从事生活垃圾经营性清扫、收集、运输的企业未将收集的城市生活垃圾运到直辖市、市、县人民政府建设（环境卫生）主管部门认可的处置场所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从事生活垃圾经营性清扫、收集、运输的企业清扫、收运城市生活垃圾后，未对生活垃圾收集设施及时保洁、复位，清理作业场地，保持生活垃圾收集设施和周边环境的干净整洁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从事生活垃圾经营性清扫、收集、运输的企业用于收集、运输城市生活垃圾的车辆、船舶未做到密闭、完好和整洁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从事生活垃圾经营性清扫、收集、运输的企业未严格按照国家有关规定和技术标准，处置城市生活垃圾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从事生活垃圾经营性清扫、收集、运输的企业未按照规定处理处置过程中产生的污水、废气、废渣、粉尘等，防止二次污染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从事生活垃圾经营性清扫、收集、运输的企业未按照所在地建设（环境卫生）主管部门规定的时间和要求接收生活垃圾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从事生活垃圾经营性清扫、收集、运输的企业未按照要求配备城市生活垃圾处置设备、设施，保证设施、设备运行良好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从事生活垃圾经营性清扫、收集、运输的企业未保证城市生活垃圾处置站、场（厂）环境整洁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从事生活垃圾经营性清扫、收集、运输的企业未按照要求配备合格的管理人员及操作人员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从事生活垃圾经营性清扫、收集、运输的企业未对每日收运、进出场站、处置的生活垃圾进行计量，或未按照要求将统计数据和报表报送所在地建设（环境卫生）主管部门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定期进行水、气、土壤等环境影响监测，或未对生活垃圾处理设施的性能和环保指标进行检测、评价，或未向所在地建设（环境卫生）主管部门报告检测、评价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从事城市生活垃圾经营性清扫、收集、运输的企业，未经批准擅自停业、歇业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从事城市生活垃圾经营性处置的企业，未经批准擅自停业、歇业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将建筑垃圾混入生活垃圾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将危险废物混入建筑垃圾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擅自设立弃置场受纳建筑垃圾</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建筑垃圾储运消纳场受纳工业垃圾、生活垃圾和有毒有害垃圾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施工单位未及时清运工程施工过程中产生的建筑垃圾，造成环境污染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施工单位将建筑垃圾交给个人或者未经核准从事建筑垃圾运输的单位处置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处置建筑垃圾的单位在运输建筑垃圾过程中沿途丢弃、遗撒建筑垃圾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涂改、倒卖、出租、出借或者以其他形式非法转让城市建筑垃圾处置核准文件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未经核准擅自处置建筑垃圾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处置超出核准范围的建筑垃圾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任何单位和个人随意倾倒、抛撒或者堆放建筑垃圾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擅自在动物园内摆摊设点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《城市动物园管理规定》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擅自占用城市公厕规划用地或者改变其性质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建设单位经批准使用的土地含有城市公厕规划用地的，建设单位未按照城市公厕规划和城市人民政府环境卫生行政主管部门的要求修建公厕，并向社会开放使用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未按分工负责城市公厕的建设和维修管理</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影剧院、商店、饭店、车站等公共建筑没有附设公厕或者原有公厕及其卫生设施不足的，未按照城市人民政府环境卫生行政主管部门的要求进行新建、扩建或者改造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公共建筑附设的公厕及其卫生设施的设计和安装，不符合国家和地方的有关标准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对于损坏严重或者年久失修的公厕，有关单位未按照分工负责建设和维修管理，或在拆除重建时未先建临时公厕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独立设置的城市公厕竣工时，建设单位未通知城市人民政府环境卫生主管部门或者其指定的部门参加验收；将验收不合格的独立设置的城市公厕交付使用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在公厕内乱丢垃圾、污物，随地吐痰，乱涂乱画</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破坏公厕设施、设备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未经批准擅自占用或者改变公厕使用性质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在运输过程中沿途丢弃、遗撒生活垃圾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对涉嫌从事无照经营的场所，予以查封；对涉嫌用于无照经营的工具、设备、原材料、产品（商品）等物品，予以查封、扣押</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《无证无照经营查处办法》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未取得设计、施工资格或者未按照资质等级承担城市道路的设计、施工任务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未按照城市道路设计、施工技术规范设计、施工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未按照设计图纸施工或者擅自修改图纸</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擅自使用未经验收或者验收不合格的城市道路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承担城市道路养护、维修的单位未定期对城市道路进行养护、维修或者未按照规定的期限修复竣工，并拒绝接受市政工程行政主管部门监督、检查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未对设在城市道路上的各种管线的检查井、箱盖或者城市道路附属设施的缺损及时补缺或者修复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未在城市道路施工现场设置明显标志和安全防围设施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占用城市道路期满或者挖掘城市道路后，不及时清理现场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依附于城市道路建设各种管线、杆线等设施，不按照规定办理批准手续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紧急抢修埋设在城市道路下的管线，不按照规定补办批准手续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未按照批准的位置、面积、期限占用或者挖掘城市道路，或者需要移动位置、扩大面积、延长时间，未提前办理变更审批手续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擅自占用或者挖掘城市道路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履带车、铁轮车或者超重、超高、超长车辆擅自在城市道路上行驶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机动车在桥梁或者非指定的城市道路上试刹车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擅自在城市道路上建设建筑物、构筑物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在桥梁上架设压力在</w:t>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公斤</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平方厘米（</w:t>
            </w:r>
            <w:r>
              <w:rPr>
                <w:rFonts w:ascii="仿宋" w:hAnsi="仿宋" w:eastAsia="仿宋" w:cs="仿宋"/>
                <w:color w:val="000000"/>
                <w:kern w:val="0"/>
                <w:sz w:val="18"/>
                <w:szCs w:val="18"/>
              </w:rPr>
              <w:t>0.4</w:t>
            </w:r>
            <w:r>
              <w:rPr>
                <w:rFonts w:hint="eastAsia" w:ascii="仿宋" w:hAnsi="仿宋" w:eastAsia="仿宋" w:cs="仿宋"/>
                <w:color w:val="000000"/>
                <w:kern w:val="0"/>
                <w:sz w:val="18"/>
                <w:szCs w:val="18"/>
              </w:rPr>
              <w:t>兆帕）以上的煤气管道、</w:t>
            </w:r>
            <w:r>
              <w:rPr>
                <w:rFonts w:ascii="仿宋" w:hAnsi="仿宋" w:eastAsia="仿宋" w:cs="仿宋"/>
                <w:color w:val="000000"/>
                <w:kern w:val="0"/>
                <w:sz w:val="18"/>
                <w:szCs w:val="18"/>
              </w:rPr>
              <w:t>10</w:t>
            </w:r>
            <w:r>
              <w:rPr>
                <w:rFonts w:hint="eastAsia" w:ascii="仿宋" w:hAnsi="仿宋" w:eastAsia="仿宋" w:cs="仿宋"/>
                <w:color w:val="000000"/>
                <w:kern w:val="0"/>
                <w:sz w:val="18"/>
                <w:szCs w:val="18"/>
              </w:rPr>
              <w:t>千伏以上的高压电力线和其他易燃易爆管线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擅自在桥梁或者路灯设施上设置广告牌或者其他挂浮物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其他损害、侵占城市道路的行为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未取得燃气经营许可证从事燃气经营活动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燃气经营者不按照燃气经营许可证的规定从事燃气经营活动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燃气经营者拒绝向市政燃气管网覆盖范围内符合用气条件的单位或者个人供气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燃气经营者倒卖、抵押、出租、出借、转让、涂改燃气经营许可证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燃气经营者未履行必要告知义务擅自停止供气、调整供气量，或者未经审批擅自停业或者歇业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燃气经营者向未取得燃气经营许可证的单位或者个人提供用于经营的燃气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燃气经营者在不具备安全条件的场所储存燃气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燃气经营者要求燃气用户购买其指定的产品或者接受其提供的服务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燃气经营者未向燃气用户持续、稳定、安全供应符合国家质量标准的燃气，或者未对燃气用户的燃气设施定期进行安全检查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擅自为非自有气瓶充装燃气或者销售未经许可的充装单位充装的瓶装燃气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销售充装单位擅自为非自有气瓶充装的瓶装燃气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冒用其他企业名称或者标识从事燃气经营、服务活动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按照国家有关工程建设标准和安全生产管理的规定，设置燃气设施防腐、绝缘、防雷、降压、隔离等保护装置和安全警示标志；或者未定期进行巡查、检测、维修和维护；或者未采取措施及时消除燃气安全事故隐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燃气用户及相关单位和个人擅自操作公用燃气阀门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燃气用户及相关单位和个人将燃气管道作为负重支架或者接地引线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燃气用户及相关单位和个人安装、使用不符合气源要求的燃气燃烧器具</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燃气用户及相关单位和个人擅自安装、改装、拆除户内燃气设施和燃气计量装置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燃气用户及相关单位和个人在不具备安全条件的场所使用、储存燃气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燃气用户及相关单位和个人改变燃气用途或者转供燃气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未设立售后服务站点或者未配备经考核合格的燃气燃烧器具安装、维修人员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燃气燃烧器具的安装、维修不符合国家有关标准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在燃气设施保护范围内进行爆破、取土等作业或者动用明火</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在燃气设施保护范围内倾倒、排放腐蚀性物质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在燃气设施保护范围内放置易燃易爆物品或者种植深根植物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在燃气设施保护范围内未与燃气经营者共同制定燃气设施保护方案，采取相应的安全保护措施，从事敷设管道、打桩、顶进、挖掘、钻探等可能影响燃气设施安全活动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侵占、毁损、擅自拆除、移动燃气设施或者擅自改动市政燃气设施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毁损、覆盖、涂改、擅自拆除或者移动燃气设施安全警示标志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建设工程施工范围内有地下燃气管线等重要燃气设施，建设单位未会同施工单位与管道燃气经营者共同制定燃气设施保护方案，或者建设单位、施工单位未采取相应的安全保护措施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城市自来水供水企业或者自建设施对外供水的企业供水水质、水压不符合国家规定标准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城市自来水供水企业或者自建设施对外供水的企业擅自停止供水或者来履行停水通知义务</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城市自来水供水企业或者自建设施对外供水的企业未按照规定检修供水设施或者在供水设施发生故障后未及时抢修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无证或者超越资质证书规定的经营范围进行城市供水工程的设计或者施工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未按国家规定的技术标准和规范进行城市供水工程的设计或者施工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区农业农村局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违反城市供水发展规划及其年度建设计划兴建城市供水工程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未按规定缴纳水费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盗用或者转供城市公共供水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在规定的城市公共供水管道及其附属设施的安全保护范围内进行危害供水设施安全活动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擅自将自建设施供水管网系统与城市公共供水管网系统连接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产生或者使用有毒有害物质的单位将其生产用水管网系统与城市公共供水管网系统直接连接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在城市公共供水管道上直接装泵抽水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擅自拆除、改装或者迁移城市公共供水设施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在雨水、污水分流地区，建设单位、施工单位将雨水管网、污水管网相互混接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城镇排水与污水处理设施覆盖范围内的排水单位和个人，未按照国家有关规定将污水排入城镇排水设施，或者在雨水、污水分流地区将污水排入雨水管网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排水户未取得污水排入排水管网许可证向城镇排水设施排放污水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排水户不按照污水排入排水管网许可证的要求排放污水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因城镇排水设施维护或者检修可能对排水造成影响或者严重影响，城镇排水设施维护运营单位未提前通知相关排水户；或者未事先向城镇排水主管部门报告，采取应急处理措施；或者未按照防汛要求对城镇排水设施进行全面检查、维护、清疏，影响汛期排水畅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城镇污水处理设施维护运营单位未按照国家有关规定检测进出水水质，或者未报送污水处理水质和水量、主要污染物削减量等信息和生产运营成本等信息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城镇污水处理设施维护运营单位擅自停运城镇污水处理设施，未按照规定事先报告或者采取应急处理措施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城镇污水处理设施维护运营单位或者污泥处理处置单位对产生的污泥以及处理处置后的污泥的去向、用途、用量等未进行跟踪、记录的，或者处理处置后的污泥不符合国家有关标准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擅自倾倒、堆放、丢弃、遗撒污泥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排水单位或者个人不缴纳污水处理费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城镇排水与污水处理设施维护运营单位未按照国家有关规定履行日常巡查、维修和养护责任，保障设施安全运行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城镇排水与污水处理设施维护运营单位未及时采取防护措施、组织事故抢修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城镇排水与污水处理设施维护运营单位因巡查、维护不到位，导致窨井盖丢失、损毁，造成人员伤亡和财产损失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从事危及城镇排水与污水处理设施安全的活动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有关单位未与施工单位、设施维护运营单位等共同制定设施保护方案，并采取相应的安全防护措施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擅自拆除、改动城镇排水与污水处理设施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城市的新建、扩建和改建工程项目未按规定配套建设节约用水设施或者节约用水设施经验收不合格</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逾期不缴纳超计划用水加价水费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拒不安装生活用水分户计量水表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城镇污水集中处理设施的运营单位或者污泥处理处置单位，处理处置后的污泥不符合国家标准，或者对污泥去向等未进行记录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《中华人民共和国水污染防治法》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城市自来水供水企业和自建设施对外供水的企业新建、改建、扩建的饮用水供水工程项目未经建设行政主管部门设计审查和竣工验收而擅自建设并投入使用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城市自来水供水企业和自建设施对外供水的企业未按规定进行日常性水质检验工作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特许经营者违反法律、行政法规和国家强制性标准，严重危害公共利益，或者造成重大质量、安全事故或者突发环境事件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《基础设施和公用事业特许经营管理办法》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以欺骗、贿赂等不正当手段取得特许经营项目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《基础设施和公用事业特许经营管理办法》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在城镇排水与污水处理设施覆盖范围内，未按照国家有关规定将污水排入城镇排水设施，或者在雨水、污水分流地区将污水排入雨水管网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排水户未取得排水许可，向城镇排水设施排放污水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排水户未按照排水许可证的要求，向城镇排水设施排放污水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排水户名称、法定代表人等其他事项变更，未按规定及时向城镇排水主管部门申请办理变更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排水户以欺骗、贿赂等不正当手段取得排水许可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排水户因发生事故或者其他突发事件，排放的污水可能危及城镇排水与污水处理设施安全运行，没有立即停止排放，未采取措施消除危害，或者并未按规定及时向城镇排水主管部门等有关部门报告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从事危及城镇排水设施安全的活动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排水户违反规定，拒不接受水质、水量监测或者妨碍、阻挠城镇排水主管部门依法监督检查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不具备相应资质的单位和不具备相应执业资格证书的专业技术人员从事城市照明工程勘察、设计、施工、监理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在城市景观照明中有过度照明等超能耗标准行为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在城市照明设施上刻划、涂污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在城市照明设施安全距离内，擅自植树、挖坑取土或者设置其他物体，或者倾倒含酸、碱、盐等腐蚀物或者具有腐蚀性的废渣、废液</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擅自在城市照明设施上张贴、悬挂、设置宣传品、广告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擅自在城市照明设施上架设线缆、安置其它设施或者接用电源</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擅自迁移、拆除、利用城市照明设施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其他可能影响城市照明设施正常运行的行为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擅自采用没有工程建设标准又未经核准的新技术、新材料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擅自变动或者破坏市政公用设施的防灾设施、抗震抗风构件、隔震或者振动控制装置、安全监测系统、健康监测系统、应急自动处置系统以及地震反应观测系统等设施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未对经鉴定不符合抗震要求的市政公用设施进行改造、改建或者抗震加固，又未限制使用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供水水质达不到国家有关标准规定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城市供水单位、二次供水管理单位未按规定进行水质检测或者委托检测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对于实施生产许可证管理的净水剂及与制水有关的材料等，选用未获证企业产品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城市供水单位使用未经检验或者检验不合格的净水剂及有关制水材料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城市供水单位使用未经检验或者检验不合格的城市供水设备、管网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二次供水管理单位，未按规定对各类储水设施进行清洗消毒</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城市供水单位、二次供水管理单位隐瞒、缓报、谎报水质突发事件或者水质信息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有危害城市供水水质安全的其他行为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城市供水单位未制定城市供水水质突发事件应急预案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城市供水单位未按规定上报水质报表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建设单位未移交地下管线工程档案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地下管线专业管理单位未移交地下管线工程档案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获得特许经营权的企业擅自停业、歇业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以欺骗、贿赂等不正当手段获得特许经营权</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城市桥梁产权人或者委托管理人未按照规定编制城市桥梁养护维修的中长期规划和年度计划，或者未经批准即实施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城市桥梁产权人或者委托管理人未按照规定设置相应的标志，并保持其完好、清晰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城市桥梁产权人或者委托管理人未按照规定委托具有相应资格的机构对城市桥梁进行检测评估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城市桥梁产权人或者委托管理人未按照规定制定城市桥梁的安全抢险预备方案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城市桥梁产权人或者委托管理人未按照规定对城市桥梁进行养护维修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单位或者个人擅自在城市桥梁上架设各类管线、设置广告等辅助物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单位和个人擅自在城市桥梁施工控制范围内从事河道疏浚、挖掘、打桩、地下管道顶进、爆破等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超限机动车辆、履带车、铁轮车等需经过城市桥梁的，在报公安交通管理部门审批前，未先经城市人民政府市政工程设施行政主管部门同意，或未采取相应技术措施就通行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经过检测评估，确定城市桥梁的承载能力下降，但尚未构成危桥的，城市桥梁产权人和委托管理人未及时设置警示标志，或未立即采取加固等安全措施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经检测评估判定为危桥的，城市桥梁产权人和委托管理人未立即采取措施，设置显著的警示标志，或未在二十四小时内，向城市人民政府市政工程设施行政主管部门报告；市政工程设施行政主管部门提出处理意见后，城市桥梁产权人和委托管理人未在期限内排除危险；在危险排除之前，城市桥梁产权人和委托管理人使用或者转让危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城镇污水处理设施维护运营单位或者污泥处理处置单位对产生的污泥以及处理处置后的污泥的去向、用途、用量等未进行跟踪、记录，或者处理处置后的污泥不符合国家有关标准，逾期不采取治理措施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未取得建设工程规划许可证或者未按照建设工程规划许可证的规定进行建设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建设单位或者个人未经批准进行临时建设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建设单位或者个人未按照批准内容进行临时建设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临时建筑物、构筑物超过批准期限，建设单位或者个人不拆除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城乡规划主管部门作出责令停止建设或者限期拆除的决定后，当事人不停止建设或者逾期不拆除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凡不符合城市容貌标准、环境卫生标准的建筑物或者设施，逾期未改造或者未拆除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住宅物业的建设单位未通过招投标的方式选聘物业服务企业或者未经批准，擅自采用协议方式选聘物业服务企业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建设单位擅自处分属于业主的物业共用部位、共用设施设备的所有权或者使用权</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逾期仍不移交有关资料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物业服务企业将一个物业管理区域内的全部物业管理一并委托给他人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挪用专项维修资金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建设单位在物业管理区域内不按照规定配置必要的物业管理用房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未经业主大会同意，物业服务企业擅自改变物业管理用房的用途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擅自改变物业管理区域内按照规划建设的公共建筑和共用设施用途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擅自占用、挖掘物业管理区域内道路、场地，损害业主共同利益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擅自利用物业共用部位、共用设施设备进行经营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单位不办理住房公积金缴存登记或者不为本单位职工办理住房公积金账户设立手续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单位逾期不缴或者少缴住房公积金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仿宋" w:hAnsi="仿宋" w:eastAsia="仿宋" w:cs="仿宋"/>
                <w:color w:val="000000"/>
                <w:sz w:val="18"/>
                <w:szCs w:val="18"/>
              </w:rPr>
            </w:pPr>
          </w:p>
        </w:tc>
      </w:tr>
    </w:tbl>
    <w:p/>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r>
        <w:rPr>
          <w:rFonts w:hint="eastAsia" w:ascii="宋体" w:hAnsi="宋体" w:cs="宋体"/>
          <w:kern w:val="44"/>
          <w:sz w:val="30"/>
          <w:szCs w:val="44"/>
        </w:rPr>
        <w:t>（十</w:t>
      </w:r>
      <w:r>
        <w:rPr>
          <w:rFonts w:hint="eastAsia" w:ascii="宋体" w:hAnsi="宋体" w:cs="宋体"/>
          <w:kern w:val="44"/>
          <w:sz w:val="30"/>
          <w:szCs w:val="44"/>
          <w:lang w:eastAsia="zh-CN"/>
        </w:rPr>
        <w:t>九</w:t>
      </w:r>
      <w:r>
        <w:rPr>
          <w:rFonts w:hint="eastAsia" w:ascii="宋体" w:hAnsi="宋体" w:cs="宋体"/>
          <w:kern w:val="44"/>
          <w:sz w:val="30"/>
          <w:szCs w:val="44"/>
        </w:rPr>
        <w:t>）涉农补贴领域基层政务公开标准目录</w:t>
      </w:r>
    </w:p>
    <w:tbl>
      <w:tblPr>
        <w:tblStyle w:val="9"/>
        <w:tblW w:w="140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0"/>
        <w:gridCol w:w="720"/>
        <w:gridCol w:w="900"/>
        <w:gridCol w:w="2340"/>
        <w:gridCol w:w="2880"/>
        <w:gridCol w:w="1260"/>
        <w:gridCol w:w="1260"/>
        <w:gridCol w:w="1440"/>
        <w:gridCol w:w="720"/>
        <w:gridCol w:w="709"/>
        <w:gridCol w:w="11"/>
        <w:gridCol w:w="540"/>
        <w:gridCol w:w="7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8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3"/>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40" w:type="dxa"/>
            <w:vMerge w:val="continue"/>
            <w:tcBorders>
              <w:top w:val="single" w:color="auto" w:sz="4" w:space="0"/>
              <w:left w:val="single" w:color="auto" w:sz="4" w:space="0"/>
              <w:bottom w:val="single" w:color="auto" w:sz="4" w:space="0"/>
              <w:right w:val="single" w:color="auto" w:sz="4" w:space="0"/>
            </w:tcBorders>
            <w:vAlign w:val="center"/>
          </w:tcPr>
          <w:p/>
        </w:tc>
        <w:tc>
          <w:tcPr>
            <w:tcW w:w="2880" w:type="dxa"/>
            <w:vMerge w:val="continue"/>
            <w:tcBorders>
              <w:top w:val="single" w:color="auto" w:sz="4" w:space="0"/>
              <w:left w:val="single" w:color="auto" w:sz="4" w:space="0"/>
              <w:bottom w:val="single" w:color="auto" w:sz="4" w:space="0"/>
              <w:right w:val="single" w:color="auto" w:sz="4" w:space="0"/>
            </w:tcBorders>
            <w:vAlign w:val="center"/>
          </w:tcPr>
          <w:p/>
        </w:tc>
        <w:tc>
          <w:tcPr>
            <w:tcW w:w="1260" w:type="dxa"/>
            <w:vMerge w:val="continue"/>
            <w:tcBorders>
              <w:top w:val="single" w:color="auto" w:sz="4" w:space="0"/>
              <w:left w:val="single" w:color="auto" w:sz="4" w:space="0"/>
              <w:bottom w:val="single" w:color="auto" w:sz="4" w:space="0"/>
              <w:right w:val="single" w:color="auto" w:sz="4" w:space="0"/>
            </w:tcBorders>
            <w:vAlign w:val="center"/>
          </w:tcPr>
          <w:p/>
        </w:tc>
        <w:tc>
          <w:tcPr>
            <w:tcW w:w="1260" w:type="dxa"/>
            <w:vMerge w:val="continue"/>
            <w:tcBorders>
              <w:top w:val="single" w:color="auto" w:sz="4" w:space="0"/>
              <w:left w:val="single" w:color="auto" w:sz="4" w:space="0"/>
              <w:bottom w:val="single" w:color="auto" w:sz="4" w:space="0"/>
              <w:right w:val="single" w:color="auto" w:sz="4" w:space="0"/>
            </w:tcBorders>
            <w:vAlign w:val="center"/>
          </w:tcPr>
          <w:p/>
        </w:tc>
        <w:tc>
          <w:tcPr>
            <w:tcW w:w="1440" w:type="dxa"/>
            <w:vMerge w:val="continue"/>
            <w:tcBorders>
              <w:top w:val="single" w:color="auto" w:sz="4" w:space="0"/>
              <w:left w:val="single" w:color="auto" w:sz="4" w:space="0"/>
              <w:bottom w:val="single" w:color="auto" w:sz="4" w:space="0"/>
              <w:right w:val="single" w:color="auto" w:sz="4" w:space="0"/>
            </w:tcBorders>
            <w:vAlign w:val="center"/>
          </w:tc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gridSpan w:val="2"/>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宋体"/>
                <w:sz w:val="18"/>
                <w:szCs w:val="18"/>
              </w:rPr>
            </w:pPr>
            <w:r>
              <w:rPr>
                <w:rFonts w:ascii="仿宋_GB2312" w:hAnsi="宋体" w:eastAsia="仿宋_GB2312"/>
                <w:sz w:val="18"/>
                <w:szCs w:val="18"/>
              </w:rPr>
              <w:t>1</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农机购置补贴</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jc w:val="lef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《中华人民共和国农业机械化促进法》</w:t>
            </w:r>
            <w:r>
              <w:rPr>
                <w:rFonts w:hint="eastAsia" w:ascii="仿宋_GB2312" w:hAnsi="Times New Roman" w:eastAsia="仿宋_GB2312"/>
                <w:sz w:val="18"/>
                <w:szCs w:val="18"/>
              </w:rPr>
              <w:t>、《农业生产发展资金管理办法》、《</w:t>
            </w:r>
            <w:r>
              <w:rPr>
                <w:rFonts w:ascii="仿宋_GB2312" w:hAnsi="Times New Roman" w:eastAsia="仿宋_GB2312"/>
                <w:sz w:val="18"/>
                <w:szCs w:val="18"/>
              </w:rPr>
              <w:t>2018-2020</w:t>
            </w:r>
            <w:r>
              <w:rPr>
                <w:rFonts w:hint="eastAsia" w:ascii="仿宋_GB2312" w:hAnsi="Times New Roman" w:eastAsia="仿宋_GB2312"/>
                <w:sz w:val="18"/>
                <w:szCs w:val="18"/>
              </w:rPr>
              <w:t>年农机购置补贴实施指导意见》</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18"/>
                <w:szCs w:val="18"/>
              </w:rPr>
            </w:pPr>
            <w:r>
              <w:rPr>
                <w:rFonts w:ascii="仿宋_GB2312" w:hAnsi="宋体" w:eastAsia="仿宋_GB2312"/>
                <w:sz w:val="18"/>
                <w:szCs w:val="18"/>
              </w:rPr>
              <w:t>2</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耕地地力保护</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eastAsia="仿宋_GB2312"/>
                <w:sz w:val="18"/>
                <w:szCs w:val="18"/>
              </w:rPr>
            </w:pPr>
            <w:r>
              <w:rPr>
                <w:rFonts w:hint="eastAsia" w:ascii="仿宋_GB2312" w:hAnsi="Times New Roman" w:eastAsia="仿宋_GB2312"/>
                <w:sz w:val="18"/>
                <w:szCs w:val="18"/>
              </w:rPr>
              <w:t>《农业生产发展资金管理办法》、《财政部</w:t>
            </w:r>
            <w:r>
              <w:rPr>
                <w:rFonts w:ascii="仿宋_GB2312" w:hAnsi="Times New Roman" w:eastAsia="仿宋_GB2312"/>
                <w:sz w:val="18"/>
                <w:szCs w:val="18"/>
              </w:rPr>
              <w:t xml:space="preserve"> </w:t>
            </w:r>
            <w:r>
              <w:rPr>
                <w:rFonts w:hint="eastAsia" w:ascii="仿宋_GB2312" w:hAnsi="Times New Roman" w:eastAsia="仿宋_GB2312"/>
                <w:sz w:val="18"/>
                <w:szCs w:val="18"/>
              </w:rPr>
              <w:t>农业部关于全面推开农业“三项补贴”改革工作的通知》</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区农业农村局</w:t>
            </w:r>
            <w:r>
              <w:rPr>
                <w:rFonts w:hint="eastAsia" w:ascii="仿宋_GB2312" w:hAnsi="Times New Roman" w:eastAsia="仿宋_GB2312"/>
                <w:sz w:val="18"/>
                <w:szCs w:val="18"/>
              </w:rPr>
              <w:t>、村委会</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240" w:lineRule="exact"/>
              <w:rPr>
                <w:rFonts w:ascii="仿宋_GB2312" w:hAnsi="宋体" w:eastAsia="仿宋_GB2312"/>
                <w:sz w:val="18"/>
                <w:szCs w:val="18"/>
              </w:rPr>
            </w:pPr>
            <w:r>
              <w:rPr>
                <w:rFonts w:hint="eastAsia" w:ascii="仿宋_GB2312" w:hAnsi="宋体" w:eastAsia="仿宋_GB2312"/>
                <w:sz w:val="18"/>
                <w:szCs w:val="18"/>
              </w:rPr>
              <w:t>■村公示栏</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18"/>
                <w:szCs w:val="18"/>
              </w:rPr>
            </w:pPr>
            <w:r>
              <w:rPr>
                <w:rFonts w:ascii="仿宋_GB2312" w:hAnsi="宋体" w:eastAsia="仿宋_GB2312"/>
                <w:sz w:val="18"/>
                <w:szCs w:val="18"/>
              </w:rPr>
              <w:t>3</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jc w:val="left"/>
              <w:rPr>
                <w:rFonts w:ascii="仿宋_GB2312" w:hAnsi="Times New Roman" w:eastAsia="仿宋_GB2312"/>
                <w:sz w:val="18"/>
                <w:szCs w:val="18"/>
              </w:rPr>
            </w:pPr>
            <w:r>
              <w:rPr>
                <w:rFonts w:hint="eastAsia" w:ascii="仿宋_GB2312" w:hAnsi="Times New Roman" w:eastAsia="仿宋_GB2312"/>
                <w:sz w:val="18"/>
                <w:szCs w:val="18"/>
              </w:rPr>
              <w:t>高素质农民培训</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申请指南：包括培训对象、培训范围、培训标准、申请程序、申请材料、咨询电话、受理单位、办理时限、联系方式等；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hint="eastAsia" w:ascii="仿宋_GB2312" w:hAnsi="Times New Roman" w:eastAsia="仿宋_GB2312"/>
                <w:sz w:val="18"/>
                <w:szCs w:val="18"/>
                <w:lang w:eastAsia="zh-CN"/>
              </w:rPr>
            </w:pPr>
            <w:r>
              <w:rPr>
                <w:rFonts w:hint="eastAsia" w:ascii="仿宋_GB2312" w:hAnsi="Times New Roman" w:eastAsia="仿宋_GB2312"/>
                <w:sz w:val="18"/>
                <w:szCs w:val="18"/>
              </w:rPr>
              <w:t>《高素质农民培训规范（试行）》、《</w:t>
            </w:r>
            <w:r>
              <w:rPr>
                <w:rFonts w:ascii="仿宋_GB2312" w:hAnsi="Times New Roman" w:eastAsia="仿宋_GB2312"/>
                <w:sz w:val="18"/>
                <w:szCs w:val="18"/>
              </w:rPr>
              <w:t>2020</w:t>
            </w:r>
            <w:r>
              <w:rPr>
                <w:rFonts w:hint="eastAsia" w:ascii="仿宋_GB2312" w:hAnsi="Times New Roman" w:eastAsia="仿宋_GB2312"/>
                <w:sz w:val="18"/>
                <w:szCs w:val="18"/>
              </w:rPr>
              <w:t>年河北省高素质农民培育实施方案》、《</w:t>
            </w:r>
            <w:r>
              <w:rPr>
                <w:rFonts w:ascii="仿宋_GB2312" w:hAnsi="Times New Roman" w:eastAsia="仿宋_GB2312"/>
                <w:sz w:val="18"/>
                <w:szCs w:val="18"/>
              </w:rPr>
              <w:t>2020</w:t>
            </w:r>
            <w:r>
              <w:rPr>
                <w:rFonts w:hint="eastAsia" w:ascii="仿宋_GB2312" w:hAnsi="Times New Roman" w:eastAsia="仿宋_GB2312"/>
                <w:sz w:val="18"/>
                <w:szCs w:val="18"/>
              </w:rPr>
              <w:t>年石家庄市高素质农民培育实施方案</w:t>
            </w:r>
            <w:r>
              <w:rPr>
                <w:rFonts w:hint="eastAsia" w:ascii="仿宋_GB2312" w:hAnsi="Times New Roman" w:eastAsia="仿宋_GB2312"/>
                <w:sz w:val="18"/>
                <w:szCs w:val="18"/>
                <w:lang w:eastAsia="zh-CN"/>
              </w:rPr>
              <w:t>》</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sz w:val="18"/>
                <w:szCs w:val="18"/>
              </w:rPr>
            </w:pPr>
            <w:r>
              <w:rPr>
                <w:rFonts w:ascii="仿宋_GB2312" w:hAnsi="宋体" w:eastAsia="仿宋_GB2312"/>
                <w:sz w:val="18"/>
                <w:szCs w:val="18"/>
              </w:rPr>
              <w:t>4</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支持新型农业经营主体</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rPr>
                <w:rFonts w:ascii="仿宋_GB2312" w:hAnsi="Times New Roman" w:eastAsia="仿宋_GB2312"/>
                <w:sz w:val="18"/>
                <w:szCs w:val="18"/>
              </w:rPr>
            </w:pPr>
            <w:r>
              <w:rPr>
                <w:rFonts w:hint="eastAsia" w:ascii="仿宋_GB2312" w:hAnsi="Times New Roman" w:eastAsia="仿宋_GB2312"/>
                <w:sz w:val="18"/>
                <w:szCs w:val="18"/>
              </w:rPr>
              <w:t>《农业生产发展资金管理办法》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000000" w:sz="4" w:space="0"/>
              <w:right w:val="single" w:color="auto" w:sz="4" w:space="0"/>
            </w:tcBorders>
            <w:vAlign w:val="center"/>
          </w:tcPr>
          <w:p>
            <w:pPr>
              <w:jc w:val="center"/>
              <w:rPr>
                <w:rFonts w:ascii="仿宋_GB2312" w:hAnsi="宋体" w:eastAsia="仿宋_GB2312"/>
                <w:sz w:val="18"/>
                <w:szCs w:val="18"/>
              </w:rPr>
            </w:pPr>
            <w:r>
              <w:rPr>
                <w:rFonts w:ascii="仿宋_GB2312" w:hAnsi="宋体" w:eastAsia="仿宋_GB2312"/>
                <w:sz w:val="18"/>
                <w:szCs w:val="18"/>
              </w:rPr>
              <w:t>5</w:t>
            </w:r>
          </w:p>
        </w:tc>
        <w:tc>
          <w:tcPr>
            <w:tcW w:w="7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宋体" w:eastAsia="仿宋_GB2312"/>
                <w:sz w:val="18"/>
                <w:szCs w:val="18"/>
              </w:rPr>
            </w:pPr>
            <w:r>
              <w:rPr>
                <w:rFonts w:hint="eastAsia" w:ascii="仿宋_GB2312" w:hAnsi="宋体" w:eastAsia="仿宋_GB2312"/>
                <w:sz w:val="18"/>
                <w:szCs w:val="18"/>
              </w:rPr>
              <w:t>动物防疫等补助经费</w:t>
            </w:r>
          </w:p>
        </w:tc>
        <w:tc>
          <w:tcPr>
            <w:tcW w:w="900" w:type="dxa"/>
            <w:tcBorders>
              <w:top w:val="single" w:color="auto" w:sz="4" w:space="0"/>
              <w:left w:val="nil"/>
              <w:bottom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强制扑杀、强制免疫和养殖环节无害化处理补助</w:t>
            </w:r>
          </w:p>
        </w:tc>
        <w:tc>
          <w:tcPr>
            <w:tcW w:w="234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pPr>
              <w:jc w:val="left"/>
              <w:rPr>
                <w:rFonts w:ascii="仿宋_GB2312" w:hAnsi="Times New Roman" w:eastAsia="仿宋_GB2312"/>
                <w:sz w:val="18"/>
                <w:szCs w:val="18"/>
              </w:rPr>
            </w:pPr>
            <w:r>
              <w:rPr>
                <w:rFonts w:hint="eastAsia" w:ascii="仿宋_GB2312" w:hAnsi="Times New Roman" w:eastAsia="仿宋_GB2312"/>
                <w:sz w:val="18"/>
                <w:szCs w:val="18"/>
              </w:rPr>
              <w:t>《中华人民共和国动物防疫法》、《动物防疫等补助经费管理办法》、《石家庄市病死畜禽无害化处理全覆盖补助资金管理办法》</w:t>
            </w:r>
          </w:p>
        </w:tc>
        <w:tc>
          <w:tcPr>
            <w:tcW w:w="1260" w:type="dxa"/>
            <w:tcBorders>
              <w:top w:val="single" w:color="auto" w:sz="4" w:space="0"/>
              <w:left w:val="nil"/>
              <w:bottom w:val="single" w:color="auto" w:sz="4" w:space="0"/>
              <w:right w:val="single" w:color="auto" w:sz="4" w:space="0"/>
            </w:tcBorders>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jc w:val="center"/>
              <w:rPr>
                <w:rFonts w:ascii="仿宋_GB2312" w:hAnsi="仿宋" w:eastAsia="仿宋_GB2312" w:cs="宋体"/>
                <w:sz w:val="18"/>
                <w:szCs w:val="18"/>
              </w:rPr>
            </w:pPr>
            <w:r>
              <w:rPr>
                <w:rFonts w:hint="eastAsia" w:ascii="仿宋_GB2312" w:hAnsi="仿宋" w:eastAsia="仿宋_GB2312"/>
                <w:sz w:val="18"/>
                <w:szCs w:val="18"/>
              </w:rPr>
              <w:t>　</w:t>
            </w:r>
          </w:p>
        </w:tc>
      </w:tr>
    </w:tbl>
    <w:p/>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r>
        <w:rPr>
          <w:rFonts w:hint="eastAsia" w:ascii="宋体" w:hAnsi="宋体" w:cs="宋体"/>
          <w:kern w:val="44"/>
          <w:sz w:val="30"/>
          <w:szCs w:val="44"/>
        </w:rPr>
        <w:t>（</w:t>
      </w:r>
      <w:r>
        <w:rPr>
          <w:rFonts w:hint="eastAsia" w:ascii="宋体" w:hAnsi="宋体" w:cs="宋体"/>
          <w:kern w:val="44"/>
          <w:sz w:val="30"/>
          <w:szCs w:val="44"/>
          <w:lang w:eastAsia="zh-CN"/>
        </w:rPr>
        <w:t>二十</w:t>
      </w:r>
      <w:r>
        <w:rPr>
          <w:rFonts w:hint="eastAsia" w:ascii="宋体" w:hAnsi="宋体" w:cs="宋体"/>
          <w:kern w:val="44"/>
          <w:sz w:val="30"/>
          <w:szCs w:val="44"/>
        </w:rPr>
        <w:t>）公共文化服务领域基层政务公开标准目录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51"/>
        <w:gridCol w:w="669"/>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35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78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81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2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3"/>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34"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6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786" w:type="dxa"/>
            <w:vMerge w:val="continue"/>
            <w:tcBorders>
              <w:top w:val="single" w:color="auto" w:sz="4" w:space="0"/>
              <w:left w:val="single" w:color="auto" w:sz="4" w:space="0"/>
              <w:right w:val="single" w:color="auto" w:sz="4" w:space="0"/>
            </w:tcBorders>
            <w:vAlign w:val="center"/>
          </w:tcPr>
          <w:p/>
        </w:tc>
        <w:tc>
          <w:tcPr>
            <w:tcW w:w="1980" w:type="dxa"/>
            <w:vMerge w:val="continue"/>
            <w:tcBorders>
              <w:top w:val="single" w:color="auto" w:sz="4" w:space="0"/>
              <w:left w:val="single" w:color="auto" w:sz="4" w:space="0"/>
              <w:right w:val="single" w:color="auto" w:sz="4" w:space="0"/>
            </w:tcBorders>
            <w:vAlign w:val="center"/>
          </w:tcPr>
          <w:p/>
        </w:tc>
        <w:tc>
          <w:tcPr>
            <w:tcW w:w="1814" w:type="dxa"/>
            <w:vMerge w:val="continue"/>
            <w:tcBorders>
              <w:top w:val="single" w:color="auto" w:sz="4" w:space="0"/>
              <w:left w:val="single" w:color="auto" w:sz="4" w:space="0"/>
              <w:right w:val="single" w:color="auto" w:sz="4" w:space="0"/>
            </w:tcBorders>
            <w:vAlign w:val="center"/>
          </w:tcPr>
          <w:p/>
        </w:tc>
        <w:tc>
          <w:tcPr>
            <w:tcW w:w="1426" w:type="dxa"/>
            <w:vMerge w:val="continue"/>
            <w:tcBorders>
              <w:top w:val="single" w:color="auto" w:sz="4" w:space="0"/>
              <w:left w:val="single" w:color="auto" w:sz="4" w:space="0"/>
              <w:right w:val="single" w:color="auto" w:sz="4" w:space="0"/>
            </w:tcBorders>
            <w:vAlign w:val="center"/>
          </w:tcPr>
          <w:p/>
        </w:tc>
        <w:tc>
          <w:tcPr>
            <w:tcW w:w="1440" w:type="dxa"/>
            <w:vMerge w:val="continue"/>
            <w:tcBorders>
              <w:top w:val="single" w:color="auto" w:sz="4" w:space="0"/>
              <w:left w:val="single" w:color="auto" w:sz="4" w:space="0"/>
              <w:right w:val="single" w:color="auto" w:sz="4" w:space="0"/>
            </w:tcBorders>
            <w:vAlign w:val="center"/>
          </w:tcPr>
          <w:p/>
        </w:tc>
        <w:tc>
          <w:tcPr>
            <w:tcW w:w="720" w:type="dxa"/>
            <w:gridSpan w:val="2"/>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p>
        </w:tc>
        <w:tc>
          <w:tcPr>
            <w:tcW w:w="734"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互联网上网服务营业场所经营许可</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办事指南：主要包括事项名称、设定依据、申请条件、办理材料、办理地点、办理时间、联系电话、办理流程、办理期限、申请行政许可需要提交的全部材料目录及办理情况</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、《政府信息公开条例》、《互联网上网服务营业场所管理条例》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2</w:t>
            </w:r>
          </w:p>
        </w:tc>
        <w:tc>
          <w:tcPr>
            <w:tcW w:w="734"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文艺表演团体设立审批</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、《政府信息公开条例》、《营业性演出管理条例》、《文化部关于落实“先照后证”改进文化市场行政审批工作的通知》</w:t>
            </w:r>
            <w:r>
              <w:rPr>
                <w:rFonts w:ascii="仿宋_GB2312" w:hAnsi="Times New Roman" w:eastAsia="仿宋_GB2312"/>
                <w:sz w:val="18"/>
                <w:szCs w:val="18"/>
              </w:rPr>
              <w:t xml:space="preserve"> </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3</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营业性演出审批</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4</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娱乐场所经营许可</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5</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县级文物保护单位建设控制地带内建设工程设计方案审批</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6</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县级文物保护单位实施原址保护措施审批</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■公开查阅点</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7</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县级文物保护单位和未核定为文物保护单位的不可移动文物修缮审批</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■公开查阅点</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8</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非国有文物收藏单位和其他单位举办展览需借用国有馆藏二级以下文物审批</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p>
            <w:pPr>
              <w:spacing w:line="240" w:lineRule="exact"/>
              <w:rPr>
                <w:rFonts w:ascii="仿宋_GB2312" w:hAnsi="Times New Roman" w:eastAsia="仿宋_GB2312"/>
                <w:sz w:val="18"/>
                <w:szCs w:val="18"/>
              </w:rPr>
            </w:pP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■公开查阅点</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9</w:t>
            </w:r>
          </w:p>
        </w:tc>
        <w:tc>
          <w:tcPr>
            <w:tcW w:w="734"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对互联网上网服务营业场所违法行为的行政处罚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13" w:hRule="atLeas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10</w:t>
            </w:r>
          </w:p>
        </w:tc>
        <w:tc>
          <w:tcPr>
            <w:tcW w:w="734"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对娱乐场所违法行为的行政处罚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娱乐场所管理条例》、《国务院关于促进市场公平竞争维护市场正常秩序的若干意见》、《国务院办公厅关于全面推行行政执法公示制度执法全过程记录制度重大执法决定法制审核制度的指导意见》、《娱乐场所管理办法》</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11</w:t>
            </w:r>
          </w:p>
        </w:tc>
        <w:tc>
          <w:tcPr>
            <w:tcW w:w="734"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对营业性演出违法行为的行政处罚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营业性演出管理条例》、《国务院关于促进市场公平竞争维护市场正常秩序的若干意见》、《国务院办公厅关于全面推行行政执法公示制度执法全过程记录制度重大执法决定法制审核制度的指导意见》、《营业性演出管理条例实施细则》</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12</w:t>
            </w:r>
          </w:p>
        </w:tc>
        <w:tc>
          <w:tcPr>
            <w:tcW w:w="734"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对艺术品经营违法行为的行政处罚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《国务院关于促进市场公平竞争维护市场正常秩序的若干意见》、《国务院办公厅关于全面推行行政执法公示制度执法全过程记录制度重大执法决定法制审核制度的指导意见》、《艺术品经营管理办法》</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13</w:t>
            </w:r>
          </w:p>
        </w:tc>
        <w:tc>
          <w:tcPr>
            <w:tcW w:w="734" w:type="dxa"/>
            <w:vMerge w:val="restart"/>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对网络游戏运营单位违法行为的行政处罚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《国务院关于促进市场公平竞争维护市场正常秩序的若干意见》、《国务院办公厅关于全面推行行政执法公示制度执法全过程记录制度重大执法决定法制审核制度的指导意见》、《网络游戏管理暂行办法》</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14</w:t>
            </w:r>
          </w:p>
        </w:tc>
        <w:tc>
          <w:tcPr>
            <w:tcW w:w="734"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对社会艺术水平考级活动违法行为的行政处罚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《国务院关于促进市场公平竞争维护市场正常秩序的若干意见》、《国务院办公厅关于全面推行行政执法公示制度执法全过程记录制度重大执法决定法制审核制度的指导意见》、《社会艺术水平考级管理办法》</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15</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对互联网文化单位违法行为的行政处罚</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互联网文化管理暂行规定》（文化部令第</w:t>
            </w:r>
            <w:r>
              <w:rPr>
                <w:rFonts w:ascii="仿宋_GB2312" w:hAnsi="Times New Roman" w:eastAsia="仿宋_GB2312"/>
                <w:sz w:val="18"/>
                <w:szCs w:val="18"/>
              </w:rPr>
              <w:t>51</w:t>
            </w:r>
            <w:r>
              <w:rPr>
                <w:rFonts w:hint="eastAsia" w:ascii="仿宋_GB2312" w:hAnsi="Times New Roman" w:eastAsia="仿宋_GB2312"/>
                <w:sz w:val="18"/>
                <w:szCs w:val="18"/>
              </w:rPr>
              <w:t>号，第</w:t>
            </w:r>
            <w:r>
              <w:rPr>
                <w:rFonts w:ascii="仿宋_GB2312" w:hAnsi="Times New Roman" w:eastAsia="仿宋_GB2312"/>
                <w:sz w:val="18"/>
                <w:szCs w:val="18"/>
              </w:rPr>
              <w:t>57</w:t>
            </w:r>
            <w:r>
              <w:rPr>
                <w:rFonts w:hint="eastAsia" w:ascii="仿宋_GB2312" w:hAnsi="Times New Roman" w:eastAsia="仿宋_GB2312"/>
                <w:sz w:val="18"/>
                <w:szCs w:val="18"/>
              </w:rPr>
              <w:t>号予以修改）</w:t>
            </w:r>
            <w:r>
              <w:rPr>
                <w:rFonts w:ascii="仿宋_GB2312" w:hAnsi="Times New Roman" w:eastAsia="仿宋_GB2312"/>
                <w:sz w:val="18"/>
                <w:szCs w:val="18"/>
              </w:rPr>
              <w:t xml:space="preserve">  </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16</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强制</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对擅自从事互联网上网服务经营活动场所的查封，专用工具、设备的扣押</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处理依据；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处理结果。</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17</w:t>
            </w:r>
          </w:p>
        </w:tc>
        <w:tc>
          <w:tcPr>
            <w:tcW w:w="734"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w:t>
            </w:r>
            <w:r>
              <w:rPr>
                <w:rFonts w:ascii="仿宋_GB2312" w:hAnsi="Times New Roman" w:eastAsia="仿宋_GB2312"/>
                <w:sz w:val="18"/>
                <w:szCs w:val="18"/>
              </w:rPr>
              <w:br w:type="textWrapping"/>
            </w:r>
            <w:r>
              <w:rPr>
                <w:rFonts w:hint="eastAsia" w:ascii="仿宋_GB2312" w:hAnsi="Times New Roman" w:eastAsia="仿宋_GB2312"/>
                <w:sz w:val="18"/>
                <w:szCs w:val="18"/>
              </w:rPr>
              <w:t>服务</w:t>
            </w:r>
          </w:p>
        </w:tc>
        <w:tc>
          <w:tcPr>
            <w:tcW w:w="162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公共文化机构免费开放信息</w:t>
            </w:r>
          </w:p>
        </w:tc>
        <w:tc>
          <w:tcPr>
            <w:tcW w:w="1786"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r>
              <w:rPr>
                <w:rFonts w:hint="eastAsia" w:ascii="仿宋_GB2312" w:hAnsi="Times New Roman" w:eastAsia="仿宋_GB2312"/>
                <w:sz w:val="18"/>
                <w:szCs w:val="18"/>
                <w:lang w:eastAsia="zh-CN"/>
              </w:rPr>
              <w:t>；</w:t>
            </w:r>
          </w:p>
          <w:p>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机构地址</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联系电话</w:t>
            </w:r>
            <w:r>
              <w:rPr>
                <w:rFonts w:hint="eastAsia" w:ascii="仿宋_GB2312" w:hAnsi="Times New Roman" w:eastAsia="仿宋_GB2312"/>
                <w:sz w:val="18"/>
                <w:szCs w:val="18"/>
                <w:lang w:eastAsia="zh-CN"/>
              </w:rPr>
              <w:t>；</w:t>
            </w:r>
          </w:p>
          <w:p>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《中华人民共和国公共文化服务保障法》</w:t>
            </w:r>
            <w:r>
              <w:rPr>
                <w:rFonts w:hint="eastAsia" w:ascii="仿宋_GB2312" w:hAnsi="Times New Roman" w:eastAsia="仿宋_GB2312"/>
                <w:sz w:val="18"/>
                <w:szCs w:val="18"/>
              </w:rPr>
              <w:t>、《政府信息公开条例》、《文化部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财政部关于推进全国美术馆、公共图书馆、文化馆（站）免费开放工作的意见》、《文化部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财政部关于做好城市社区</w:t>
            </w:r>
            <w:r>
              <w:rPr>
                <w:rFonts w:ascii="仿宋_GB2312" w:hAnsi="Times New Roman" w:eastAsia="仿宋_GB2312"/>
                <w:sz w:val="18"/>
                <w:szCs w:val="18"/>
              </w:rPr>
              <w:t>(</w:t>
            </w:r>
            <w:r>
              <w:rPr>
                <w:rFonts w:hint="eastAsia" w:ascii="仿宋_GB2312" w:hAnsi="Times New Roman" w:eastAsia="仿宋_GB2312"/>
                <w:sz w:val="18"/>
                <w:szCs w:val="18"/>
              </w:rPr>
              <w:t>街道</w:t>
            </w:r>
            <w:r>
              <w:rPr>
                <w:rFonts w:ascii="仿宋_GB2312" w:hAnsi="Times New Roman" w:eastAsia="仿宋_GB2312"/>
                <w:sz w:val="18"/>
                <w:szCs w:val="18"/>
              </w:rPr>
              <w:t>)</w:t>
            </w:r>
            <w:r>
              <w:rPr>
                <w:rFonts w:hint="eastAsia" w:ascii="仿宋_GB2312" w:hAnsi="Times New Roman" w:eastAsia="仿宋_GB2312"/>
                <w:sz w:val="18"/>
                <w:szCs w:val="18"/>
              </w:rPr>
              <w:t>文化中心免费开放工作的通知》</w:t>
            </w:r>
          </w:p>
        </w:tc>
        <w:tc>
          <w:tcPr>
            <w:tcW w:w="1814"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区文化广电体育和旅游局</w:t>
            </w:r>
            <w:r>
              <w:rPr>
                <w:rFonts w:hint="eastAsia" w:ascii="仿宋_GB2312" w:hAnsi="Times New Roman" w:eastAsia="仿宋_GB2312"/>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18</w:t>
            </w:r>
          </w:p>
        </w:tc>
        <w:tc>
          <w:tcPr>
            <w:tcW w:w="734" w:type="dxa"/>
            <w:tcBorders>
              <w:top w:val="single" w:color="auto" w:sz="4" w:space="0"/>
              <w:left w:val="single" w:color="auto" w:sz="4" w:space="0"/>
              <w:right w:val="single" w:color="auto" w:sz="4" w:space="0"/>
            </w:tcBorders>
            <w:vAlign w:val="center"/>
          </w:tcPr>
          <w:p>
            <w:pPr>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特殊群体公共文化服务信息</w:t>
            </w:r>
          </w:p>
        </w:tc>
        <w:tc>
          <w:tcPr>
            <w:tcW w:w="1786"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r>
              <w:rPr>
                <w:rFonts w:hint="eastAsia" w:ascii="仿宋_GB2312" w:hAnsi="Times New Roman" w:eastAsia="仿宋_GB2312"/>
                <w:sz w:val="18"/>
                <w:szCs w:val="18"/>
                <w:lang w:eastAsia="zh-CN"/>
              </w:rPr>
              <w:t>；</w:t>
            </w:r>
          </w:p>
          <w:p>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机构地址</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联系电话</w:t>
            </w:r>
            <w:r>
              <w:rPr>
                <w:rFonts w:hint="eastAsia" w:ascii="仿宋_GB2312" w:hAnsi="Times New Roman" w:eastAsia="仿宋_GB2312"/>
                <w:sz w:val="18"/>
                <w:szCs w:val="18"/>
                <w:lang w:eastAsia="zh-CN"/>
              </w:rPr>
              <w:t>；</w:t>
            </w:r>
          </w:p>
          <w:p>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《残疾人保障法》、《政府信息公开条例》、《中共中央办公厅</w:t>
            </w:r>
            <w:r>
              <w:rPr>
                <w:rFonts w:ascii="仿宋_GB2312" w:hAnsi="Times New Roman" w:eastAsia="仿宋_GB2312"/>
                <w:sz w:val="18"/>
                <w:szCs w:val="18"/>
              </w:rPr>
              <w:t xml:space="preserve"> </w:t>
            </w:r>
            <w:r>
              <w:rPr>
                <w:rFonts w:hint="eastAsia" w:ascii="仿宋_GB2312" w:hAnsi="Times New Roman" w:eastAsia="仿宋_GB2312"/>
                <w:sz w:val="18"/>
                <w:szCs w:val="18"/>
              </w:rPr>
              <w:t>国务院办公厅印发关于加快构建现代公共文化服务体系的意见》</w:t>
            </w:r>
          </w:p>
        </w:tc>
        <w:tc>
          <w:tcPr>
            <w:tcW w:w="1814"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区文化广电体育和旅游局</w:t>
            </w:r>
            <w:r>
              <w:rPr>
                <w:rFonts w:hint="eastAsia" w:ascii="仿宋_GB2312" w:hAnsi="Times New Roman" w:eastAsia="仿宋_GB2312"/>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19</w:t>
            </w:r>
          </w:p>
        </w:tc>
        <w:tc>
          <w:tcPr>
            <w:tcW w:w="734"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w:t>
            </w:r>
            <w:r>
              <w:rPr>
                <w:rFonts w:ascii="仿宋_GB2312" w:hAnsi="Times New Roman" w:eastAsia="仿宋_GB2312"/>
                <w:sz w:val="18"/>
                <w:szCs w:val="18"/>
              </w:rPr>
              <w:br w:type="textWrapping"/>
            </w:r>
            <w:r>
              <w:rPr>
                <w:rFonts w:hint="eastAsia" w:ascii="仿宋_GB2312" w:hAnsi="Times New Roman" w:eastAsia="仿宋_GB2312"/>
                <w:sz w:val="18"/>
                <w:szCs w:val="18"/>
              </w:rPr>
              <w:t>服务</w:t>
            </w:r>
          </w:p>
        </w:tc>
        <w:tc>
          <w:tcPr>
            <w:tcW w:w="162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组织开展群众文化活动</w:t>
            </w:r>
          </w:p>
        </w:tc>
        <w:tc>
          <w:tcPr>
            <w:tcW w:w="1786"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r>
              <w:rPr>
                <w:rFonts w:hint="eastAsia" w:ascii="仿宋_GB2312" w:hAnsi="Times New Roman" w:eastAsia="仿宋_GB2312"/>
                <w:sz w:val="18"/>
                <w:szCs w:val="18"/>
                <w:lang w:eastAsia="zh-CN"/>
              </w:rPr>
              <w:t>；</w:t>
            </w:r>
          </w:p>
          <w:p>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机构地址</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联系电话</w:t>
            </w:r>
            <w:r>
              <w:rPr>
                <w:rFonts w:hint="eastAsia" w:ascii="仿宋_GB2312" w:hAnsi="Times New Roman" w:eastAsia="仿宋_GB2312"/>
                <w:sz w:val="18"/>
                <w:szCs w:val="18"/>
                <w:lang w:eastAsia="zh-CN"/>
              </w:rPr>
              <w:t>；</w:t>
            </w:r>
          </w:p>
          <w:p>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《政府信息公开条例》、《文化馆服务标准》</w:t>
            </w:r>
          </w:p>
        </w:tc>
        <w:tc>
          <w:tcPr>
            <w:tcW w:w="1814"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区文化广电体育和旅游局</w:t>
            </w:r>
            <w:r>
              <w:rPr>
                <w:rFonts w:hint="eastAsia" w:ascii="仿宋_GB2312" w:hAnsi="Times New Roman" w:eastAsia="仿宋_GB2312"/>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20</w:t>
            </w:r>
          </w:p>
        </w:tc>
        <w:tc>
          <w:tcPr>
            <w:tcW w:w="734" w:type="dxa"/>
            <w:tcBorders>
              <w:top w:val="single" w:color="auto" w:sz="4" w:space="0"/>
              <w:left w:val="single" w:color="auto" w:sz="4" w:space="0"/>
              <w:right w:val="single" w:color="auto" w:sz="4" w:space="0"/>
            </w:tcBorders>
            <w:vAlign w:val="center"/>
          </w:tcPr>
          <w:p>
            <w:pPr>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下基层辅导、演出、展览和指导基层群众文化活动</w:t>
            </w:r>
          </w:p>
        </w:tc>
        <w:tc>
          <w:tcPr>
            <w:tcW w:w="1786" w:type="dxa"/>
            <w:tcBorders>
              <w:top w:val="single" w:color="auto" w:sz="4" w:space="0"/>
              <w:left w:val="single" w:color="auto" w:sz="4" w:space="0"/>
              <w:right w:val="single" w:color="auto" w:sz="4" w:space="0"/>
            </w:tcBorders>
            <w:vAlign w:val="center"/>
          </w:tcPr>
          <w:p>
            <w:pPr>
              <w:numPr>
                <w:ilvl w:val="0"/>
                <w:numId w:val="3"/>
              </w:numPr>
              <w:spacing w:line="240" w:lineRule="exact"/>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rPr>
              <w:t>活动时间</w:t>
            </w:r>
            <w:r>
              <w:rPr>
                <w:rFonts w:hint="eastAsia" w:ascii="仿宋_GB2312" w:hAnsi="仿宋_GB2312" w:eastAsia="仿宋_GB2312" w:cs="仿宋_GB2312"/>
                <w:sz w:val="18"/>
                <w:szCs w:val="18"/>
                <w:lang w:eastAsia="zh-CN"/>
              </w:rPr>
              <w:t>；</w:t>
            </w:r>
          </w:p>
          <w:p>
            <w:pPr>
              <w:numPr>
                <w:ilvl w:val="0"/>
                <w:numId w:val="3"/>
              </w:num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活动单位</w:t>
            </w:r>
            <w:r>
              <w:rPr>
                <w:rFonts w:hint="eastAsia" w:ascii="仿宋_GB2312" w:hAnsi="仿宋_GB2312" w:eastAsia="仿宋_GB2312" w:cs="仿宋_GB2312"/>
                <w:sz w:val="18"/>
                <w:szCs w:val="18"/>
                <w:lang w:eastAsia="zh-CN"/>
              </w:rPr>
              <w:t>；</w:t>
            </w:r>
          </w:p>
          <w:p>
            <w:pPr>
              <w:numPr>
                <w:ilvl w:val="0"/>
                <w:numId w:val="3"/>
              </w:num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活动地址</w:t>
            </w:r>
            <w:r>
              <w:rPr>
                <w:rFonts w:hint="eastAsia" w:ascii="仿宋_GB2312" w:hAnsi="仿宋_GB2312" w:eastAsia="仿宋_GB2312" w:cs="仿宋_GB2312"/>
                <w:sz w:val="18"/>
                <w:szCs w:val="18"/>
                <w:lang w:eastAsia="zh-CN"/>
              </w:rPr>
              <w:t>；</w:t>
            </w:r>
            <w:r>
              <w:rPr>
                <w:rFonts w:ascii="仿宋_GB2312" w:hAnsi="仿宋_GB2312" w:eastAsia="仿宋_GB2312" w:cs="仿宋_GB2312"/>
                <w:sz w:val="18"/>
                <w:szCs w:val="18"/>
              </w:rPr>
              <w:br w:type="textWrapping"/>
            </w:r>
            <w:r>
              <w:rPr>
                <w:rFonts w:ascii="仿宋_GB2312" w:hAnsi="仿宋_GB2312" w:eastAsia="仿宋_GB2312" w:cs="仿宋_GB2312"/>
                <w:sz w:val="18"/>
                <w:szCs w:val="18"/>
              </w:rPr>
              <w:t>4.</w:t>
            </w:r>
            <w:r>
              <w:rPr>
                <w:rFonts w:hint="eastAsia" w:ascii="仿宋_GB2312" w:hAnsi="仿宋_GB2312" w:eastAsia="仿宋_GB2312" w:cs="仿宋_GB2312"/>
                <w:sz w:val="18"/>
                <w:szCs w:val="18"/>
              </w:rPr>
              <w:t>联系电话</w:t>
            </w:r>
            <w:r>
              <w:rPr>
                <w:rFonts w:hint="eastAsia" w:ascii="仿宋_GB2312" w:hAnsi="仿宋_GB2312" w:eastAsia="仿宋_GB2312" w:cs="仿宋_GB2312"/>
                <w:sz w:val="18"/>
                <w:szCs w:val="18"/>
                <w:lang w:eastAsia="zh-CN"/>
              </w:rPr>
              <w:t>。</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《政府信息公开条例》、《文化馆服务标准》</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信息形成或变更之日起</w:t>
            </w:r>
            <w:r>
              <w:rPr>
                <w:rFonts w:ascii="仿宋_GB2312" w:hAnsi="仿宋_GB2312" w:eastAsia="仿宋_GB2312" w:cs="仿宋_GB2312"/>
                <w:sz w:val="18"/>
                <w:szCs w:val="18"/>
              </w:rPr>
              <w:t>20</w:t>
            </w:r>
            <w:r>
              <w:rPr>
                <w:rFonts w:hint="eastAsia" w:ascii="仿宋_GB2312" w:hAnsi="仿宋_GB2312" w:eastAsia="仿宋_GB2312" w:cs="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_GB2312" w:hAnsi="仿宋_GB2312" w:eastAsia="仿宋_GB2312" w:cs="仿宋_GB2312"/>
                <w:sz w:val="18"/>
                <w:szCs w:val="18"/>
              </w:rPr>
              <w:t>，相关公共文化服务机构</w:t>
            </w:r>
          </w:p>
        </w:tc>
        <w:tc>
          <w:tcPr>
            <w:tcW w:w="1491" w:type="dxa"/>
            <w:gridSpan w:val="2"/>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仿宋_GB2312" w:eastAsia="仿宋_GB2312" w:cs="仿宋_GB2312"/>
                <w:sz w:val="18"/>
                <w:szCs w:val="18"/>
                <w:lang w:eastAsia="zh-CN"/>
              </w:rPr>
              <w:t>■政府网站</w:t>
            </w:r>
          </w:p>
        </w:tc>
        <w:tc>
          <w:tcPr>
            <w:tcW w:w="66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ascii="仿宋_GB2312" w:hAnsi="Times New Roman" w:eastAsia="仿宋_GB2312"/>
                <w:sz w:val="18"/>
                <w:szCs w:val="18"/>
              </w:rPr>
              <w:t>21</w:t>
            </w:r>
          </w:p>
        </w:tc>
        <w:tc>
          <w:tcPr>
            <w:tcW w:w="734" w:type="dxa"/>
            <w:vMerge w:val="restart"/>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公共</w:t>
            </w:r>
            <w:r>
              <w:rPr>
                <w:rFonts w:ascii="仿宋" w:hAnsi="仿宋" w:eastAsia="仿宋" w:cs="仿宋"/>
                <w:color w:val="000000"/>
                <w:sz w:val="18"/>
                <w:szCs w:val="18"/>
              </w:rPr>
              <w:br w:type="textWrapping"/>
            </w:r>
            <w:r>
              <w:rPr>
                <w:rFonts w:hint="eastAsia" w:ascii="仿宋" w:hAnsi="仿宋" w:eastAsia="仿宋" w:cs="仿宋"/>
                <w:color w:val="000000"/>
                <w:sz w:val="18"/>
                <w:szCs w:val="18"/>
              </w:rPr>
              <w:t>服务</w:t>
            </w:r>
          </w:p>
        </w:tc>
        <w:tc>
          <w:tcPr>
            <w:tcW w:w="1620" w:type="dxa"/>
            <w:tcBorders>
              <w:top w:val="single" w:color="auto" w:sz="4" w:space="0"/>
              <w:left w:val="single" w:color="auto" w:sz="4" w:space="0"/>
              <w:right w:val="single" w:color="auto" w:sz="4" w:space="0"/>
            </w:tcBorders>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举办各类展览、</w:t>
            </w:r>
          </w:p>
          <w:p>
            <w:pPr>
              <w:jc w:val="center"/>
              <w:rPr>
                <w:rFonts w:ascii="仿宋_GB2312" w:hAnsi="Times New Roman" w:eastAsia="仿宋_GB2312"/>
                <w:sz w:val="18"/>
                <w:szCs w:val="18"/>
              </w:rPr>
            </w:pPr>
            <w:r>
              <w:rPr>
                <w:rFonts w:hint="eastAsia" w:ascii="仿宋" w:hAnsi="仿宋" w:eastAsia="仿宋" w:cs="仿宋"/>
                <w:color w:val="000000"/>
                <w:sz w:val="18"/>
                <w:szCs w:val="18"/>
              </w:rPr>
              <w:t>讲座信息</w:t>
            </w:r>
          </w:p>
        </w:tc>
        <w:tc>
          <w:tcPr>
            <w:tcW w:w="1786" w:type="dxa"/>
            <w:tcBorders>
              <w:top w:val="single" w:color="auto" w:sz="4" w:space="0"/>
              <w:left w:val="single" w:color="auto" w:sz="4" w:space="0"/>
              <w:right w:val="single" w:color="auto" w:sz="4" w:space="0"/>
            </w:tcBorders>
            <w:vAlign w:val="bottom"/>
          </w:tcPr>
          <w:p>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培训时间</w:t>
            </w:r>
            <w:r>
              <w:rPr>
                <w:rFonts w:hint="eastAsia" w:ascii="仿宋" w:hAnsi="仿宋" w:eastAsia="仿宋" w:cs="仿宋"/>
                <w:color w:val="000000"/>
                <w:sz w:val="18"/>
                <w:szCs w:val="18"/>
                <w:lang w:eastAsia="zh-CN"/>
              </w:rPr>
              <w:t>；</w:t>
            </w:r>
          </w:p>
          <w:p>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培训单位</w:t>
            </w:r>
            <w:r>
              <w:rPr>
                <w:rFonts w:hint="eastAsia" w:ascii="仿宋" w:hAnsi="仿宋" w:eastAsia="仿宋" w:cs="仿宋"/>
                <w:color w:val="000000"/>
                <w:sz w:val="18"/>
                <w:szCs w:val="18"/>
                <w:lang w:eastAsia="zh-CN"/>
              </w:rPr>
              <w:t>；</w:t>
            </w:r>
          </w:p>
          <w:p>
            <w:p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培训地址</w:t>
            </w:r>
            <w:r>
              <w:rPr>
                <w:rFonts w:hint="eastAsia" w:ascii="仿宋" w:hAnsi="仿宋" w:eastAsia="仿宋" w:cs="仿宋"/>
                <w:color w:val="000000"/>
                <w:sz w:val="18"/>
                <w:szCs w:val="18"/>
                <w:lang w:eastAsia="zh-CN"/>
              </w:rPr>
              <w:t>；</w:t>
            </w:r>
          </w:p>
          <w:p>
            <w:pPr>
              <w:ind w:right="15"/>
              <w:jc w:val="both"/>
              <w:rPr>
                <w:rFonts w:hint="eastAsia" w:ascii="仿宋_GB2312" w:hAnsi="Times New Roman" w:eastAsia="仿宋"/>
                <w:sz w:val="18"/>
                <w:szCs w:val="18"/>
                <w:lang w:eastAsia="zh-CN"/>
              </w:rPr>
            </w:pPr>
            <w:r>
              <w:rPr>
                <w:rFonts w:hint="eastAsia" w:ascii="仿宋" w:hAnsi="仿宋" w:eastAsia="仿宋" w:cs="仿宋"/>
                <w:color w:val="000000"/>
                <w:sz w:val="18"/>
                <w:szCs w:val="18"/>
                <w:lang w:val="en-US" w:eastAsia="zh-CN"/>
              </w:rPr>
              <w:t>4、</w:t>
            </w:r>
            <w:r>
              <w:rPr>
                <w:rFonts w:hint="eastAsia" w:ascii="仿宋" w:hAnsi="仿宋" w:eastAsia="仿宋" w:cs="仿宋"/>
                <w:color w:val="000000"/>
                <w:sz w:val="18"/>
                <w:szCs w:val="18"/>
              </w:rPr>
              <w:t>联系电话</w:t>
            </w:r>
            <w:r>
              <w:rPr>
                <w:rFonts w:hint="eastAsia" w:ascii="仿宋" w:hAnsi="仿宋" w:eastAsia="仿宋" w:cs="仿宋"/>
                <w:color w:val="000000"/>
                <w:sz w:val="18"/>
                <w:szCs w:val="18"/>
                <w:lang w:eastAsia="zh-CN"/>
              </w:rPr>
              <w:t>。</w:t>
            </w:r>
          </w:p>
        </w:tc>
        <w:tc>
          <w:tcPr>
            <w:tcW w:w="198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《政府信息公开条例》、《乡镇综合文化站管理办法》</w:t>
            </w:r>
          </w:p>
        </w:tc>
        <w:tc>
          <w:tcPr>
            <w:tcW w:w="1814" w:type="dxa"/>
            <w:tcBorders>
              <w:top w:val="single" w:color="auto" w:sz="4" w:space="0"/>
              <w:left w:val="single" w:color="auto" w:sz="4" w:space="0"/>
              <w:right w:val="single" w:color="auto" w:sz="4" w:space="0"/>
            </w:tcBorders>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pPr>
              <w:jc w:val="center"/>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pPr>
              <w:jc w:val="center"/>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tcBorders>
              <w:top w:val="single" w:color="auto" w:sz="4" w:space="0"/>
              <w:left w:val="single" w:color="auto" w:sz="4" w:space="0"/>
              <w:right w:val="single" w:color="auto" w:sz="4" w:space="0"/>
            </w:tcBorders>
            <w:vAlign w:val="center"/>
          </w:tcPr>
          <w:p>
            <w:pPr>
              <w:jc w:val="lef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 w:hAnsi="仿宋" w:eastAsia="仿宋" w:cs="仿宋"/>
                <w:color w:val="000000"/>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pPr>
              <w:jc w:val="both"/>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p>
        </w:tc>
        <w:tc>
          <w:tcPr>
            <w:tcW w:w="551"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ascii="仿宋_GB2312" w:hAnsi="Times New Roman" w:eastAsia="仿宋_GB2312"/>
                <w:sz w:val="18"/>
                <w:szCs w:val="18"/>
              </w:rPr>
              <w:t>22</w:t>
            </w:r>
          </w:p>
        </w:tc>
        <w:tc>
          <w:tcPr>
            <w:tcW w:w="734" w:type="dxa"/>
            <w:vMerge w:val="continue"/>
            <w:tcBorders>
              <w:top w:val="single" w:color="auto" w:sz="4" w:space="0"/>
              <w:left w:val="single" w:color="auto" w:sz="4" w:space="0"/>
              <w:right w:val="single" w:color="auto" w:sz="4" w:space="0"/>
            </w:tcBorders>
            <w:vAlign w:val="center"/>
          </w:tcPr>
          <w:p/>
        </w:tc>
        <w:tc>
          <w:tcPr>
            <w:tcW w:w="162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辅导和培训基层</w:t>
            </w:r>
            <w:r>
              <w:rPr>
                <w:rFonts w:ascii="仿宋" w:hAnsi="仿宋" w:eastAsia="仿宋" w:cs="仿宋"/>
                <w:color w:val="000000"/>
                <w:sz w:val="18"/>
                <w:szCs w:val="18"/>
              </w:rPr>
              <w:br w:type="textWrapping"/>
            </w:r>
            <w:r>
              <w:rPr>
                <w:rFonts w:hint="eastAsia" w:ascii="仿宋" w:hAnsi="仿宋" w:eastAsia="仿宋" w:cs="仿宋"/>
                <w:color w:val="000000"/>
                <w:sz w:val="18"/>
                <w:szCs w:val="18"/>
              </w:rPr>
              <w:t>文化骨干</w:t>
            </w:r>
          </w:p>
        </w:tc>
        <w:tc>
          <w:tcPr>
            <w:tcW w:w="1786" w:type="dxa"/>
            <w:tcBorders>
              <w:top w:val="single" w:color="auto" w:sz="4" w:space="0"/>
              <w:left w:val="single" w:color="auto" w:sz="4" w:space="0"/>
              <w:right w:val="single" w:color="auto" w:sz="4" w:space="0"/>
            </w:tcBorders>
            <w:vAlign w:val="bottom"/>
          </w:tcPr>
          <w:p>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培训时间</w:t>
            </w:r>
            <w:r>
              <w:rPr>
                <w:rFonts w:hint="eastAsia" w:ascii="仿宋" w:hAnsi="仿宋" w:eastAsia="仿宋" w:cs="仿宋"/>
                <w:color w:val="000000"/>
                <w:sz w:val="18"/>
                <w:szCs w:val="18"/>
                <w:lang w:eastAsia="zh-CN"/>
              </w:rPr>
              <w:t>；</w:t>
            </w:r>
          </w:p>
          <w:p>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培训单位</w:t>
            </w:r>
            <w:r>
              <w:rPr>
                <w:rFonts w:hint="eastAsia" w:ascii="仿宋" w:hAnsi="仿宋" w:eastAsia="仿宋" w:cs="仿宋"/>
                <w:color w:val="000000"/>
                <w:sz w:val="18"/>
                <w:szCs w:val="18"/>
                <w:lang w:eastAsia="zh-CN"/>
              </w:rPr>
              <w:t>；</w:t>
            </w:r>
          </w:p>
          <w:p>
            <w:p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培训地址</w:t>
            </w:r>
            <w:r>
              <w:rPr>
                <w:rFonts w:hint="eastAsia" w:ascii="仿宋" w:hAnsi="仿宋" w:eastAsia="仿宋" w:cs="仿宋"/>
                <w:color w:val="000000"/>
                <w:sz w:val="18"/>
                <w:szCs w:val="18"/>
                <w:lang w:eastAsia="zh-CN"/>
              </w:rPr>
              <w:t>；</w:t>
            </w:r>
          </w:p>
          <w:p>
            <w:pPr>
              <w:jc w:val="both"/>
              <w:rPr>
                <w:rFonts w:ascii="仿宋_GB2312" w:hAnsi="Times New Roman" w:eastAsia="仿宋_GB2312"/>
                <w:sz w:val="18"/>
                <w:szCs w:val="18"/>
              </w:rPr>
            </w:pPr>
            <w:r>
              <w:rPr>
                <w:rFonts w:hint="eastAsia" w:ascii="仿宋" w:hAnsi="仿宋" w:eastAsia="仿宋" w:cs="仿宋"/>
                <w:color w:val="000000"/>
                <w:sz w:val="18"/>
                <w:szCs w:val="18"/>
                <w:lang w:val="en-US" w:eastAsia="zh-CN"/>
              </w:rPr>
              <w:t>4、</w:t>
            </w:r>
            <w:r>
              <w:rPr>
                <w:rFonts w:hint="eastAsia" w:ascii="仿宋" w:hAnsi="仿宋" w:eastAsia="仿宋" w:cs="仿宋"/>
                <w:color w:val="000000"/>
                <w:sz w:val="18"/>
                <w:szCs w:val="18"/>
              </w:rPr>
              <w:t>联系电话</w:t>
            </w:r>
            <w:r>
              <w:rPr>
                <w:rFonts w:hint="eastAsia" w:ascii="仿宋" w:hAnsi="仿宋" w:eastAsia="仿宋" w:cs="仿宋"/>
                <w:color w:val="000000"/>
                <w:sz w:val="18"/>
                <w:szCs w:val="18"/>
                <w:lang w:eastAsia="zh-CN"/>
              </w:rPr>
              <w:t>。</w:t>
            </w:r>
          </w:p>
        </w:tc>
        <w:tc>
          <w:tcPr>
            <w:tcW w:w="198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《政府信息公开条例》、《乡镇综合文化站管理办法》</w:t>
            </w:r>
          </w:p>
        </w:tc>
        <w:tc>
          <w:tcPr>
            <w:tcW w:w="1814" w:type="dxa"/>
            <w:tcBorders>
              <w:top w:val="single" w:color="auto" w:sz="4" w:space="0"/>
              <w:left w:val="single" w:color="auto" w:sz="4" w:space="0"/>
              <w:right w:val="single" w:color="auto" w:sz="4" w:space="0"/>
            </w:tcBorders>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pPr>
              <w:jc w:val="center"/>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pPr>
              <w:jc w:val="center"/>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tcBorders>
              <w:top w:val="single" w:color="auto" w:sz="4" w:space="0"/>
              <w:left w:val="single" w:color="auto" w:sz="4" w:space="0"/>
              <w:right w:val="single" w:color="auto" w:sz="4" w:space="0"/>
            </w:tcBorders>
            <w:vAlign w:val="center"/>
          </w:tcPr>
          <w:p>
            <w:pPr>
              <w:jc w:val="lef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 w:hAnsi="仿宋" w:eastAsia="仿宋" w:cs="仿宋"/>
                <w:color w:val="000000"/>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pP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p>
        </w:tc>
        <w:tc>
          <w:tcPr>
            <w:tcW w:w="551"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ascii="仿宋_GB2312" w:hAnsi="Times New Roman" w:eastAsia="仿宋_GB2312"/>
                <w:sz w:val="18"/>
                <w:szCs w:val="18"/>
              </w:rPr>
              <w:t>23</w:t>
            </w:r>
          </w:p>
        </w:tc>
        <w:tc>
          <w:tcPr>
            <w:tcW w:w="734" w:type="dxa"/>
            <w:tcBorders>
              <w:top w:val="single" w:color="auto" w:sz="4" w:space="0"/>
              <w:left w:val="single" w:color="auto" w:sz="4" w:space="0"/>
              <w:right w:val="single" w:color="auto" w:sz="4" w:space="0"/>
            </w:tcBorders>
            <w:vAlign w:val="center"/>
          </w:tcPr>
          <w:p>
            <w:pPr>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非物质文化遗产</w:t>
            </w:r>
            <w:r>
              <w:rPr>
                <w:rFonts w:ascii="仿宋" w:hAnsi="仿宋" w:eastAsia="仿宋" w:cs="仿宋"/>
                <w:color w:val="000000"/>
                <w:sz w:val="18"/>
                <w:szCs w:val="18"/>
              </w:rPr>
              <w:br w:type="textWrapping"/>
            </w:r>
            <w:r>
              <w:rPr>
                <w:rFonts w:hint="eastAsia" w:ascii="仿宋" w:hAnsi="仿宋" w:eastAsia="仿宋" w:cs="仿宋"/>
                <w:color w:val="000000"/>
                <w:sz w:val="18"/>
                <w:szCs w:val="18"/>
              </w:rPr>
              <w:t>展示传播活动</w:t>
            </w:r>
          </w:p>
        </w:tc>
        <w:tc>
          <w:tcPr>
            <w:tcW w:w="1786" w:type="dxa"/>
            <w:tcBorders>
              <w:top w:val="single" w:color="auto" w:sz="4" w:space="0"/>
              <w:left w:val="single" w:color="auto" w:sz="4" w:space="0"/>
              <w:right w:val="single" w:color="auto" w:sz="4" w:space="0"/>
            </w:tcBorders>
            <w:vAlign w:val="center"/>
          </w:tcPr>
          <w:p>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培训时间</w:t>
            </w:r>
            <w:r>
              <w:rPr>
                <w:rFonts w:hint="eastAsia" w:ascii="仿宋" w:hAnsi="仿宋" w:eastAsia="仿宋" w:cs="仿宋"/>
                <w:color w:val="000000"/>
                <w:sz w:val="18"/>
                <w:szCs w:val="18"/>
                <w:lang w:eastAsia="zh-CN"/>
              </w:rPr>
              <w:t>；</w:t>
            </w:r>
          </w:p>
          <w:p>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培训单位</w:t>
            </w:r>
            <w:r>
              <w:rPr>
                <w:rFonts w:hint="eastAsia" w:ascii="仿宋" w:hAnsi="仿宋" w:eastAsia="仿宋" w:cs="仿宋"/>
                <w:color w:val="000000"/>
                <w:sz w:val="18"/>
                <w:szCs w:val="18"/>
                <w:lang w:eastAsia="zh-CN"/>
              </w:rPr>
              <w:t>；</w:t>
            </w:r>
          </w:p>
          <w:p>
            <w:p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培训地址</w:t>
            </w:r>
            <w:r>
              <w:rPr>
                <w:rFonts w:hint="eastAsia" w:ascii="仿宋" w:hAnsi="仿宋" w:eastAsia="仿宋" w:cs="仿宋"/>
                <w:color w:val="000000"/>
                <w:sz w:val="18"/>
                <w:szCs w:val="18"/>
                <w:lang w:eastAsia="zh-CN"/>
              </w:rPr>
              <w:t>；</w:t>
            </w:r>
          </w:p>
          <w:p>
            <w:pPr>
              <w:jc w:val="both"/>
              <w:rPr>
                <w:rFonts w:ascii="仿宋_GB2312" w:hAnsi="Times New Roman" w:eastAsia="仿宋_GB2312"/>
                <w:sz w:val="18"/>
                <w:szCs w:val="18"/>
              </w:rPr>
            </w:pPr>
            <w:r>
              <w:rPr>
                <w:rFonts w:hint="eastAsia" w:ascii="仿宋" w:hAnsi="仿宋" w:eastAsia="仿宋" w:cs="仿宋"/>
                <w:color w:val="000000"/>
                <w:sz w:val="18"/>
                <w:szCs w:val="18"/>
                <w:lang w:val="en-US" w:eastAsia="zh-CN"/>
              </w:rPr>
              <w:t>4、</w:t>
            </w:r>
            <w:r>
              <w:rPr>
                <w:rFonts w:hint="eastAsia" w:ascii="仿宋" w:hAnsi="仿宋" w:eastAsia="仿宋" w:cs="仿宋"/>
                <w:color w:val="000000"/>
                <w:sz w:val="18"/>
                <w:szCs w:val="18"/>
              </w:rPr>
              <w:t>联系电话</w:t>
            </w:r>
            <w:r>
              <w:rPr>
                <w:rFonts w:hint="eastAsia" w:ascii="仿宋" w:hAnsi="仿宋" w:eastAsia="仿宋" w:cs="仿宋"/>
                <w:color w:val="000000"/>
                <w:sz w:val="18"/>
                <w:szCs w:val="18"/>
                <w:lang w:eastAsia="zh-CN"/>
              </w:rPr>
              <w:t>。</w:t>
            </w:r>
          </w:p>
        </w:tc>
        <w:tc>
          <w:tcPr>
            <w:tcW w:w="198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lang w:eastAsia="zh-CN"/>
              </w:rPr>
              <w:t>《中华人民共和国非物质文化遗产法》</w:t>
            </w:r>
            <w:r>
              <w:rPr>
                <w:rFonts w:hint="eastAsia" w:ascii="仿宋" w:hAnsi="仿宋" w:eastAsia="仿宋" w:cs="仿宋"/>
                <w:color w:val="000000"/>
                <w:sz w:val="18"/>
                <w:szCs w:val="18"/>
              </w:rPr>
              <w:t>、《政府信息公开条例》</w:t>
            </w:r>
            <w:r>
              <w:rPr>
                <w:rFonts w:ascii="仿宋" w:hAnsi="仿宋" w:eastAsia="仿宋" w:cs="仿宋"/>
                <w:color w:val="000000"/>
                <w:sz w:val="18"/>
                <w:szCs w:val="18"/>
              </w:rPr>
              <w:t xml:space="preserve">  </w:t>
            </w:r>
          </w:p>
        </w:tc>
        <w:tc>
          <w:tcPr>
            <w:tcW w:w="1814" w:type="dxa"/>
            <w:tcBorders>
              <w:top w:val="single" w:color="auto" w:sz="4" w:space="0"/>
              <w:left w:val="single" w:color="auto" w:sz="4" w:space="0"/>
              <w:right w:val="single" w:color="auto" w:sz="4" w:space="0"/>
            </w:tcBorders>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pPr>
              <w:jc w:val="center"/>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pPr>
              <w:jc w:val="center"/>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tcBorders>
              <w:top w:val="single" w:color="auto" w:sz="4" w:space="0"/>
              <w:left w:val="single" w:color="auto" w:sz="4" w:space="0"/>
              <w:right w:val="single" w:color="auto" w:sz="4" w:space="0"/>
            </w:tcBorders>
            <w:vAlign w:val="center"/>
          </w:tcPr>
          <w:p>
            <w:pPr>
              <w:jc w:val="lef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 w:hAnsi="仿宋" w:eastAsia="仿宋" w:cs="仿宋"/>
                <w:color w:val="000000"/>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pP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p>
        </w:tc>
        <w:tc>
          <w:tcPr>
            <w:tcW w:w="551"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tcBorders>
              <w:top w:val="single" w:color="auto" w:sz="4" w:space="0"/>
              <w:left w:val="single" w:color="auto" w:sz="4" w:space="0"/>
              <w:right w:val="single" w:color="auto" w:sz="4" w:space="0"/>
            </w:tcBorders>
            <w:vAlign w:val="center"/>
          </w:tcPr>
          <w:p>
            <w:pPr>
              <w:jc w:val="center"/>
              <w:rPr>
                <w:rFonts w:ascii="仿宋_GB2312" w:hAnsi="Times New Roman" w:eastAsia="仿宋_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24</w:t>
            </w:r>
          </w:p>
        </w:tc>
        <w:tc>
          <w:tcPr>
            <w:tcW w:w="73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公共</w:t>
            </w:r>
            <w:r>
              <w:rPr>
                <w:rFonts w:ascii="仿宋_GB2312" w:hAnsi="Times New Roman" w:eastAsia="仿宋_GB2312"/>
                <w:sz w:val="18"/>
                <w:szCs w:val="18"/>
              </w:rPr>
              <w:br w:type="textWrapping"/>
            </w:r>
            <w:r>
              <w:rPr>
                <w:rFonts w:hint="eastAsia" w:ascii="仿宋_GB2312" w:hAnsi="Times New Roman" w:eastAsia="仿宋_GB2312"/>
                <w:sz w:val="18"/>
                <w:szCs w:val="18"/>
              </w:rPr>
              <w:t>服务</w:t>
            </w:r>
          </w:p>
        </w:tc>
        <w:tc>
          <w:tcPr>
            <w:tcW w:w="16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文博单位名录</w:t>
            </w:r>
          </w:p>
        </w:tc>
        <w:tc>
          <w:tcPr>
            <w:tcW w:w="1786"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文物保护管理机构和博物馆名录</w:t>
            </w:r>
          </w:p>
        </w:tc>
        <w:tc>
          <w:tcPr>
            <w:tcW w:w="198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bl>
    <w:p/>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p>
    <w:p>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一</w:t>
      </w:r>
      <w:r>
        <w:rPr>
          <w:rFonts w:hint="eastAsia" w:ascii="宋体" w:hAnsi="宋体" w:cs="宋体"/>
          <w:kern w:val="44"/>
          <w:sz w:val="30"/>
          <w:szCs w:val="44"/>
        </w:rPr>
        <w:t>）卫生健康领域基层政务公开标准目录</w:t>
      </w:r>
    </w:p>
    <w:tbl>
      <w:tblPr>
        <w:tblStyle w:val="9"/>
        <w:tblpPr w:leftFromText="180" w:rightFromText="180" w:vertAnchor="text" w:horzAnchor="page" w:tblpX="996" w:tblpY="393"/>
        <w:tblOverlap w:val="never"/>
        <w:tblW w:w="150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9"/>
        <w:gridCol w:w="600"/>
        <w:gridCol w:w="840"/>
        <w:gridCol w:w="233"/>
        <w:gridCol w:w="3934"/>
        <w:gridCol w:w="2606"/>
        <w:gridCol w:w="1133"/>
        <w:gridCol w:w="1680"/>
        <w:gridCol w:w="900"/>
        <w:gridCol w:w="1095"/>
        <w:gridCol w:w="363"/>
        <w:gridCol w:w="366"/>
        <w:gridCol w:w="354"/>
        <w:gridCol w:w="12"/>
        <w:gridCol w:w="3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673" w:type="dxa"/>
            <w:gridSpan w:val="3"/>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3934"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3739" w:type="dxa"/>
            <w:gridSpan w:val="2"/>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680"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900" w:type="dxa"/>
            <w:vMerge w:val="restart"/>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095" w:type="dxa"/>
            <w:vMerge w:val="restart"/>
            <w:vAlign w:val="center"/>
          </w:tcPr>
          <w:p>
            <w:pPr>
              <w:widowControl/>
              <w:spacing w:line="240" w:lineRule="exact"/>
              <w:jc w:val="center"/>
              <w:rPr>
                <w:rFonts w:ascii="黑体" w:hAnsi="黑体" w:eastAsia="黑体" w:cs="黑体"/>
                <w:kern w:val="0"/>
                <w:sz w:val="18"/>
                <w:szCs w:val="18"/>
              </w:rPr>
            </w:pPr>
            <w:r>
              <w:rPr>
                <w:rFonts w:hint="eastAsia" w:ascii="黑体" w:hAnsi="黑体" w:eastAsia="黑体" w:cs="黑体"/>
                <w:kern w:val="0"/>
                <w:sz w:val="18"/>
                <w:szCs w:val="18"/>
              </w:rPr>
              <w:t>公开渠道和载体</w:t>
            </w:r>
          </w:p>
        </w:tc>
        <w:tc>
          <w:tcPr>
            <w:tcW w:w="729" w:type="dxa"/>
            <w:gridSpan w:val="2"/>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729" w:type="dxa"/>
            <w:gridSpan w:val="3"/>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4" w:hRule="atLeast"/>
        </w:trPr>
        <w:tc>
          <w:tcPr>
            <w:tcW w:w="569" w:type="dxa"/>
            <w:vMerge w:val="continue"/>
            <w:tcBorders>
              <w:top w:val="single" w:color="auto" w:sz="4" w:space="0"/>
              <w:left w:val="single" w:color="auto" w:sz="4" w:space="0"/>
              <w:right w:val="single" w:color="auto" w:sz="4" w:space="0"/>
            </w:tcBorders>
            <w:vAlign w:val="center"/>
          </w:tcPr>
          <w:p/>
        </w:tc>
        <w:tc>
          <w:tcPr>
            <w:tcW w:w="600" w:type="dxa"/>
            <w:tcBorders>
              <w:top w:val="single" w:color="auto" w:sz="4" w:space="0"/>
              <w:left w:val="single" w:color="auto" w:sz="4" w:space="0"/>
              <w:right w:val="single" w:color="auto" w:sz="4" w:space="0"/>
            </w:tcBorders>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073" w:type="dxa"/>
            <w:gridSpan w:val="2"/>
            <w:tcBorders>
              <w:top w:val="single" w:color="auto" w:sz="4" w:space="0"/>
              <w:left w:val="single" w:color="auto" w:sz="4" w:space="0"/>
              <w:right w:val="single" w:color="auto" w:sz="4" w:space="0"/>
            </w:tcBorders>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3934" w:type="dxa"/>
            <w:vMerge w:val="continue"/>
            <w:tcBorders>
              <w:top w:val="single" w:color="auto" w:sz="4" w:space="0"/>
              <w:left w:val="single" w:color="auto" w:sz="4" w:space="0"/>
              <w:right w:val="single" w:color="auto" w:sz="4" w:space="0"/>
            </w:tcBorders>
            <w:vAlign w:val="center"/>
          </w:tcPr>
          <w:p/>
        </w:tc>
        <w:tc>
          <w:tcPr>
            <w:tcW w:w="3739" w:type="dxa"/>
            <w:gridSpan w:val="2"/>
            <w:vMerge w:val="continue"/>
            <w:tcBorders>
              <w:top w:val="single" w:color="auto" w:sz="4" w:space="0"/>
              <w:left w:val="single" w:color="auto" w:sz="4" w:space="0"/>
              <w:right w:val="single" w:color="auto" w:sz="4" w:space="0"/>
            </w:tcBorders>
            <w:vAlign w:val="center"/>
          </w:tcPr>
          <w:p/>
        </w:tc>
        <w:tc>
          <w:tcPr>
            <w:tcW w:w="1680" w:type="dxa"/>
            <w:vMerge w:val="continue"/>
            <w:tcBorders>
              <w:top w:val="single" w:color="auto" w:sz="4" w:space="0"/>
              <w:left w:val="single" w:color="auto" w:sz="4" w:space="0"/>
              <w:right w:val="single" w:color="auto" w:sz="4" w:space="0"/>
            </w:tcBorders>
            <w:vAlign w:val="center"/>
          </w:tcPr>
          <w:p/>
        </w:tc>
        <w:tc>
          <w:tcPr>
            <w:tcW w:w="900" w:type="dxa"/>
            <w:vMerge w:val="continue"/>
            <w:tcBorders>
              <w:top w:val="single" w:color="auto" w:sz="4" w:space="0"/>
              <w:left w:val="single" w:color="auto" w:sz="4" w:space="0"/>
              <w:right w:val="single" w:color="auto" w:sz="4" w:space="0"/>
            </w:tcBorders>
            <w:vAlign w:val="center"/>
          </w:tcPr>
          <w:p/>
        </w:tc>
        <w:tc>
          <w:tcPr>
            <w:tcW w:w="1095" w:type="dxa"/>
            <w:vMerge w:val="continue"/>
            <w:tcBorders>
              <w:top w:val="single" w:color="auto" w:sz="4" w:space="0"/>
              <w:left w:val="single" w:color="auto" w:sz="4" w:space="0"/>
              <w:right w:val="single" w:color="auto" w:sz="4" w:space="0"/>
            </w:tcBorders>
            <w:vAlign w:val="center"/>
          </w:tcPr>
          <w:p/>
        </w:tc>
        <w:tc>
          <w:tcPr>
            <w:tcW w:w="363" w:type="dxa"/>
            <w:tcBorders>
              <w:top w:val="single" w:color="auto" w:sz="4" w:space="0"/>
              <w:left w:val="single" w:color="auto" w:sz="4" w:space="0"/>
              <w:right w:val="single" w:color="auto" w:sz="4" w:space="0"/>
            </w:tcBorders>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366" w:type="dxa"/>
            <w:tcBorders>
              <w:top w:val="single" w:color="auto" w:sz="4" w:space="0"/>
              <w:left w:val="single" w:color="auto" w:sz="4" w:space="0"/>
              <w:right w:val="single" w:color="auto" w:sz="4" w:space="0"/>
            </w:tcBorders>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特定群众</w:t>
            </w:r>
          </w:p>
        </w:tc>
        <w:tc>
          <w:tcPr>
            <w:tcW w:w="354" w:type="dxa"/>
            <w:tcBorders>
              <w:top w:val="single" w:color="auto" w:sz="4" w:space="0"/>
              <w:left w:val="single" w:color="auto" w:sz="4" w:space="0"/>
              <w:right w:val="single" w:color="auto" w:sz="4" w:space="0"/>
            </w:tcBorders>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375" w:type="dxa"/>
            <w:gridSpan w:val="2"/>
            <w:tcBorders>
              <w:top w:val="single" w:color="auto" w:sz="4" w:space="0"/>
              <w:left w:val="single" w:color="auto" w:sz="4" w:space="0"/>
              <w:right w:val="single" w:color="auto" w:sz="4" w:space="0"/>
            </w:tcBorders>
            <w:vAlign w:val="center"/>
          </w:tcPr>
          <w:p>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0"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exact"/>
              <w:rPr>
                <w:rFonts w:ascii="仿宋" w:hAnsi="仿宋" w:eastAsia="仿宋" w:cs="仿宋"/>
                <w:color w:val="000000"/>
                <w:kern w:val="0"/>
                <w:sz w:val="18"/>
                <w:szCs w:val="18"/>
              </w:rPr>
            </w:pPr>
            <w:r>
              <w:rPr>
                <w:rFonts w:ascii="仿宋" w:hAnsi="仿宋" w:eastAsia="仿宋" w:cs="仿宋"/>
                <w:color w:val="000000"/>
                <w:sz w:val="18"/>
                <w:szCs w:val="18"/>
              </w:rPr>
              <w:t>1</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24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母婴保健技术服务机构执业许可</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【法律】《中华人民共和国行政许可法》</w:t>
            </w:r>
          </w:p>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【国务院文件】《国务院关于第六批取消和调整行政审批项目的决定》（国发〔</w:t>
            </w:r>
            <w:r>
              <w:rPr>
                <w:rFonts w:ascii="仿宋" w:hAnsi="仿宋" w:eastAsia="仿宋" w:cs="仿宋"/>
                <w:color w:val="000000"/>
                <w:sz w:val="18"/>
                <w:szCs w:val="18"/>
              </w:rPr>
              <w:t>2012</w:t>
            </w:r>
            <w:r>
              <w:rPr>
                <w:rFonts w:hint="eastAsia" w:ascii="仿宋" w:hAnsi="仿宋" w:eastAsia="仿宋" w:cs="仿宋"/>
                <w:color w:val="000000"/>
                <w:sz w:val="18"/>
                <w:szCs w:val="18"/>
              </w:rPr>
              <w:t>〕</w:t>
            </w:r>
            <w:r>
              <w:rPr>
                <w:rFonts w:ascii="仿宋" w:hAnsi="仿宋" w:eastAsia="仿宋" w:cs="仿宋"/>
                <w:color w:val="000000"/>
                <w:sz w:val="18"/>
                <w:szCs w:val="18"/>
              </w:rPr>
              <w:t>52</w:t>
            </w:r>
            <w:r>
              <w:rPr>
                <w:rFonts w:hint="eastAsia" w:ascii="仿宋" w:hAnsi="仿宋" w:eastAsia="仿宋" w:cs="仿宋"/>
                <w:color w:val="000000"/>
                <w:sz w:val="18"/>
                <w:szCs w:val="18"/>
              </w:rPr>
              <w:t>号）</w:t>
            </w:r>
          </w:p>
          <w:p>
            <w:pPr>
              <w:pStyle w:val="17"/>
              <w:spacing w:line="240"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【部门规章及规范性文件】《国家卫生健康委关于修改〈职业健康检查管理办法＞等</w:t>
            </w:r>
            <w:r>
              <w:rPr>
                <w:rFonts w:ascii="仿宋" w:hAnsi="仿宋" w:eastAsia="仿宋" w:cs="仿宋"/>
                <w:color w:val="000000"/>
                <w:sz w:val="18"/>
                <w:szCs w:val="18"/>
              </w:rPr>
              <w:t>4</w:t>
            </w:r>
            <w:r>
              <w:rPr>
                <w:rFonts w:hint="eastAsia" w:ascii="仿宋" w:hAnsi="仿宋" w:eastAsia="仿宋" w:cs="仿宋"/>
                <w:color w:val="000000"/>
                <w:sz w:val="18"/>
                <w:szCs w:val="18"/>
              </w:rPr>
              <w:t>部门规章的决定》（中华人民共和国国家卫生健康委员会令第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240"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240" w:lineRule="exact"/>
              <w:rPr>
                <w:rFonts w:hint="eastAsia" w:ascii="仿宋" w:hAnsi="仿宋" w:eastAsia="仿宋" w:cs="仿宋"/>
                <w:color w:val="000000"/>
                <w:kern w:val="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line="240" w:lineRule="exact"/>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exact"/>
              <w:rPr>
                <w:rFonts w:ascii="仿宋" w:hAnsi="仿宋" w:eastAsia="仿宋" w:cs="仿宋"/>
                <w:color w:val="000000"/>
                <w:kern w:val="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spacing w:line="240" w:lineRule="exact"/>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exact"/>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spacing w:line="240" w:lineRule="exact"/>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70" w:hRule="atLeast"/>
        </w:trPr>
        <w:tc>
          <w:tcPr>
            <w:tcW w:w="569" w:type="dxa"/>
            <w:tcBorders>
              <w:top w:val="single" w:color="auto" w:sz="4" w:space="0"/>
              <w:left w:val="single" w:color="auto" w:sz="4" w:space="0"/>
              <w:right w:val="single" w:color="auto" w:sz="4" w:space="0"/>
            </w:tcBorders>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2</w:t>
            </w:r>
          </w:p>
        </w:tc>
        <w:tc>
          <w:tcPr>
            <w:tcW w:w="600" w:type="dxa"/>
            <w:tcBorders>
              <w:top w:val="single" w:color="auto" w:sz="4" w:space="0"/>
              <w:left w:val="single" w:color="auto" w:sz="4" w:space="0"/>
              <w:right w:val="single" w:color="auto" w:sz="4" w:space="0"/>
            </w:tcBorders>
            <w:vAlign w:val="center"/>
          </w:tcPr>
          <w:p>
            <w:pPr>
              <w:pStyle w:val="17"/>
              <w:spacing w:line="328"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母婴保健服务</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人员资格认定</w:t>
            </w:r>
          </w:p>
          <w:p>
            <w:pPr>
              <w:pStyle w:val="17"/>
              <w:spacing w:after="40" w:line="240" w:lineRule="auto"/>
              <w:jc w:val="left"/>
              <w:rPr>
                <w:rFonts w:ascii="仿宋" w:hAnsi="仿宋" w:eastAsia="仿宋" w:cs="仿宋"/>
                <w:color w:val="000000"/>
                <w:sz w:val="18"/>
                <w:szCs w:val="18"/>
              </w:rPr>
            </w:pPr>
          </w:p>
        </w:tc>
        <w:tc>
          <w:tcPr>
            <w:tcW w:w="3934" w:type="dxa"/>
            <w:tcBorders>
              <w:top w:val="single" w:color="auto" w:sz="4" w:space="0"/>
              <w:left w:val="single" w:color="auto" w:sz="4" w:space="0"/>
              <w:right w:val="single" w:color="auto" w:sz="4" w:space="0"/>
            </w:tcBorders>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【法律】《中华人民共和国母婴保健法》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【部门规章及规范性文件】《国家卫生健康委关于修改〈职业健康检查管理办法</w:t>
            </w:r>
            <w:r>
              <w:rPr>
                <w:rFonts w:ascii="仿宋" w:hAnsi="仿宋" w:eastAsia="仿宋" w:cs="仿宋"/>
                <w:color w:val="000000"/>
                <w:sz w:val="18"/>
                <w:szCs w:val="18"/>
              </w:rPr>
              <w:t>&gt;</w:t>
            </w:r>
            <w:r>
              <w:rPr>
                <w:rFonts w:hint="eastAsia" w:ascii="仿宋" w:hAnsi="仿宋" w:eastAsia="仿宋" w:cs="仿宋"/>
                <w:color w:val="000000"/>
                <w:sz w:val="18"/>
                <w:szCs w:val="18"/>
              </w:rPr>
              <w:t>等</w:t>
            </w:r>
            <w:r>
              <w:rPr>
                <w:rFonts w:ascii="仿宋" w:hAnsi="仿宋" w:eastAsia="仿宋" w:cs="仿宋"/>
                <w:color w:val="000000"/>
                <w:sz w:val="18"/>
                <w:szCs w:val="18"/>
              </w:rPr>
              <w:t>4</w:t>
            </w:r>
            <w:r>
              <w:rPr>
                <w:rFonts w:hint="eastAsia" w:ascii="仿宋" w:hAnsi="仿宋" w:eastAsia="仿宋" w:cs="仿宋"/>
                <w:color w:val="000000"/>
                <w:sz w:val="18"/>
                <w:szCs w:val="18"/>
              </w:rPr>
              <w:t>部门规章的决定》（中华人民共和国国家卫生健康委员会令第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【部门规章及规范性文件】《计划生育技术服务管理条例实施细则》（中华人民共和国国家计划生育委员会令第</w:t>
            </w:r>
            <w:r>
              <w:rPr>
                <w:rFonts w:ascii="仿宋" w:hAnsi="仿宋" w:eastAsia="仿宋" w:cs="仿宋"/>
                <w:color w:val="000000"/>
                <w:sz w:val="18"/>
                <w:szCs w:val="18"/>
              </w:rPr>
              <w:t>6</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92"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医疗机构设置审批（含港澳台，外商独资除外）（权限内）</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【法律】《中华人民共和国中医药法》（中华人民共和国主席令第</w:t>
            </w:r>
            <w:r>
              <w:rPr>
                <w:rFonts w:ascii="仿宋" w:hAnsi="仿宋" w:eastAsia="仿宋" w:cs="仿宋"/>
                <w:color w:val="000000"/>
                <w:sz w:val="18"/>
                <w:szCs w:val="18"/>
              </w:rPr>
              <w:t>57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【国务院文件】《国务院关于取消和下放</w:t>
            </w:r>
            <w:r>
              <w:rPr>
                <w:rFonts w:ascii="仿宋" w:hAnsi="仿宋" w:eastAsia="仿宋" w:cs="仿宋"/>
                <w:color w:val="000000"/>
                <w:sz w:val="18"/>
                <w:szCs w:val="18"/>
              </w:rPr>
              <w:t>50</w:t>
            </w:r>
            <w:r>
              <w:rPr>
                <w:rFonts w:hint="eastAsia" w:ascii="仿宋" w:hAnsi="仿宋" w:eastAsia="仿宋" w:cs="仿宋"/>
                <w:color w:val="000000"/>
                <w:sz w:val="18"/>
                <w:szCs w:val="18"/>
              </w:rPr>
              <w:t>项行政审批项目等事项的决定》（国发〔</w:t>
            </w:r>
            <w:r>
              <w:rPr>
                <w:rFonts w:ascii="仿宋" w:hAnsi="仿宋" w:eastAsia="仿宋" w:cs="仿宋"/>
                <w:color w:val="000000"/>
                <w:sz w:val="18"/>
                <w:szCs w:val="18"/>
              </w:rPr>
              <w:t>2013</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【部门规章及规范性文件】《医疗美容服务管理办法》（中华人民共和国卫生部令第</w:t>
            </w:r>
            <w:r>
              <w:rPr>
                <w:rFonts w:ascii="仿宋" w:hAnsi="仿宋" w:eastAsia="仿宋" w:cs="仿宋"/>
                <w:color w:val="000000"/>
                <w:sz w:val="18"/>
                <w:szCs w:val="18"/>
              </w:rPr>
              <w:t>19</w:t>
            </w:r>
            <w:r>
              <w:rPr>
                <w:rFonts w:hint="eastAsia" w:ascii="仿宋" w:hAnsi="仿宋" w:eastAsia="仿宋" w:cs="仿宋"/>
                <w:color w:val="000000"/>
                <w:sz w:val="18"/>
                <w:szCs w:val="18"/>
              </w:rPr>
              <w:t>号公布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日修订）</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8"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医疗机构执业登记（人体器官移植除外）</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【部门规章及规范性文件】《医疗美容服务管理办法》（中华人民共和国卫生部令第</w:t>
            </w:r>
            <w:r>
              <w:rPr>
                <w:rFonts w:ascii="仿宋" w:hAnsi="仿宋" w:eastAsia="仿宋" w:cs="仿宋"/>
                <w:color w:val="000000"/>
                <w:sz w:val="18"/>
                <w:szCs w:val="18"/>
              </w:rPr>
              <w:t>19</w:t>
            </w:r>
            <w:r>
              <w:rPr>
                <w:rFonts w:hint="eastAsia" w:ascii="仿宋" w:hAnsi="仿宋" w:eastAsia="仿宋" w:cs="仿宋"/>
                <w:color w:val="000000"/>
                <w:sz w:val="18"/>
                <w:szCs w:val="18"/>
              </w:rPr>
              <w:t>号公布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日修订）</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2"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医师执业注册</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【法律】《中华人民共和国执业医师法》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【部门规章及规范性文件】《医师执业注册管理办法》（中华人民共和国国家卫生和计划生育委员会令第</w:t>
            </w:r>
            <w:r>
              <w:rPr>
                <w:rFonts w:ascii="仿宋" w:hAnsi="仿宋" w:eastAsia="仿宋" w:cs="仿宋"/>
                <w:color w:val="000000"/>
                <w:sz w:val="18"/>
                <w:szCs w:val="18"/>
              </w:rPr>
              <w:t>13</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2"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护士执业注册</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【行政法规】《护士条例》（中华人民共和国国务院令第</w:t>
            </w:r>
            <w:r>
              <w:rPr>
                <w:rFonts w:ascii="仿宋" w:hAnsi="仿宋" w:eastAsia="仿宋" w:cs="仿宋"/>
                <w:color w:val="000000"/>
                <w:sz w:val="18"/>
                <w:szCs w:val="18"/>
              </w:rPr>
              <w:t>517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【国务院文件】《国务院关于取消和下放一批行政许可事项的决定》（国发〔</w:t>
            </w:r>
            <w:r>
              <w:rPr>
                <w:rFonts w:ascii="仿宋" w:hAnsi="仿宋" w:eastAsia="仿宋" w:cs="仿宋"/>
                <w:color w:val="000000"/>
                <w:sz w:val="18"/>
                <w:szCs w:val="18"/>
              </w:rPr>
              <w:t>2019</w:t>
            </w:r>
            <w:r>
              <w:rPr>
                <w:rFonts w:hint="eastAsia" w:ascii="仿宋" w:hAnsi="仿宋" w:eastAsia="仿宋" w:cs="仿宋"/>
                <w:color w:val="000000"/>
                <w:sz w:val="18"/>
                <w:szCs w:val="18"/>
              </w:rPr>
              <w:t>〕</w:t>
            </w:r>
            <w:r>
              <w:rPr>
                <w:rFonts w:ascii="仿宋" w:hAnsi="仿宋" w:eastAsia="仿宋" w:cs="仿宋"/>
                <w:color w:val="000000"/>
                <w:sz w:val="18"/>
                <w:szCs w:val="18"/>
              </w:rPr>
              <w:t>6</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【部门规章及规范性文件】《国家卫生健康委关于做好下放护士执业注册审批有关工作的通知》（国卫医发〔</w:t>
            </w:r>
            <w:r>
              <w:rPr>
                <w:rFonts w:ascii="仿宋" w:hAnsi="仿宋" w:eastAsia="仿宋" w:cs="仿宋"/>
                <w:color w:val="000000"/>
                <w:sz w:val="18"/>
                <w:szCs w:val="18"/>
              </w:rPr>
              <w:t>2019</w:t>
            </w:r>
            <w:r>
              <w:rPr>
                <w:rFonts w:hint="eastAsia" w:ascii="仿宋" w:hAnsi="仿宋" w:eastAsia="仿宋" w:cs="仿宋"/>
                <w:color w:val="000000"/>
                <w:sz w:val="18"/>
                <w:szCs w:val="18"/>
              </w:rPr>
              <w:t>〕</w:t>
            </w:r>
            <w:r>
              <w:rPr>
                <w:rFonts w:ascii="仿宋" w:hAnsi="仿宋" w:eastAsia="仿宋" w:cs="仿宋"/>
                <w:color w:val="000000"/>
                <w:sz w:val="18"/>
                <w:szCs w:val="18"/>
              </w:rPr>
              <w:t>37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【部门规章及规范性文件】《护士执业注册管理办法》（中华人民共和国卫生部令第</w:t>
            </w:r>
            <w:r>
              <w:rPr>
                <w:rFonts w:ascii="仿宋" w:hAnsi="仿宋" w:eastAsia="仿宋" w:cs="仿宋"/>
                <w:color w:val="000000"/>
                <w:sz w:val="18"/>
                <w:szCs w:val="18"/>
              </w:rPr>
              <w:t>59</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6"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饮用水供水单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位卫生许可</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【法律】《中华人民共和国传染病防治法》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【行政法规】《国务院对确需保留的行政审批项目设定行政许可的决定》（中华人民共和国国务院令第</w:t>
            </w:r>
            <w:r>
              <w:rPr>
                <w:rFonts w:ascii="仿宋" w:hAnsi="仿宋" w:eastAsia="仿宋" w:cs="仿宋"/>
                <w:color w:val="000000"/>
                <w:sz w:val="18"/>
                <w:szCs w:val="18"/>
              </w:rPr>
              <w:t>412</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【部门规章及规范性文件】《生活饮用水卫生监督管理办法》（中华人民共和国建设部、卫生部令第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2"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公共场所卫生许可</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【行政法规】《公共场所卫生管理条例》</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【国务院文件】《国务院关于在全国推开</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“证照分离”改革的通知》（国发〔</w:t>
            </w:r>
            <w:r>
              <w:rPr>
                <w:rFonts w:ascii="仿宋" w:hAnsi="仿宋" w:eastAsia="仿宋" w:cs="仿宋"/>
                <w:color w:val="000000"/>
                <w:sz w:val="18"/>
                <w:szCs w:val="18"/>
              </w:rPr>
              <w:t>2018</w:t>
            </w:r>
            <w:r>
              <w:rPr>
                <w:rFonts w:hint="eastAsia" w:ascii="仿宋" w:hAnsi="仿宋" w:eastAsia="仿宋" w:cs="仿宋"/>
                <w:color w:val="000000"/>
                <w:sz w:val="18"/>
                <w:szCs w:val="18"/>
              </w:rPr>
              <w:t>〕</w:t>
            </w:r>
          </w:p>
          <w:p>
            <w:pPr>
              <w:pStyle w:val="17"/>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【国务院文件】《国务院关于整合调整餐饮服务场所的公共场所卫生许可证和食品经营许可的决定》（国发〔</w:t>
            </w:r>
            <w:r>
              <w:rPr>
                <w:rFonts w:ascii="仿宋" w:hAnsi="仿宋" w:eastAsia="仿宋" w:cs="仿宋"/>
                <w:color w:val="000000"/>
                <w:sz w:val="18"/>
                <w:szCs w:val="18"/>
              </w:rPr>
              <w:t>2016</w:t>
            </w:r>
            <w:r>
              <w:rPr>
                <w:rFonts w:hint="eastAsia" w:ascii="仿宋" w:hAnsi="仿宋" w:eastAsia="仿宋" w:cs="仿宋"/>
                <w:color w:val="000000"/>
                <w:sz w:val="18"/>
                <w:szCs w:val="18"/>
              </w:rPr>
              <w:t>〕</w:t>
            </w:r>
            <w:r>
              <w:rPr>
                <w:rFonts w:ascii="仿宋" w:hAnsi="仿宋" w:eastAsia="仿宋" w:cs="仿宋"/>
                <w:color w:val="000000"/>
                <w:sz w:val="18"/>
                <w:szCs w:val="18"/>
              </w:rPr>
              <w:tab/>
            </w:r>
            <w:r>
              <w:rPr>
                <w:rFonts w:ascii="仿宋" w:hAnsi="仿宋" w:eastAsia="仿宋" w:cs="仿宋"/>
                <w:color w:val="000000"/>
                <w:sz w:val="18"/>
                <w:szCs w:val="18"/>
              </w:rPr>
              <w:t>12</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【国务院文件】《国务院关于第六批取消和调整行政审批项目的决定》（国发〔</w:t>
            </w:r>
            <w:r>
              <w:rPr>
                <w:rFonts w:ascii="仿宋" w:hAnsi="仿宋" w:eastAsia="仿宋" w:cs="仿宋"/>
                <w:color w:val="000000"/>
                <w:sz w:val="18"/>
                <w:szCs w:val="18"/>
              </w:rPr>
              <w:t>2012</w:t>
            </w:r>
            <w:r>
              <w:rPr>
                <w:rFonts w:hint="eastAsia" w:ascii="仿宋" w:hAnsi="仿宋" w:eastAsia="仿宋" w:cs="仿宋"/>
                <w:color w:val="000000"/>
                <w:sz w:val="18"/>
                <w:szCs w:val="18"/>
              </w:rPr>
              <w:t>〕</w:t>
            </w:r>
          </w:p>
          <w:p>
            <w:pPr>
              <w:pStyle w:val="17"/>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52</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【部门规章及规范性文件】《关于全面推开公共场所卫生许可告知承诺制改革有关事项的通知》（国卫办监督发〔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7"/>
              <w:spacing w:after="40" w:line="240" w:lineRule="auto"/>
              <w:jc w:val="left"/>
              <w:rPr>
                <w:rFonts w:ascii="仿宋" w:hAnsi="仿宋" w:eastAsia="仿宋" w:cs="仿宋"/>
                <w:color w:val="000000"/>
                <w:sz w:val="18"/>
                <w:szCs w:val="18"/>
              </w:rPr>
            </w:pPr>
          </w:p>
        </w:tc>
        <w:tc>
          <w:tcPr>
            <w:tcW w:w="900" w:type="dxa"/>
            <w:tcBorders>
              <w:bottom w:val="nil"/>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4"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9</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放射源诊疗技术和医用辐射机构许可（权限内）</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【法律】《中华人民共和国职业病防治法》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【行政法规】《放射性同位素与射线装置安全和防护条例》（中华人民共和国国务院令第</w:t>
            </w:r>
            <w:r>
              <w:rPr>
                <w:rFonts w:ascii="仿宋" w:hAnsi="仿宋" w:eastAsia="仿宋" w:cs="仿宋"/>
                <w:color w:val="000000"/>
                <w:sz w:val="18"/>
                <w:szCs w:val="18"/>
              </w:rPr>
              <w:t>449</w:t>
            </w:r>
            <w:r>
              <w:rPr>
                <w:rFonts w:hint="eastAsia" w:ascii="仿宋" w:hAnsi="仿宋" w:eastAsia="仿宋" w:cs="仿宋"/>
                <w:color w:val="000000"/>
                <w:sz w:val="18"/>
                <w:szCs w:val="18"/>
              </w:rPr>
              <w:t>号</w:t>
            </w:r>
            <w:r>
              <w:rPr>
                <w:rFonts w:ascii="仿宋" w:hAnsi="仿宋" w:eastAsia="仿宋" w:cs="仿宋"/>
                <w:color w:val="000000"/>
                <w:sz w:val="18"/>
                <w:szCs w:val="18"/>
              </w:rPr>
              <w:t>2014</w:t>
            </w:r>
            <w:r>
              <w:rPr>
                <w:rFonts w:hint="eastAsia" w:ascii="仿宋" w:hAnsi="仿宋" w:eastAsia="仿宋" w:cs="仿宋"/>
                <w:color w:val="000000"/>
                <w:sz w:val="18"/>
                <w:szCs w:val="18"/>
              </w:rPr>
              <w:t>年</w:t>
            </w:r>
            <w:r>
              <w:rPr>
                <w:rFonts w:ascii="仿宋" w:hAnsi="仿宋" w:eastAsia="仿宋" w:cs="仿宋"/>
                <w:color w:val="000000"/>
                <w:sz w:val="18"/>
                <w:szCs w:val="18"/>
              </w:rPr>
              <w:t>7</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日修订）</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【部门规章及规范性文件】《放射诊疗管理规定》（中华人民共和国卫生部令第</w:t>
            </w:r>
            <w:r>
              <w:rPr>
                <w:rFonts w:ascii="仿宋" w:hAnsi="仿宋" w:eastAsia="仿宋" w:cs="仿宋"/>
                <w:color w:val="000000"/>
                <w:sz w:val="18"/>
                <w:szCs w:val="18"/>
              </w:rPr>
              <w:t>46</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日修正）</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pPr>
              <w:pStyle w:val="17"/>
              <w:spacing w:after="40" w:line="240" w:lineRule="auto"/>
              <w:jc w:val="left"/>
              <w:rPr>
                <w:rFonts w:ascii="仿宋" w:hAnsi="仿宋" w:eastAsia="仿宋" w:cs="仿宋"/>
                <w:color w:val="000000"/>
                <w:sz w:val="18"/>
                <w:szCs w:val="18"/>
              </w:rPr>
            </w:pPr>
          </w:p>
        </w:tc>
        <w:tc>
          <w:tcPr>
            <w:tcW w:w="900" w:type="dxa"/>
            <w:tcBorders>
              <w:bottom w:val="nil"/>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10</w:t>
            </w:r>
          </w:p>
        </w:tc>
        <w:tc>
          <w:tcPr>
            <w:tcW w:w="600" w:type="dxa"/>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乡村医生执业注册</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【法律】《中华人民共和国执业医师法》</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p>
          <w:p>
            <w:pPr>
              <w:pStyle w:val="17"/>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【行政法规】《乡村医生从业管理条例》</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（中华人民共和国国务院令第</w:t>
            </w:r>
            <w:r>
              <w:rPr>
                <w:rFonts w:ascii="仿宋" w:hAnsi="仿宋" w:eastAsia="仿宋" w:cs="仿宋"/>
                <w:color w:val="000000"/>
                <w:sz w:val="18"/>
                <w:szCs w:val="18"/>
              </w:rPr>
              <w:t>386</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color w:val="000000"/>
                <w:sz w:val="18"/>
                <w:szCs w:val="18"/>
              </w:rPr>
            </w:pPr>
          </w:p>
          <w:p>
            <w:pPr>
              <w:pStyle w:val="17"/>
              <w:spacing w:after="40" w:line="240" w:lineRule="auto"/>
              <w:jc w:val="left"/>
              <w:rPr>
                <w:rFonts w:ascii="仿宋" w:hAnsi="仿宋" w:eastAsia="仿宋" w:cs="仿宋"/>
                <w:color w:val="000000"/>
                <w:sz w:val="18"/>
                <w:szCs w:val="18"/>
              </w:rPr>
            </w:pPr>
          </w:p>
          <w:p>
            <w:pPr>
              <w:pStyle w:val="17"/>
              <w:spacing w:after="40" w:line="240" w:lineRule="auto"/>
              <w:jc w:val="left"/>
              <w:rPr>
                <w:rFonts w:ascii="仿宋" w:hAnsi="仿宋" w:eastAsia="仿宋" w:cs="仿宋"/>
                <w:color w:val="000000"/>
                <w:sz w:val="18"/>
                <w:szCs w:val="18"/>
              </w:rPr>
            </w:pPr>
          </w:p>
          <w:p>
            <w:pPr>
              <w:pStyle w:val="17"/>
              <w:spacing w:after="40" w:line="240" w:lineRule="auto"/>
              <w:jc w:val="left"/>
              <w:rPr>
                <w:rFonts w:ascii="仿宋" w:hAnsi="仿宋" w:eastAsia="仿宋" w:cs="仿宋"/>
                <w:color w:val="000000"/>
                <w:sz w:val="18"/>
                <w:szCs w:val="18"/>
              </w:rPr>
            </w:p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2"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11</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rPr>
                <w:rFonts w:ascii="仿宋" w:hAnsi="仿宋" w:eastAsia="仿宋" w:cs="仿宋"/>
                <w:sz w:val="18"/>
                <w:szCs w:val="18"/>
              </w:rPr>
            </w:pPr>
            <w:r>
              <w:rPr>
                <w:rFonts w:hint="eastAsia" w:ascii="仿宋" w:hAnsi="仿宋" w:eastAsia="仿宋" w:cs="仿宋"/>
                <w:color w:val="000000"/>
                <w:sz w:val="18"/>
                <w:szCs w:val="18"/>
              </w:rPr>
              <w:t>对不符合规定条件的医疗机构擅自从事精神障碍诊断、</w:t>
            </w:r>
          </w:p>
          <w:p>
            <w:pPr>
              <w:pStyle w:val="17"/>
              <w:rPr>
                <w:rFonts w:ascii="仿宋" w:hAnsi="仿宋" w:eastAsia="仿宋" w:cs="仿宋"/>
                <w:color w:val="000000"/>
                <w:kern w:val="0"/>
                <w:sz w:val="18"/>
                <w:szCs w:val="18"/>
              </w:rPr>
            </w:pPr>
            <w:r>
              <w:rPr>
                <w:rFonts w:hint="eastAsia" w:ascii="仿宋" w:hAnsi="仿宋" w:eastAsia="仿宋" w:cs="仿宋"/>
                <w:color w:val="000000"/>
                <w:sz w:val="18"/>
                <w:szCs w:val="18"/>
              </w:rPr>
              <w:t>治疗的处罚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【法律】《中华人民共和国精神卫生法》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b/>
                <w:bCs/>
                <w:color w:val="000000"/>
                <w:sz w:val="18"/>
                <w:szCs w:val="18"/>
              </w:rPr>
              <w:t>√</w:t>
            </w: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对医疗机构及其工作人员拒绝对送诊的疑似精神障碍患者作出诊断及对依照《中华人民共和国精神卫生法》第三十条第二款规定实施住院治疗的患者未及时进行检查评估或者未根据评估结果作出处理的处罚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【法律】《中华人民共和国精神卫生法》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w:t>
            </w:r>
            <w:r>
              <w:rPr>
                <w:rFonts w:hint="eastAsia" w:ascii="仿宋" w:hAnsi="仿宋" w:eastAsia="仿宋" w:cs="仿宋"/>
                <w:b/>
                <w:bCs/>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对无证从事婚前医学检查、</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遗传病诊断、产前诊断或者医学技术鉴定的处罚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【部门规章及规范性文件】《产前诊断技术管理办法》（</w:t>
            </w:r>
            <w:r>
              <w:rPr>
                <w:rFonts w:ascii="仿宋" w:hAnsi="仿宋" w:eastAsia="仿宋" w:cs="仿宋"/>
                <w:color w:val="000000"/>
                <w:sz w:val="18"/>
                <w:szCs w:val="18"/>
              </w:rPr>
              <w:t>2002</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13</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33</w:t>
            </w:r>
            <w:r>
              <w:rPr>
                <w:rFonts w:hint="eastAsia" w:ascii="仿宋" w:hAnsi="仿宋" w:eastAsia="仿宋" w:cs="仿宋"/>
                <w:color w:val="000000"/>
                <w:sz w:val="18"/>
                <w:szCs w:val="18"/>
              </w:rPr>
              <w:t>号）</w:t>
            </w:r>
          </w:p>
          <w:p>
            <w:pPr>
              <w:pStyle w:val="17"/>
              <w:spacing w:line="323"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【部门规章及规范性文件】《国家卫生计生委办公厅关于开展孕妇外周血胎儿游离</w:t>
            </w:r>
            <w:r>
              <w:rPr>
                <w:rFonts w:ascii="仿宋" w:hAnsi="仿宋" w:eastAsia="仿宋" w:cs="仿宋"/>
                <w:color w:val="000000"/>
                <w:sz w:val="18"/>
                <w:szCs w:val="18"/>
              </w:rPr>
              <w:t>DNA</w:t>
            </w:r>
            <w:r>
              <w:rPr>
                <w:rFonts w:hint="eastAsia" w:ascii="仿宋" w:hAnsi="仿宋" w:eastAsia="仿宋" w:cs="仿宋"/>
                <w:color w:val="000000"/>
                <w:sz w:val="18"/>
                <w:szCs w:val="18"/>
              </w:rPr>
              <w:t>产前筛查与诊断工作的通知》（国办卫妇幼发（</w:t>
            </w:r>
            <w:r>
              <w:rPr>
                <w:rFonts w:ascii="仿宋" w:hAnsi="仿宋" w:eastAsia="仿宋" w:cs="仿宋"/>
                <w:color w:val="000000"/>
                <w:sz w:val="18"/>
                <w:szCs w:val="18"/>
              </w:rPr>
              <w:t>2016</w:t>
            </w:r>
            <w:r>
              <w:rPr>
                <w:rFonts w:hint="eastAsia" w:ascii="仿宋" w:hAnsi="仿宋" w:eastAsia="仿宋" w:cs="仿宋"/>
                <w:color w:val="000000"/>
                <w:sz w:val="18"/>
                <w:szCs w:val="18"/>
              </w:rPr>
              <w:t>）</w:t>
            </w:r>
            <w:r>
              <w:rPr>
                <w:rFonts w:ascii="仿宋" w:hAnsi="仿宋" w:eastAsia="仿宋" w:cs="仿宋"/>
                <w:color w:val="000000"/>
                <w:sz w:val="18"/>
                <w:szCs w:val="18"/>
              </w:rPr>
              <w:t>45</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19"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对无证施行终</w:t>
            </w:r>
          </w:p>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止妊娠手术的处罚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【部门规章及规范性文件】《禁止非医学需要的胎儿性别鉴定和选择性别人工终止妊娠的规定》（</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28</w:t>
            </w:r>
            <w:r>
              <w:rPr>
                <w:rFonts w:hint="eastAsia" w:ascii="仿宋" w:hAnsi="仿宋" w:eastAsia="仿宋" w:cs="仿宋"/>
                <w:color w:val="000000"/>
                <w:sz w:val="18"/>
                <w:szCs w:val="18"/>
              </w:rPr>
              <w:t>日中华人民共和国国家卫生和计划生育委员会令第</w:t>
            </w:r>
            <w:r>
              <w:rPr>
                <w:rFonts w:ascii="仿宋" w:hAnsi="仿宋" w:eastAsia="仿宋" w:cs="仿宋"/>
                <w:color w:val="000000"/>
                <w:sz w:val="18"/>
                <w:szCs w:val="18"/>
              </w:rPr>
              <w:t>9</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9"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15</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rPr>
                <w:rFonts w:ascii="仿宋" w:hAnsi="仿宋" w:eastAsia="仿宋" w:cs="仿宋"/>
                <w:sz w:val="18"/>
                <w:szCs w:val="18"/>
              </w:rPr>
            </w:pPr>
            <w:r>
              <w:rPr>
                <w:rFonts w:hint="eastAsia" w:ascii="仿宋" w:hAnsi="仿宋" w:eastAsia="仿宋" w:cs="仿宋"/>
                <w:color w:val="000000"/>
                <w:sz w:val="18"/>
                <w:szCs w:val="18"/>
              </w:rPr>
              <w:t>行政处罚</w:t>
            </w:r>
          </w:p>
          <w:p>
            <w:pPr>
              <w:pStyle w:val="17"/>
              <w:spacing w:line="329" w:lineRule="exact"/>
              <w:rPr>
                <w:rFonts w:ascii="仿宋" w:hAnsi="仿宋" w:eastAsia="仿宋" w:cs="仿宋"/>
                <w:color w:val="000000"/>
                <w:kern w:val="0"/>
                <w:sz w:val="18"/>
                <w:szCs w:val="18"/>
              </w:rPr>
            </w:pPr>
            <w:r>
              <w:rPr>
                <w:rFonts w:hint="eastAsia" w:ascii="仿宋" w:hAnsi="仿宋" w:eastAsia="仿宋" w:cs="仿宋"/>
                <w:color w:val="000000"/>
                <w:sz w:val="18"/>
                <w:szCs w:val="18"/>
              </w:rPr>
              <w:t>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31" w:lineRule="exact"/>
              <w:rPr>
                <w:rFonts w:ascii="仿宋" w:hAnsi="仿宋" w:eastAsia="仿宋" w:cs="仿宋"/>
                <w:sz w:val="18"/>
                <w:szCs w:val="18"/>
              </w:rPr>
            </w:pPr>
            <w:r>
              <w:rPr>
                <w:rFonts w:hint="eastAsia" w:ascii="仿宋" w:hAnsi="仿宋" w:eastAsia="仿宋" w:cs="仿宋"/>
                <w:color w:val="000000"/>
                <w:sz w:val="18"/>
                <w:szCs w:val="18"/>
              </w:rPr>
              <w:t>对无证出具有</w:t>
            </w:r>
          </w:p>
          <w:p>
            <w:pPr>
              <w:pStyle w:val="17"/>
              <w:spacing w:line="331" w:lineRule="exact"/>
              <w:rPr>
                <w:rFonts w:ascii="仿宋" w:hAnsi="仿宋" w:eastAsia="仿宋" w:cs="仿宋"/>
                <w:color w:val="000000"/>
                <w:kern w:val="0"/>
                <w:sz w:val="18"/>
                <w:szCs w:val="18"/>
              </w:rPr>
            </w:pPr>
            <w:r>
              <w:rPr>
                <w:rFonts w:hint="eastAsia" w:ascii="仿宋" w:hAnsi="仿宋" w:eastAsia="仿宋" w:cs="仿宋"/>
                <w:color w:val="000000"/>
                <w:sz w:val="18"/>
                <w:szCs w:val="18"/>
              </w:rPr>
              <w:t>关医学证明的处罚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7"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对无证施行终止妊娠手术或者采取其他方法终止妊娠，致人死亡、残疾、丧失或基本丧失劳动能力的处罚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5"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对违法出具有关虚假医学证明或者进行胎儿性别鉴定的处罚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【部门规章及规范性文件】《禁止非医学需要的胎儿性别鉴定和选择性别人工终止妊娠的规定》（</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28</w:t>
            </w:r>
            <w:r>
              <w:rPr>
                <w:rFonts w:hint="eastAsia" w:ascii="仿宋" w:hAnsi="仿宋" w:eastAsia="仿宋" w:cs="仿宋"/>
                <w:color w:val="000000"/>
                <w:sz w:val="18"/>
                <w:szCs w:val="18"/>
              </w:rPr>
              <w:t>日中华人民共和国国家卫生计生委</w:t>
            </w:r>
            <w:r>
              <w:rPr>
                <w:rFonts w:ascii="仿宋" w:hAnsi="仿宋" w:eastAsia="仿宋" w:cs="仿宋"/>
                <w:color w:val="000000"/>
                <w:sz w:val="18"/>
                <w:szCs w:val="18"/>
              </w:rPr>
              <w:t>9</w:t>
            </w:r>
            <w:r>
              <w:rPr>
                <w:rFonts w:hint="eastAsia" w:ascii="仿宋" w:hAnsi="仿宋" w:eastAsia="仿宋" w:cs="仿宋"/>
                <w:color w:val="000000"/>
                <w:sz w:val="18"/>
                <w:szCs w:val="18"/>
              </w:rPr>
              <w:t>号令）</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89"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对以不正当手段取得医师执</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业证书的处罚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19</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对医师在执业活动中违反卫生行政规章制度或者技术操作规范，造成严重后果的处罚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【部门规章及规范性文件】《处方管理办法》（</w:t>
            </w:r>
            <w:r>
              <w:rPr>
                <w:rFonts w:ascii="仿宋" w:hAnsi="仿宋" w:eastAsia="仿宋" w:cs="仿宋"/>
                <w:color w:val="000000"/>
                <w:sz w:val="18"/>
                <w:szCs w:val="18"/>
              </w:rPr>
              <w:t>2007</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14</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对医师在执业活动中隐匿、</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伪造或者擅自销毁医学文书</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及有关资料的</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rPr>
                <w:rFonts w:ascii="仿宋" w:hAnsi="仿宋" w:eastAsia="仿宋" w:cs="仿宋"/>
                <w:sz w:val="18"/>
                <w:szCs w:val="18"/>
              </w:rPr>
            </w:pPr>
            <w:r>
              <w:rPr>
                <w:rFonts w:hint="eastAsia" w:ascii="仿宋" w:hAnsi="仿宋" w:eastAsia="仿宋" w:cs="仿宋"/>
                <w:color w:val="000000"/>
                <w:sz w:val="18"/>
                <w:szCs w:val="18"/>
              </w:rPr>
              <w:t>行政处罚</w:t>
            </w:r>
          </w:p>
          <w:p>
            <w:pPr>
              <w:pStyle w:val="17"/>
              <w:spacing w:line="329" w:lineRule="exact"/>
              <w:rPr>
                <w:rFonts w:ascii="仿宋" w:hAnsi="仿宋" w:eastAsia="仿宋" w:cs="仿宋"/>
                <w:color w:val="000000"/>
                <w:kern w:val="0"/>
                <w:sz w:val="18"/>
                <w:szCs w:val="18"/>
              </w:rPr>
            </w:pPr>
            <w:r>
              <w:rPr>
                <w:rFonts w:hint="eastAsia" w:ascii="仿宋" w:hAnsi="仿宋" w:eastAsia="仿宋" w:cs="仿宋"/>
                <w:color w:val="000000"/>
                <w:sz w:val="18"/>
                <w:szCs w:val="18"/>
              </w:rPr>
              <w:t>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对医师在执业活动中不按照规定使用麻醉药品、医疗用毒性药品、精神药品和放射性药品的处罚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【法律】《中华人民共和国行政处罚法》（中华人民共和国主席令第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【法律】《中华人民共和国执业医师法》（中华人民共和国主席令第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【部门规章及规范性文件】《处方管理办法》</w:t>
            </w:r>
          </w:p>
          <w:p>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2007</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14</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22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8"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对未经批准擅自开办医疗机构行医或者非法医师行医的处罚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对医疗机构未取得《医疗机构执业许可证》擅自开展性病诊疗活动的处罚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【部门规章及规范性文件】《性病防治管理办法》（中华人民共和国卫生部令第</w:t>
            </w:r>
            <w:r>
              <w:rPr>
                <w:rFonts w:ascii="仿宋" w:hAnsi="仿宋" w:eastAsia="仿宋" w:cs="仿宋"/>
                <w:color w:val="000000"/>
                <w:sz w:val="18"/>
                <w:szCs w:val="18"/>
              </w:rPr>
              <w:t>15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对医疗机构逾期不校验《医疗机构执业许可证》的处罚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25</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rPr>
                <w:rFonts w:ascii="仿宋" w:hAnsi="仿宋" w:eastAsia="仿宋" w:cs="仿宋"/>
                <w:sz w:val="18"/>
                <w:szCs w:val="18"/>
              </w:rPr>
            </w:pPr>
            <w:r>
              <w:rPr>
                <w:rFonts w:hint="eastAsia" w:ascii="仿宋" w:hAnsi="仿宋" w:eastAsia="仿宋" w:cs="仿宋"/>
                <w:color w:val="000000"/>
                <w:sz w:val="18"/>
                <w:szCs w:val="18"/>
              </w:rPr>
              <w:t>对医疗机构出卖、转让、出借《医疗机构执业许可证》</w:t>
            </w:r>
          </w:p>
          <w:p>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对医疗机构诊</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疗活动超出登</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记范围的处罚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对医疗机构使</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用非卫生技术</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人员从事医疗</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卫生技术工作</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w:t>
            </w:r>
            <w:r>
              <w:rPr>
                <w:rFonts w:ascii="仿宋" w:hAnsi="仿宋" w:eastAsia="仿宋" w:cs="仿宋"/>
                <w:color w:val="000000"/>
                <w:sz w:val="18"/>
                <w:szCs w:val="18"/>
              </w:rPr>
              <w:t>1994</w:t>
            </w:r>
            <w:r>
              <w:rPr>
                <w:rFonts w:hint="eastAsia" w:ascii="仿宋" w:hAnsi="仿宋" w:eastAsia="仿宋" w:cs="仿宋"/>
                <w:color w:val="000000"/>
                <w:sz w:val="18"/>
                <w:szCs w:val="18"/>
              </w:rPr>
              <w:t>年中华人民共和国卫生部令第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对医疗机构违反《医疗机构管理条例》出具虚假证明文件的处罚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29</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对医疗机构发</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生医疗事故的</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【行政法规】《医疗事故处理条例》（中华人民共和国国务院令第</w:t>
            </w:r>
            <w:r>
              <w:rPr>
                <w:rFonts w:ascii="仿宋" w:hAnsi="仿宋" w:eastAsia="仿宋" w:cs="仿宋"/>
                <w:color w:val="000000"/>
                <w:sz w:val="18"/>
                <w:szCs w:val="18"/>
              </w:rPr>
              <w:t>351</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对医务人员发</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生医疗事故的</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【行政法规】《医疗事故处理条例》（中华人民共和国国务院令第</w:t>
            </w:r>
            <w:r>
              <w:rPr>
                <w:rFonts w:ascii="仿宋" w:hAnsi="仿宋" w:eastAsia="仿宋" w:cs="仿宋"/>
                <w:color w:val="000000"/>
                <w:sz w:val="18"/>
                <w:szCs w:val="18"/>
              </w:rPr>
              <w:t>351</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both"/>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31</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对疾病预防控制机构、接种单位发现预防接种异常反应或者疑似预防接种异常反应，未按照规定及时处理或者报告的处罚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对疾病预防控制机构、接种单位擅自进行群体性预防接种的处罚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9"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9" w:lineRule="exact"/>
              <w:jc w:val="left"/>
              <w:rPr>
                <w:rFonts w:ascii="仿宋" w:hAnsi="仿宋" w:eastAsia="仿宋" w:cs="仿宋"/>
                <w:color w:val="000000"/>
                <w:sz w:val="18"/>
                <w:szCs w:val="18"/>
              </w:rPr>
            </w:pPr>
            <w:r>
              <w:rPr>
                <w:rFonts w:hint="eastAsia" w:ascii="仿宋" w:hAnsi="仿宋" w:eastAsia="仿宋" w:cs="仿宋"/>
                <w:color w:val="000000"/>
                <w:sz w:val="18"/>
                <w:szCs w:val="18"/>
              </w:rPr>
              <w:t>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对疾病预防控制机构、接种单位接种疫苗未遵守预防接种工作规范、免疫程序、疫苗使用指导原则接种方案的处罚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7" w:lineRule="exact"/>
              <w:rPr>
                <w:rFonts w:ascii="仿宋" w:hAnsi="仿宋" w:eastAsia="仿宋" w:cs="仿宋"/>
                <w:sz w:val="18"/>
                <w:szCs w:val="18"/>
              </w:rPr>
            </w:pPr>
            <w:r>
              <w:rPr>
                <w:rFonts w:hint="eastAsia" w:ascii="仿宋" w:hAnsi="仿宋" w:eastAsia="仿宋" w:cs="仿宋"/>
                <w:color w:val="000000"/>
                <w:sz w:val="18"/>
                <w:szCs w:val="18"/>
              </w:rPr>
              <w:t>对违反《疫苗流通和预防接种管理条例》规定发布接种</w:t>
            </w:r>
          </w:p>
          <w:p>
            <w:pPr>
              <w:pStyle w:val="17"/>
              <w:spacing w:line="327" w:lineRule="exact"/>
              <w:rPr>
                <w:rFonts w:ascii="仿宋" w:hAnsi="仿宋" w:eastAsia="仿宋" w:cs="仿宋"/>
                <w:color w:val="000000"/>
                <w:kern w:val="0"/>
                <w:sz w:val="18"/>
                <w:szCs w:val="18"/>
              </w:rPr>
            </w:pPr>
            <w:r>
              <w:rPr>
                <w:rFonts w:hint="eastAsia" w:ascii="仿宋" w:hAnsi="仿宋" w:eastAsia="仿宋" w:cs="仿宋"/>
                <w:color w:val="000000"/>
                <w:sz w:val="18"/>
                <w:szCs w:val="18"/>
              </w:rPr>
              <w:t>第二类疫苗的建议信息的处罚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35</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对疾病预防控制机构未依照规定建立并保存疫苗购进、储存、分发、供应记录的处罚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对未经卫生主管部门依法指定擅自从事接种工作的处罚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对实施预防接种的医疗卫生人员未按照规定填写并保存接种记录的处罚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对疾病预防控制机构未按照使用计划将第一类疫苗分发到下级疾病预防控制机构、接种单位、乡级医疗卫生机构的处罚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39</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对疾控机构未依法履行传染病疫情报告、通报职责，或</w:t>
            </w:r>
          </w:p>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者隐瞒、谎报、缓报传染病疫情的处罚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对医疗机构未按照规定承担本单位的传染病预防、控制工作、医院感染控制任务和责任区域内的传染病预防工作的处罚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41</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对医疗机构未按照规定报告传染病疫情，或者隐瞒、谎报、缓报传染</w:t>
            </w:r>
          </w:p>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病疫情的处罚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对医疗机构发现传染病疫情时，未按照规定对传染病病人、疑似传染病病人提供医疗救护、现场救援、接诊、转诊的，或者拒绝接受转诊的处罚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对医疗机构未按照规定对医疗器械进行消毒，或者对按照规定一次使用的医疗器具予以销毁，再次使用的处罚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对医疗机构在医疗救治过程中未按照规定保管医学记录资料的处罚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45</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对医疗卫生机构无正当理由，阻碍卫生行政主管部门执法人员执行职务，拒绝执法人员进入现场，或者不配合执法部门的检查、监测、调查取证的处罚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对被传染病病原体污染的污水、污物、粪便不按规定进行消毒处理的处罚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对收治的传染病病人或者疑似传染病病人产生的生活垃圾，未按照医疗废物进行管理和处置的处罚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【行政法规】《医疗废物管理条例》（中华人民共和国国务院令第</w:t>
            </w:r>
            <w:r>
              <w:rPr>
                <w:rFonts w:ascii="仿宋" w:hAnsi="仿宋" w:eastAsia="仿宋" w:cs="仿宋"/>
                <w:color w:val="000000"/>
                <w:sz w:val="18"/>
                <w:szCs w:val="18"/>
              </w:rPr>
              <w:t>380</w:t>
            </w:r>
            <w:r>
              <w:rPr>
                <w:rFonts w:hint="eastAsia" w:ascii="仿宋" w:hAnsi="仿宋" w:eastAsia="仿宋" w:cs="仿宋"/>
                <w:color w:val="000000"/>
                <w:sz w:val="18"/>
                <w:szCs w:val="18"/>
              </w:rPr>
              <w:t>号）</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【部门规章及规范性文件】《医疗卫生机构医疗废物管理办法》（中华人民共和国卫生部令第</w:t>
            </w:r>
            <w:r>
              <w:rPr>
                <w:rFonts w:ascii="仿宋" w:hAnsi="仿宋" w:eastAsia="仿宋" w:cs="仿宋"/>
                <w:color w:val="000000"/>
                <w:sz w:val="18"/>
                <w:szCs w:val="18"/>
              </w:rPr>
              <w:t>36</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both"/>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对饮用水供水</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单位供应的饮</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用水不符合国</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家规定的生活</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饮用水卫生标</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准的处罚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【部门规章及规范性文件】《生活饮用水卫生监督管理办法》（建设部、中华人民共和国卫生部令第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1"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49</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rPr>
                <w:rFonts w:ascii="仿宋" w:hAnsi="仿宋" w:eastAsia="仿宋" w:cs="仿宋"/>
                <w:sz w:val="18"/>
                <w:szCs w:val="18"/>
              </w:rPr>
            </w:pPr>
            <w:r>
              <w:rPr>
                <w:rFonts w:hint="eastAsia" w:ascii="仿宋" w:hAnsi="仿宋" w:eastAsia="仿宋" w:cs="仿宋"/>
                <w:color w:val="000000"/>
                <w:sz w:val="18"/>
                <w:szCs w:val="18"/>
              </w:rPr>
              <w:t>对涉及饮用水卫生安全的产品不符合国家卫生标准和卫</w:t>
            </w:r>
          </w:p>
          <w:p>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生规范的处罚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【行政法规】《国务院对确需保留的行政审批项目设定行政许可的决定》（中华人民共和国国务院令第</w:t>
            </w:r>
            <w:r>
              <w:rPr>
                <w:rFonts w:ascii="仿宋" w:hAnsi="仿宋" w:eastAsia="仿宋" w:cs="仿宋"/>
                <w:color w:val="000000"/>
                <w:sz w:val="18"/>
                <w:szCs w:val="18"/>
              </w:rPr>
              <w:t>412</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日予以修改）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【国务院文件】《国务院关于取消和下放</w:t>
            </w:r>
            <w:r>
              <w:rPr>
                <w:rFonts w:ascii="仿宋" w:hAnsi="仿宋" w:eastAsia="仿宋" w:cs="仿宋"/>
                <w:color w:val="000000"/>
                <w:sz w:val="18"/>
                <w:szCs w:val="18"/>
              </w:rPr>
              <w:t>50</w:t>
            </w:r>
            <w:r>
              <w:rPr>
                <w:rFonts w:hint="eastAsia" w:ascii="仿宋" w:hAnsi="仿宋" w:eastAsia="仿宋" w:cs="仿宋"/>
                <w:color w:val="000000"/>
                <w:sz w:val="18"/>
                <w:szCs w:val="18"/>
              </w:rPr>
              <w:t>项行政审批项目等事项的决定》（国发</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【部门规章及规范性文件】《生活饮用水卫生监督管理办法》（中华人民共和国建设部、卫生部第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对在国家确认的自然疫源地兴建水利、交通、旅游、能源等大型建设项目，未经卫生调查进行施工的，或者未按照疾病预防控制机构的意见采取必要的传染病预防、控制措施的处罚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对在自然疫源地和可能是自然疫源地的地区兴建大型建设项目未经卫生调查即进行施工的处罚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52</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对采供血机构非法采集血液或者组织他人出卖血液的处罚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53</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对非法采集血液的处罚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54</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对血站医疗机</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构出售无偿献</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血的血液的处</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55</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对临床用血的包装、储存、运输，不符合国家规定的卫生标准和要求的处罚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spacing w:line="318"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56</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7"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对三级、四级实验室未经批准从事某种高致病性病原微生物或者疑似高致病病原微生物实验活动的处罚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57</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对卫生主管部门或者兽医主管部门违反条例的规定，准予不符合《病原微生物实验室生物安全管理条例》规定条件的实验室从事高致病性病原微生物相关实验活动的处罚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extDirection w:val="tbRlV"/>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58</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sz w:val="18"/>
                <w:szCs w:val="18"/>
              </w:rPr>
            </w:pPr>
            <w:r>
              <w:rPr>
                <w:rFonts w:hint="eastAsia" w:ascii="仿宋" w:hAnsi="仿宋" w:eastAsia="仿宋" w:cs="仿宋"/>
                <w:color w:val="000000"/>
                <w:sz w:val="18"/>
                <w:szCs w:val="18"/>
              </w:rPr>
              <w:t>对未经批准运输高致病性病原微生物菌（毒）种或者样本，或者承运单位经批准运输高致病性病原微生物菌</w:t>
            </w:r>
          </w:p>
          <w:p>
            <w:pPr>
              <w:pStyle w:val="17"/>
              <w:spacing w:line="322" w:lineRule="exact"/>
              <w:rPr>
                <w:rFonts w:ascii="仿宋" w:hAnsi="仿宋" w:eastAsia="仿宋" w:cs="仿宋"/>
                <w:sz w:val="18"/>
                <w:szCs w:val="18"/>
              </w:rPr>
            </w:pPr>
            <w:r>
              <w:rPr>
                <w:rFonts w:hint="eastAsia" w:ascii="仿宋" w:hAnsi="仿宋" w:eastAsia="仿宋" w:cs="仿宋"/>
                <w:color w:val="000000"/>
                <w:sz w:val="18"/>
                <w:szCs w:val="18"/>
              </w:rPr>
              <w:t>（毒）种或者样本未履行保护义务，导致高致病性病原微生物菌</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（毒）种或者样本被盗、被抢、丢失、泄漏的处罚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59</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对实验室在相关实验活动结束后，未依照规定及时将病原微生物菌（毒）种和样本就地销毁或者送交保藏机构保管的处罚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60</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对未经批准擅自从事在我国尚未发现或者已经宣布消灭的病原微生物相关实验活动的处罚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对在未经指定的专业实验室从事在我国尚未发现或者已经宣布消灭的病原微生物相关实验活动的处罚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62</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对在同一个实验室的同一个独立安全区域内同时从事两种或者两种以上高致病性病原微生物的相关实验活动的处罚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63</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exact"/>
              <w:rPr>
                <w:rFonts w:ascii="仿宋" w:hAnsi="仿宋" w:eastAsia="仿宋" w:cs="仿宋"/>
                <w:color w:val="000000"/>
                <w:kern w:val="0"/>
                <w:sz w:val="18"/>
                <w:szCs w:val="18"/>
              </w:rPr>
            </w:pPr>
            <w:r>
              <w:rPr>
                <w:rFonts w:hint="eastAsia" w:ascii="仿宋" w:hAnsi="仿宋" w:eastAsia="仿宋" w:cs="仿宋"/>
                <w:color w:val="000000"/>
                <w:sz w:val="18"/>
                <w:szCs w:val="18"/>
              </w:rPr>
              <w:t>实验室工作人员出现该实验室从事的病原微生物相关实验活动有关的感染临床症状或者体征以及实验室发生高致病性病原微生物泄露时，对实验室负责人、实验室工作人员、负责实验室感染控制的专门机构或者人员未依照规定报告或者未依照规定采取控制措施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64</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both"/>
              <w:rPr>
                <w:rFonts w:ascii="仿宋" w:hAnsi="仿宋" w:eastAsia="仿宋" w:cs="仿宋"/>
                <w:sz w:val="18"/>
                <w:szCs w:val="18"/>
              </w:rPr>
            </w:pPr>
            <w:r>
              <w:rPr>
                <w:rFonts w:hint="eastAsia" w:ascii="仿宋" w:hAnsi="仿宋" w:eastAsia="仿宋" w:cs="仿宋"/>
                <w:color w:val="000000"/>
                <w:sz w:val="18"/>
                <w:szCs w:val="18"/>
              </w:rPr>
              <w:t>对拒绝接受卫生主管部门、兽医主管部门依法开展有关高致病性病原微生物扩散的调查取证、采集样品等活动或者依照本条例规定采取有关预防、控制</w:t>
            </w:r>
          </w:p>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措施的处罚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65</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对发生病原微生物被盗、被抢、丢失、泄漏，承运单</w:t>
            </w:r>
          </w:p>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位、护送人、保藏机构和实验室的设立单位未依照本条例的规定报告的处罚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66</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对未依法取得公共场所卫生许可证擅自营业的处罚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67</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对未按照规定对公共场所的空气、微小气候、水质、采光、照明、噪声、顾客用品用具等进行卫生检测，造成公共场所卫生质量不符合卫生标准和要求的处罚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tcBorders>
              <w:top w:val="single" w:color="auto" w:sz="4" w:space="0"/>
              <w:left w:val="single" w:color="auto" w:sz="4" w:space="0"/>
              <w:right w:val="single" w:color="auto" w:sz="4" w:space="0"/>
            </w:tcBorders>
            <w:shd w:val="clear" w:color="auto" w:fill="FFFFFF"/>
            <w:vAlign w:val="center"/>
          </w:tcPr>
          <w:p>
            <w:pPr>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68</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对未按照规定对顾客用品用具等进行清洗、消毒、保洁，或者重复使用一次性用品用具的处罚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69</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对公共场所经营者违反《公共场所卫生管理条例实施细则》第三十七条有关规定的处罚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54" w:type="dxa"/>
            <w:vMerge w:val="continue"/>
            <w:tcBorders>
              <w:top w:val="single" w:color="auto" w:sz="4" w:space="0"/>
              <w:left w:val="single" w:color="auto" w:sz="4" w:space="0"/>
              <w:right w:val="single" w:color="auto" w:sz="4" w:space="0"/>
            </w:tcBorders>
            <w:shd w:val="clear" w:color="auto" w:fill="FFFFFF"/>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70</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对公共场所经营者安排未获得有效健康合格证明的从业人员从事直接为顾客服务工作的行政处罚</w:t>
            </w:r>
          </w:p>
        </w:tc>
        <w:tc>
          <w:tcPr>
            <w:tcW w:w="393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对公共场所经营者对发生的危害健康事故未立即采取处置措施，导致危害扩大，或者隐瞒、缓报、谎报的行政处罚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72</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对超出资质认可或者诊疗项目登记范围从事职业卫生技术服务或者职业病诊断的处罚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73</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对从事职业卫生技术服务的机构、承担职业健康检查以及职业病诊断的医疗卫生机构出具虚假证明文件的处罚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【部门规章及规范性文件】《职业健康检查管理办法》（中华人民共和国国家卫生健康委员会令第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tc>
        <w:tc>
          <w:tcPr>
            <w:tcW w:w="1680" w:type="dxa"/>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74</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19" w:lineRule="exact"/>
              <w:rPr>
                <w:rFonts w:ascii="仿宋" w:hAnsi="仿宋" w:eastAsia="仿宋" w:cs="仿宋"/>
                <w:sz w:val="18"/>
                <w:szCs w:val="18"/>
              </w:rPr>
            </w:pPr>
            <w:r>
              <w:rPr>
                <w:rFonts w:hint="eastAsia" w:ascii="仿宋" w:hAnsi="仿宋" w:eastAsia="仿宋" w:cs="仿宋"/>
                <w:color w:val="000000"/>
                <w:sz w:val="18"/>
                <w:szCs w:val="18"/>
              </w:rPr>
              <w:t>对未取得职业卫生技术服务资质认可擅自从事职业卫生</w:t>
            </w:r>
          </w:p>
          <w:p>
            <w:pPr>
              <w:pStyle w:val="17"/>
              <w:spacing w:line="319" w:lineRule="exact"/>
              <w:rPr>
                <w:rFonts w:ascii="仿宋" w:hAnsi="仿宋" w:eastAsia="仿宋" w:cs="仿宋"/>
                <w:color w:val="000000"/>
                <w:kern w:val="0"/>
                <w:sz w:val="18"/>
                <w:szCs w:val="18"/>
              </w:rPr>
            </w:pPr>
            <w:r>
              <w:rPr>
                <w:rFonts w:hint="eastAsia" w:ascii="仿宋" w:hAnsi="仿宋" w:eastAsia="仿宋" w:cs="仿宋"/>
                <w:color w:val="000000"/>
                <w:sz w:val="18"/>
                <w:szCs w:val="18"/>
              </w:rPr>
              <w:t>技术服务的处罚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75</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对本行政区域内用人单位未落实职业病防治责任的处罚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76</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对从事职业卫生技术服务的机构和承担职业病诊断的医疗卫生机构不按照《中华人民共和国职业病防治法》规定履行法定职责的处罚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【部门规章及规范性文件】《职业健康检查管理办法》（中华人民共和国国家卫生健康委员会令第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vAlign w:val="center"/>
          </w:tcPr>
          <w:p/>
        </w:tc>
        <w:tc>
          <w:tcPr>
            <w:tcW w:w="354" w:type="dxa"/>
            <w:vMerge w:val="continue"/>
            <w:tcBorders>
              <w:top w:val="single" w:color="auto" w:sz="4" w:space="0"/>
              <w:left w:val="single" w:color="auto" w:sz="4" w:space="0"/>
              <w:right w:val="single" w:color="auto" w:sz="4" w:space="0"/>
            </w:tcBorders>
            <w:shd w:val="clear" w:color="auto" w:fill="FFFFFF"/>
            <w:vAlign w:val="center"/>
          </w:tcPr>
          <w:p/>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77</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对未按照规定报告麻醉药品和精神药品的进货、库存、使用数量的处罚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78</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对紧急借用麻</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醉药品和第一</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类精神药品后</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未备案的处罚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79</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8"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对未依照规定销毁麻醉药品和精神药品的处罚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extDirection w:val="tbRlV"/>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80</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rPr>
                <w:rFonts w:ascii="仿宋" w:hAnsi="仿宋" w:eastAsia="仿宋" w:cs="仿宋"/>
                <w:sz w:val="18"/>
                <w:szCs w:val="18"/>
              </w:rPr>
            </w:pPr>
            <w:r>
              <w:rPr>
                <w:rFonts w:hint="eastAsia" w:ascii="仿宋" w:hAnsi="仿宋" w:eastAsia="仿宋" w:cs="仿宋"/>
                <w:color w:val="000000"/>
                <w:sz w:val="18"/>
                <w:szCs w:val="18"/>
              </w:rPr>
              <w:t>对医疗机构未按照规定购</w:t>
            </w:r>
          </w:p>
          <w:p>
            <w:pPr>
              <w:pStyle w:val="17"/>
              <w:rPr>
                <w:rFonts w:ascii="仿宋" w:hAnsi="仿宋" w:eastAsia="仿宋" w:cs="仿宋"/>
                <w:color w:val="000000"/>
                <w:kern w:val="0"/>
                <w:sz w:val="18"/>
                <w:szCs w:val="18"/>
              </w:rPr>
            </w:pPr>
            <w:r>
              <w:rPr>
                <w:rFonts w:hint="eastAsia" w:ascii="仿宋" w:hAnsi="仿宋" w:eastAsia="仿宋" w:cs="仿宋"/>
                <w:color w:val="000000"/>
                <w:sz w:val="18"/>
                <w:szCs w:val="18"/>
              </w:rPr>
              <w:t>买、储存麻醉药品和第一类精神药品的处罚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8"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对医疗卫生机构未履行艾滋病监测职责的处罚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82</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对医疗卫生机构未按照规定免费提供咨询和初筛检测的处罚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83</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对医疗卫生机构对临时应急采集的血液未进行艾滋病检测，对临床用血艾滋病检测结果未进行核查，或者将艾滋病检测阳性的血液用于临床的处罚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84</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对医疗卫生机构未遵守标准防护原则，或者未执行操作规程和消毒管理制度，发生艾滋病医院感染或者医源性感染的处罚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85</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对医疗卫生机构未采取有效的卫生防护措施和医疗保健措施的处罚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86</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对医疗卫生机构推诿、拒绝治疗艾滋病病毒感染者或者艾滋病病人的其他疾病，或者对艾滋病病毒感染者、艾滋病病人未提供咨询、诊断和质量服务的处罚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87</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对医疗卫生机</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构未对艾滋病</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病毒感染者或</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者艾滋病病人</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进行医学随访</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2813" w:type="dxa"/>
            <w:gridSpan w:val="2"/>
            <w:tcBorders>
              <w:top w:val="single" w:color="auto" w:sz="4" w:space="0"/>
              <w:left w:val="single" w:color="auto" w:sz="4" w:space="0"/>
              <w:right w:val="single" w:color="auto" w:sz="4" w:space="0"/>
            </w:tcBorders>
            <w:shd w:val="clear" w:color="auto" w:fill="FFFFFF"/>
            <w:vAlign w:val="center"/>
          </w:tcPr>
          <w:p>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88</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对医疗卫生机构未按照规定对感染艾滋病病毒的孕产妇及其婴儿提供预防艾滋病母婴传播技术指导的处罚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89</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对医疗卫生机构发生感染性疾病暴发、流行时未及时报告当地卫生行政部门，并采取有效消毒措施的处罚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【部门规章及规范性文件】《消毒管理办法》（中华人民共和国卫生部令第</w:t>
            </w:r>
            <w:r>
              <w:rPr>
                <w:rFonts w:ascii="仿宋" w:hAnsi="仿宋" w:eastAsia="仿宋" w:cs="仿宋"/>
                <w:color w:val="000000"/>
                <w:sz w:val="18"/>
                <w:szCs w:val="18"/>
              </w:rPr>
              <w:t>27</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90</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对医疗机构允许未取得护士执业证书的人员或者允许未办理执业地点变更手续、延续执业注册有效期的护士在本机构从事诊疗技术规范规定的护理活动的处罚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【行政法规】《护士条例》（中华人民共和国国务院令第</w:t>
            </w:r>
            <w:r>
              <w:rPr>
                <w:rFonts w:ascii="仿宋" w:hAnsi="仿宋" w:eastAsia="仿宋" w:cs="仿宋"/>
                <w:color w:val="000000"/>
                <w:sz w:val="18"/>
                <w:szCs w:val="18"/>
              </w:rPr>
              <w:t>517</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91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对医疗机构违</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规配置大型医</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用设备的处罚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【行政法规】《医疗器械监督管理条例》</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2000</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日中华人民共和国国务院令第</w:t>
            </w:r>
            <w:r>
              <w:rPr>
                <w:rFonts w:ascii="仿宋" w:hAnsi="仿宋" w:eastAsia="仿宋" w:cs="仿宋"/>
                <w:color w:val="000000"/>
                <w:sz w:val="18"/>
                <w:szCs w:val="18"/>
              </w:rPr>
              <w:t>276</w:t>
            </w:r>
            <w:r>
              <w:rPr>
                <w:rFonts w:hint="eastAsia" w:ascii="仿宋" w:hAnsi="仿宋" w:eastAsia="仿宋" w:cs="仿宋"/>
                <w:color w:val="000000"/>
                <w:sz w:val="18"/>
                <w:szCs w:val="18"/>
              </w:rPr>
              <w:t>号公布，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5</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日修订）</w:t>
            </w:r>
          </w:p>
          <w:p>
            <w:pPr>
              <w:pStyle w:val="17"/>
              <w:tabs>
                <w:tab w:val="left" w:pos="2890"/>
              </w:tabs>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【部门规章及规范性文件】《关于印发大型医用设备配置与使用管理办理（试行）的通知》（国卫规划发〔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12</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c>
          <w:tcPr>
            <w:tcW w:w="366" w:type="dxa"/>
            <w:vMerge w:val="continue"/>
            <w:tcBorders>
              <w:top w:val="single" w:color="auto" w:sz="4" w:space="0"/>
              <w:left w:val="single" w:color="auto" w:sz="4" w:space="0"/>
              <w:right w:val="single" w:color="auto" w:sz="4" w:space="0"/>
            </w:tcBorders>
            <w:shd w:val="clear" w:color="auto" w:fill="FFFFFF"/>
            <w:textDirection w:val="tbRlV"/>
          </w:tcPr>
          <w:p/>
        </w:tc>
        <w:tc>
          <w:tcPr>
            <w:tcW w:w="366" w:type="dxa"/>
            <w:gridSpan w:val="2"/>
            <w:vMerge w:val="continue"/>
            <w:tcBorders>
              <w:top w:val="single" w:color="auto" w:sz="4" w:space="0"/>
              <w:left w:val="single" w:color="auto" w:sz="4" w:space="0"/>
              <w:right w:val="single" w:color="auto" w:sz="4" w:space="0"/>
            </w:tcBorders>
            <w:shd w:val="clear" w:color="auto" w:fill="FFFFFF"/>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92</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对消毒剂和消毒器械及生产经营单位监管过程中涉及的行政强制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【部门规章及规范性文件】《消毒管理办法》（中华人民共和国卫生部令第</w:t>
            </w:r>
            <w:r>
              <w:rPr>
                <w:rFonts w:ascii="仿宋" w:hAnsi="仿宋" w:eastAsia="仿宋" w:cs="仿宋"/>
                <w:color w:val="000000"/>
                <w:sz w:val="18"/>
                <w:szCs w:val="18"/>
              </w:rPr>
              <w:t>27</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1"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93</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对涉及饮用水卫生安全产品和饮用水供水单位的监管过程中涉及的行政强制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pPr>
              <w:pStyle w:val="17"/>
              <w:spacing w:after="40" w:line="240" w:lineRule="auto"/>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spacing w:after="40" w:line="240" w:lineRule="auto"/>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after="40" w:line="240" w:lineRule="auto"/>
              <w:jc w:val="left"/>
              <w:rPr>
                <w:rFonts w:ascii="仿宋" w:hAnsi="仿宋" w:eastAsia="仿宋" w:cs="仿宋"/>
                <w:color w:val="000000"/>
                <w:kern w:val="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94</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对采供血机构的监管过程中涉及的行政强制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pPr>
              <w:pStyle w:val="17"/>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【行政法规】《血液制品管理条例》（中华人民共和国国务院令第</w:t>
            </w:r>
            <w:r>
              <w:rPr>
                <w:rFonts w:ascii="仿宋" w:hAnsi="仿宋" w:eastAsia="仿宋" w:cs="仿宋"/>
                <w:color w:val="000000"/>
                <w:sz w:val="18"/>
                <w:szCs w:val="18"/>
              </w:rPr>
              <w:t>208</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pPr>
              <w:pStyle w:val="17"/>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【部门规章及规范性文件】《单采血浆站管理办法》（中华人民共和国卫生部令第</w:t>
            </w:r>
            <w:r>
              <w:rPr>
                <w:rFonts w:ascii="仿宋" w:hAnsi="仿宋" w:eastAsia="仿宋" w:cs="仿宋"/>
                <w:color w:val="000000"/>
                <w:sz w:val="18"/>
                <w:szCs w:val="18"/>
              </w:rPr>
              <w:t>58</w:t>
            </w:r>
            <w:r>
              <w:rPr>
                <w:rFonts w:hint="eastAsia" w:ascii="仿宋" w:hAnsi="仿宋" w:eastAsia="仿宋" w:cs="仿宋"/>
                <w:color w:val="000000"/>
                <w:sz w:val="18"/>
                <w:szCs w:val="18"/>
              </w:rPr>
              <w:t>号发布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95</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对医师及医疗</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机构的监管过</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程中涉及的行</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【法律】《中华人民共和国中医药法》（中华人民共和国主席令第</w:t>
            </w:r>
            <w:r>
              <w:rPr>
                <w:rFonts w:ascii="仿宋" w:hAnsi="仿宋" w:eastAsia="仿宋" w:cs="仿宋"/>
                <w:color w:val="000000"/>
                <w:sz w:val="18"/>
                <w:szCs w:val="18"/>
              </w:rPr>
              <w:t>59</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【行政法规】《乡村医生从业管理条例》</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（中华人民共和国国务院令第</w:t>
            </w:r>
            <w:r>
              <w:rPr>
                <w:rFonts w:ascii="仿宋" w:hAnsi="仿宋" w:eastAsia="仿宋" w:cs="仿宋"/>
                <w:color w:val="000000"/>
                <w:sz w:val="18"/>
                <w:szCs w:val="18"/>
              </w:rPr>
              <w:t>386</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【行政法规】《人体器官移植条例》（中华人民共和国国务院令第</w:t>
            </w:r>
            <w:r>
              <w:rPr>
                <w:rFonts w:ascii="仿宋" w:hAnsi="仿宋" w:eastAsia="仿宋" w:cs="仿宋"/>
                <w:color w:val="000000"/>
                <w:sz w:val="18"/>
                <w:szCs w:val="18"/>
              </w:rPr>
              <w:t>491</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【部门规章及规范性文件】《医师执业注册管理办法》（中华人民共和国国家卫生和计划生育委员会令第</w:t>
            </w:r>
            <w:r>
              <w:rPr>
                <w:rFonts w:ascii="仿宋" w:hAnsi="仿宋" w:eastAsia="仿宋" w:cs="仿宋"/>
                <w:color w:val="000000"/>
                <w:sz w:val="18"/>
                <w:szCs w:val="18"/>
              </w:rPr>
              <w:t>13</w:t>
            </w:r>
            <w:r>
              <w:rPr>
                <w:rFonts w:hint="eastAsia" w:ascii="仿宋" w:hAnsi="仿宋" w:eastAsia="仿宋" w:cs="仿宋"/>
                <w:color w:val="000000"/>
                <w:sz w:val="18"/>
                <w:szCs w:val="18"/>
              </w:rPr>
              <w:t>号）</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【部门规章及规范性文件】《外国医师来华短期行医暂行管理办法》（</w:t>
            </w:r>
            <w:r>
              <w:rPr>
                <w:rFonts w:ascii="仿宋" w:hAnsi="仿宋" w:eastAsia="仿宋" w:cs="仿宋"/>
                <w:color w:val="000000"/>
                <w:sz w:val="18"/>
                <w:szCs w:val="18"/>
              </w:rPr>
              <w:t>1992</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7</w:t>
            </w:r>
            <w:r>
              <w:rPr>
                <w:rFonts w:hint="eastAsia" w:ascii="仿宋" w:hAnsi="仿宋" w:eastAsia="仿宋" w:cs="仿宋"/>
                <w:color w:val="000000"/>
                <w:sz w:val="18"/>
                <w:szCs w:val="18"/>
              </w:rPr>
              <w:t>日卫生部令第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日修改）</w:t>
            </w:r>
          </w:p>
          <w:p>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【部门规章及规范性文件】《香港、澳门特别行政区医师在内地短期行医管理规定》</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（中华人民共和国卫生部令第</w:t>
            </w:r>
            <w:r>
              <w:rPr>
                <w:rFonts w:ascii="仿宋" w:hAnsi="仿宋" w:eastAsia="仿宋" w:cs="仿宋"/>
                <w:color w:val="000000"/>
                <w:sz w:val="18"/>
                <w:szCs w:val="18"/>
              </w:rPr>
              <w:t>62</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96</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对突发公共卫生事件应急处理中医疗机构的监管过程中涉及的行政强制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【行政法规】《突发公共卫生事件应急条例》（中华人民共和国国务院令第</w:t>
            </w:r>
            <w:r>
              <w:rPr>
                <w:rFonts w:ascii="仿宋" w:hAnsi="仿宋" w:eastAsia="仿宋" w:cs="仿宋"/>
                <w:color w:val="000000"/>
                <w:sz w:val="18"/>
                <w:szCs w:val="18"/>
              </w:rPr>
              <w:t>376</w:t>
            </w:r>
            <w:r>
              <w:rPr>
                <w:rFonts w:hint="eastAsia" w:ascii="仿宋" w:hAnsi="仿宋" w:eastAsia="仿宋" w:cs="仿宋"/>
                <w:color w:val="000000"/>
                <w:sz w:val="18"/>
                <w:szCs w:val="18"/>
              </w:rPr>
              <w:t>号</w:t>
            </w:r>
            <w:r>
              <w:rPr>
                <w:rFonts w:ascii="仿宋" w:hAnsi="仿宋" w:eastAsia="仿宋" w:cs="仿宋"/>
                <w:color w:val="000000"/>
                <w:sz w:val="18"/>
                <w:szCs w:val="18"/>
              </w:rPr>
              <w:t>2011</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8</w:t>
            </w:r>
            <w:r>
              <w:rPr>
                <w:rFonts w:hint="eastAsia" w:ascii="仿宋" w:hAnsi="仿宋" w:eastAsia="仿宋" w:cs="仿宋"/>
                <w:color w:val="000000"/>
                <w:sz w:val="18"/>
                <w:szCs w:val="18"/>
              </w:rPr>
              <w:t>日修订）</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31"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97</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对医疗废物收集、运送、贮存、处置活动中的疾病防治工作的监管过程中涉及的行政强制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【行政法规】《医疗废物管理条例》（中华人民共和国国务院令第</w:t>
            </w:r>
            <w:r>
              <w:rPr>
                <w:rFonts w:ascii="仿宋" w:hAnsi="仿宋" w:eastAsia="仿宋" w:cs="仿宋"/>
                <w:color w:val="000000"/>
                <w:sz w:val="18"/>
                <w:szCs w:val="18"/>
              </w:rPr>
              <w:t>380</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98</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行政征收类事项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社会抚养费征收</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【行政法规】《社会抚养费征收管理办法》（中华人民共和国国务院令第</w:t>
            </w:r>
            <w:r>
              <w:rPr>
                <w:rFonts w:ascii="仿宋" w:hAnsi="仿宋" w:eastAsia="仿宋" w:cs="仿宋"/>
                <w:color w:val="000000"/>
                <w:sz w:val="18"/>
                <w:szCs w:val="18"/>
              </w:rPr>
              <w:t>357</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办理机构</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99</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因参与突发公共卫生事件应急处置工作致病、致残、死亡人员补助和抚恤</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【行政法规】《突发公共卫生事件应急条例》（中华人民共和国国务院令第</w:t>
            </w:r>
            <w:r>
              <w:rPr>
                <w:rFonts w:ascii="仿宋" w:hAnsi="仿宋" w:eastAsia="仿宋" w:cs="仿宋"/>
                <w:color w:val="000000"/>
                <w:sz w:val="18"/>
                <w:szCs w:val="18"/>
              </w:rPr>
              <w:t>376</w:t>
            </w:r>
            <w:r>
              <w:rPr>
                <w:rFonts w:hint="eastAsia" w:ascii="仿宋" w:hAnsi="仿宋" w:eastAsia="仿宋" w:cs="仿宋"/>
                <w:color w:val="000000"/>
                <w:sz w:val="18"/>
                <w:szCs w:val="18"/>
              </w:rPr>
              <w:t>号</w:t>
            </w:r>
            <w:r>
              <w:rPr>
                <w:rFonts w:ascii="仿宋" w:hAnsi="仿宋" w:eastAsia="仿宋" w:cs="仿宋"/>
                <w:color w:val="000000"/>
                <w:sz w:val="18"/>
                <w:szCs w:val="18"/>
              </w:rPr>
              <w:t>2011</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8</w:t>
            </w:r>
            <w:r>
              <w:rPr>
                <w:rFonts w:hint="eastAsia" w:ascii="仿宋" w:hAnsi="仿宋" w:eastAsia="仿宋" w:cs="仿宋"/>
                <w:color w:val="000000"/>
                <w:sz w:val="18"/>
                <w:szCs w:val="18"/>
              </w:rPr>
              <w:t>日修订）</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kern w:val="0"/>
                <w:sz w:val="18"/>
                <w:szCs w:val="18"/>
              </w:rPr>
            </w:p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100</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因参与传染病防治工作致病、致残、死亡人员补助和抚恤</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pPr>
              <w:pStyle w:val="17"/>
              <w:spacing w:line="240" w:lineRule="auto"/>
              <w:jc w:val="left"/>
              <w:rPr>
                <w:rFonts w:ascii="仿宋" w:hAnsi="仿宋" w:eastAsia="仿宋" w:cs="仿宋"/>
                <w:color w:val="000000"/>
                <w:kern w:val="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101</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精神卫生工作人员的津贴和因工致伤、致残、死亡的人员工伤待遇以及抚恤</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【法律】《中华人民共和国精神卫生法》</w:t>
            </w:r>
          </w:p>
          <w:p>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102</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因参与艾滋病</w:t>
            </w:r>
          </w:p>
          <w:p>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防治工作的补</w:t>
            </w:r>
          </w:p>
          <w:p>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助、抚恤</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jc w:val="left"/>
              <w:rPr>
                <w:rFonts w:ascii="仿宋" w:hAnsi="仿宋" w:eastAsia="仿宋" w:cs="仿宋"/>
                <w:color w:val="000000"/>
                <w:sz w:val="18"/>
                <w:szCs w:val="18"/>
              </w:rPr>
            </w:pPr>
          </w:p>
        </w:tc>
        <w:tc>
          <w:tcPr>
            <w:tcW w:w="900" w:type="dxa"/>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1095" w:type="dxa"/>
            <w:vMerge w:val="restart"/>
            <w:tcBorders>
              <w:top w:val="single" w:color="auto" w:sz="4" w:space="0"/>
              <w:left w:val="single" w:color="auto" w:sz="4" w:space="0"/>
              <w:right w:val="single" w:color="auto" w:sz="4" w:space="0"/>
            </w:tcBorders>
            <w:shd w:val="clear" w:color="auto" w:fill="FFFFFF"/>
            <w:vAlign w:val="center"/>
          </w:tcPr>
          <w:p>
            <w:pPr>
              <w:rPr>
                <w:rFonts w:ascii="仿宋" w:hAnsi="仿宋" w:eastAsia="仿宋" w:cs="仿宋"/>
                <w:color w:val="000000"/>
                <w:sz w:val="18"/>
                <w:szCs w:val="18"/>
              </w:rPr>
            </w:p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103</w:t>
            </w:r>
          </w:p>
        </w:tc>
        <w:tc>
          <w:tcPr>
            <w:tcW w:w="600" w:type="dxa"/>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pPr>
              <w:pStyle w:val="17"/>
              <w:spacing w:line="336" w:lineRule="exact"/>
              <w:rPr>
                <w:rFonts w:ascii="仿宋" w:hAnsi="仿宋" w:eastAsia="仿宋" w:cs="仿宋"/>
                <w:color w:val="000000"/>
                <w:kern w:val="0"/>
                <w:sz w:val="18"/>
                <w:szCs w:val="18"/>
              </w:rPr>
            </w:pPr>
            <w:r>
              <w:rPr>
                <w:rFonts w:hint="eastAsia" w:ascii="仿宋" w:hAnsi="仿宋" w:eastAsia="仿宋" w:cs="仿宋"/>
                <w:color w:val="000000"/>
                <w:sz w:val="18"/>
                <w:szCs w:val="18"/>
              </w:rPr>
              <w:t>独生子女父母奖励</w:t>
            </w: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329"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pP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tc>
        <w:tc>
          <w:tcPr>
            <w:tcW w:w="600" w:type="dxa"/>
            <w:vMerge w:val="continue"/>
            <w:tcBorders>
              <w:top w:val="single" w:color="auto" w:sz="4" w:space="0"/>
              <w:left w:val="single" w:color="auto" w:sz="4" w:space="0"/>
              <w:right w:val="single" w:color="auto" w:sz="4" w:space="0"/>
            </w:tcBorders>
            <w:shd w:val="clear" w:color="auto" w:fill="FFFFFF"/>
            <w:vAlign w:val="center"/>
          </w:tcPr>
          <w:p/>
        </w:tc>
        <w:tc>
          <w:tcPr>
            <w:tcW w:w="840" w:type="dxa"/>
            <w:vMerge w:val="continue"/>
            <w:tcBorders>
              <w:top w:val="single" w:color="auto" w:sz="4" w:space="0"/>
              <w:left w:val="single" w:color="auto" w:sz="4" w:space="0"/>
              <w:right w:val="single" w:color="auto" w:sz="4" w:space="0"/>
            </w:tcBorders>
            <w:shd w:val="clear" w:color="auto" w:fill="FFFFFF"/>
            <w:vAlign w:val="center"/>
          </w:tcPr>
          <w:p/>
        </w:tc>
        <w:tc>
          <w:tcPr>
            <w:tcW w:w="4167" w:type="dxa"/>
            <w:gridSpan w:val="2"/>
            <w:tcBorders>
              <w:top w:val="single" w:color="auto" w:sz="4" w:space="0"/>
              <w:left w:val="single" w:color="auto" w:sz="4" w:space="0"/>
              <w:right w:val="single" w:color="auto" w:sz="4" w:space="0"/>
            </w:tcBorders>
            <w:shd w:val="clear" w:color="auto" w:fill="FFFFFF"/>
            <w:vAlign w:val="center"/>
          </w:tcPr>
          <w:p>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tc>
        <w:tc>
          <w:tcPr>
            <w:tcW w:w="900" w:type="dxa"/>
            <w:vMerge w:val="continue"/>
            <w:tcBorders>
              <w:top w:val="single" w:color="auto" w:sz="4" w:space="0"/>
              <w:left w:val="single" w:color="auto" w:sz="4" w:space="0"/>
              <w:right w:val="single" w:color="auto" w:sz="4" w:space="0"/>
            </w:tcBorders>
            <w:shd w:val="clear" w:color="auto" w:fill="FFFFFF"/>
            <w:vAlign w:val="center"/>
          </w:tcPr>
          <w:p/>
        </w:tc>
        <w:tc>
          <w:tcPr>
            <w:tcW w:w="1095" w:type="dxa"/>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vAlign w:val="center"/>
          </w:tcPr>
          <w:p/>
        </w:tc>
        <w:tc>
          <w:tcPr>
            <w:tcW w:w="366" w:type="dxa"/>
            <w:vMerge w:val="continue"/>
            <w:tcBorders>
              <w:top w:val="single" w:color="auto" w:sz="4" w:space="0"/>
              <w:left w:val="single" w:color="auto" w:sz="4" w:space="0"/>
              <w:right w:val="single" w:color="auto" w:sz="4" w:space="0"/>
            </w:tcBorders>
            <w:shd w:val="clear" w:color="auto" w:fill="FFFFFF"/>
          </w:tcPr>
          <w:p/>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tc>
        <w:tc>
          <w:tcPr>
            <w:tcW w:w="363" w:type="dxa"/>
            <w:vMerge w:val="continue"/>
            <w:tcBorders>
              <w:top w:val="single" w:color="auto" w:sz="4" w:space="0"/>
              <w:left w:val="single" w:color="auto" w:sz="4" w:space="0"/>
              <w:right w:val="single" w:color="auto" w:sz="4" w:space="0"/>
            </w:tcBorders>
            <w:shd w:val="clear" w:color="auto" w:fill="FFFFFF"/>
          </w:tcPr>
          <w:p/>
        </w:tc>
      </w:tr>
    </w:tbl>
    <w:p>
      <w:pPr>
        <w:jc w:val="center"/>
        <w:rPr>
          <w:rFonts w:ascii="仿宋" w:hAnsi="仿宋" w:eastAsia="仿宋" w:cs="仿宋"/>
          <w:color w:val="000000"/>
          <w:kern w:val="0"/>
          <w:sz w:val="18"/>
          <w:szCs w:val="18"/>
        </w:rPr>
      </w:pPr>
    </w:p>
    <w:p>
      <w:pPr>
        <w:jc w:val="center"/>
        <w:rPr>
          <w:rFonts w:ascii="宋体" w:cs="宋体"/>
          <w:kern w:val="44"/>
          <w:sz w:val="30"/>
          <w:szCs w:val="44"/>
        </w:rPr>
      </w:pPr>
    </w:p>
    <w:p>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二</w:t>
      </w:r>
      <w:r>
        <w:rPr>
          <w:rFonts w:hint="eastAsia" w:ascii="宋体" w:hAnsi="宋体" w:cs="宋体"/>
          <w:kern w:val="44"/>
          <w:sz w:val="30"/>
          <w:szCs w:val="44"/>
        </w:rPr>
        <w:t>）安全生产领域基层政务公开标准目录</w:t>
      </w:r>
    </w:p>
    <w:tbl>
      <w:tblPr>
        <w:tblStyle w:val="9"/>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851"/>
        <w:gridCol w:w="2460"/>
        <w:gridCol w:w="1529"/>
        <w:gridCol w:w="1148"/>
        <w:gridCol w:w="1248"/>
        <w:gridCol w:w="664"/>
        <w:gridCol w:w="720"/>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51"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4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29"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4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48"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8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51" w:type="dxa"/>
            <w:vMerge w:val="continue"/>
            <w:tcBorders>
              <w:top w:val="single" w:color="auto" w:sz="4" w:space="0"/>
              <w:left w:val="single" w:color="auto" w:sz="4" w:space="0"/>
              <w:right w:val="single" w:color="auto" w:sz="4" w:space="0"/>
            </w:tcBorders>
            <w:vAlign w:val="center"/>
          </w:tcPr>
          <w:p/>
        </w:tc>
        <w:tc>
          <w:tcPr>
            <w:tcW w:w="2460" w:type="dxa"/>
            <w:vMerge w:val="continue"/>
            <w:tcBorders>
              <w:top w:val="single" w:color="auto" w:sz="4" w:space="0"/>
              <w:left w:val="single" w:color="auto" w:sz="4" w:space="0"/>
              <w:right w:val="single" w:color="auto" w:sz="4" w:space="0"/>
            </w:tcBorders>
            <w:vAlign w:val="center"/>
          </w:tcPr>
          <w:p/>
        </w:tc>
        <w:tc>
          <w:tcPr>
            <w:tcW w:w="1529" w:type="dxa"/>
            <w:vMerge w:val="continue"/>
            <w:tcBorders>
              <w:top w:val="single" w:color="auto" w:sz="4" w:space="0"/>
              <w:left w:val="single" w:color="auto" w:sz="4" w:space="0"/>
              <w:right w:val="single" w:color="auto" w:sz="4" w:space="0"/>
            </w:tcBorders>
            <w:vAlign w:val="center"/>
          </w:tcPr>
          <w:p/>
        </w:tc>
        <w:tc>
          <w:tcPr>
            <w:tcW w:w="1148" w:type="dxa"/>
            <w:vMerge w:val="continue"/>
            <w:tcBorders>
              <w:top w:val="single" w:color="auto" w:sz="4" w:space="0"/>
              <w:left w:val="single" w:color="auto" w:sz="4" w:space="0"/>
              <w:right w:val="single" w:color="auto" w:sz="4" w:space="0"/>
            </w:tcBorders>
            <w:vAlign w:val="center"/>
          </w:tcPr>
          <w:p/>
        </w:tc>
        <w:tc>
          <w:tcPr>
            <w:tcW w:w="1248" w:type="dxa"/>
            <w:vMerge w:val="continue"/>
            <w:tcBorders>
              <w:top w:val="single" w:color="auto" w:sz="4" w:space="0"/>
              <w:left w:val="single" w:color="auto" w:sz="4" w:space="0"/>
              <w:right w:val="single" w:color="auto" w:sz="4" w:space="0"/>
            </w:tcBorders>
            <w:vAlign w:val="center"/>
          </w:tcPr>
          <w:p/>
        </w:tc>
        <w:tc>
          <w:tcPr>
            <w:tcW w:w="664"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法律法规</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与安全生产有关的法律、法规</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restart"/>
            <w:tcBorders>
              <w:top w:val="single" w:color="auto" w:sz="4" w:space="0"/>
              <w:left w:val="single" w:color="auto" w:sz="4" w:space="0"/>
              <w:right w:val="single" w:color="auto" w:sz="4" w:space="0"/>
            </w:tcBorders>
            <w:vAlign w:val="center"/>
          </w:tcPr>
          <w:p>
            <w:pPr>
              <w:spacing w:line="240" w:lineRule="exact"/>
              <w:jc w:val="left"/>
              <w:rPr>
                <w:rFonts w:ascii="仿宋_GB2312" w:eastAsia="仿宋_GB2312"/>
                <w:sz w:val="18"/>
                <w:szCs w:val="18"/>
              </w:rPr>
            </w:pPr>
            <w:r>
              <w:rPr>
                <w:rFonts w:hint="eastAsia" w:ascii="仿宋_GB2312" w:eastAsia="仿宋_GB2312"/>
                <w:sz w:val="18"/>
                <w:szCs w:val="18"/>
                <w:lang w:eastAsia="zh-CN"/>
              </w:rPr>
              <w:t>■政府网站</w:t>
            </w:r>
            <w:r>
              <w:rPr>
                <w:rFonts w:ascii="仿宋_GB2312" w:eastAsia="仿宋_GB2312"/>
                <w:sz w:val="18"/>
                <w:szCs w:val="18"/>
              </w:rPr>
              <w:t xml:space="preserve">   </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部门和地方规章</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与安全生产有关的部门和地方规章</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continue"/>
            <w:tcBorders>
              <w:top w:val="single" w:color="auto" w:sz="4" w:space="0"/>
              <w:left w:val="single" w:color="auto" w:sz="4" w:space="0"/>
              <w:right w:val="single" w:color="auto" w:sz="4" w:space="0"/>
            </w:tcBorders>
            <w:vAlign w:val="center"/>
          </w:tcP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其他政策文件</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其他可以公开的与安全生产有关的政策文件，包括改革方案、发展规划、专项规划、工作计划等</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continue"/>
            <w:tcBorders>
              <w:top w:val="single" w:color="auto" w:sz="4" w:space="0"/>
              <w:left w:val="single" w:color="auto" w:sz="4" w:space="0"/>
              <w:right w:val="single" w:color="auto" w:sz="4" w:space="0"/>
            </w:tcBorders>
            <w:vAlign w:val="center"/>
          </w:tcP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标准</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安全生产领域有关的国家标准、行业标准、地方标准等</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continue"/>
            <w:tcBorders>
              <w:top w:val="single" w:color="auto" w:sz="4" w:space="0"/>
              <w:left w:val="single" w:color="auto" w:sz="4" w:space="0"/>
              <w:right w:val="single" w:color="auto" w:sz="4" w:space="0"/>
            </w:tcBorders>
            <w:vAlign w:val="center"/>
          </w:tcP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重大决策草案</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涉及管理相对人切身利益、需社会广泛知晓的重要改革方案等重大决策，决策前向社会公开决策草案、决策依据</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6</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重大政策解读及回应</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有关重大政策的解读与回应，安全生产相关热点问题的解读与回应</w:t>
            </w:r>
          </w:p>
        </w:tc>
        <w:tc>
          <w:tcPr>
            <w:tcW w:w="2460" w:type="dxa"/>
            <w:tcBorders>
              <w:top w:val="single" w:color="auto" w:sz="4" w:space="0"/>
              <w:left w:val="single" w:color="auto" w:sz="4" w:space="0"/>
              <w:right w:val="single" w:color="auto" w:sz="4" w:space="0"/>
            </w:tcBorders>
          </w:tcPr>
          <w:p>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重大决策作出后及时公开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7</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重要会议</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通过会议讨论作出重要改革方案等重大决策时，经党组研究认为有必要公开讨论决策过程的会议</w:t>
            </w:r>
          </w:p>
        </w:tc>
        <w:tc>
          <w:tcPr>
            <w:tcW w:w="2460" w:type="dxa"/>
            <w:tcBorders>
              <w:top w:val="single" w:color="auto" w:sz="4" w:space="0"/>
              <w:left w:val="single" w:color="auto" w:sz="4" w:space="0"/>
              <w:right w:val="single" w:color="auto" w:sz="4" w:space="0"/>
            </w:tcBorders>
          </w:tcPr>
          <w:p>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提前一周发通知邀请</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8</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征集采纳社会公众意见情况</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重大决策草案公布后征集到的社会公众意见情况、采纳与否情况及理由等</w:t>
            </w:r>
          </w:p>
        </w:tc>
        <w:tc>
          <w:tcPr>
            <w:tcW w:w="2460" w:type="dxa"/>
            <w:tcBorders>
              <w:top w:val="single" w:color="auto" w:sz="4" w:space="0"/>
              <w:left w:val="single" w:color="auto" w:sz="4" w:space="0"/>
              <w:right w:val="single" w:color="auto" w:sz="4" w:space="0"/>
            </w:tcBorders>
          </w:tcPr>
          <w:p>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征求意见时对外公布的时限内公开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3"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9</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依法</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行政许可</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办理行政许可和其他对外管理服务事项的依据、条件、程序</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10</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依法</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行政处罚</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办理行政处罚的依据、条件、程序以及本级行政机关认为具有一定社会影响的行政处罚决定</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11</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行政强制</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办理行政强制的依据、条件、程序</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r>
              <w:rPr>
                <w:rFonts w:hint="eastAsia" w:ascii="仿宋_GB2312" w:eastAsia="仿宋_GB2312"/>
                <w:bCs/>
                <w:color w:val="000000"/>
                <w:sz w:val="18"/>
                <w:szCs w:val="18"/>
                <w:lang w:eastAsia="zh-CN"/>
              </w:rPr>
              <w:t>《中华人民共和国突发事件应对法》</w:t>
            </w:r>
            <w:r>
              <w:rPr>
                <w:rFonts w:hint="eastAsia" w:ascii="仿宋_GB2312" w:eastAsia="仿宋_GB2312"/>
                <w:bCs/>
                <w:color w:val="000000"/>
                <w:sz w:val="18"/>
                <w:szCs w:val="18"/>
              </w:rPr>
              <w:t>、《突发事件应急预案管理办法》、《中共中央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12</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隐患管理</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重大隐患排查、挂牌督办及其整改情况，安全生产举报电话等</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《中华人民共和国安全生产法》</w:t>
            </w: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13</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应急管理</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承担处置主责、非敏感的应急信息，包括事故灾害类预警信息、事故信息、事故后采取的应急处置措施和应对结果等</w:t>
            </w:r>
            <w:r>
              <w:rPr>
                <w:rFonts w:ascii="仿宋_GB2312" w:eastAsia="仿宋_GB2312"/>
                <w:bCs/>
                <w:sz w:val="18"/>
                <w:szCs w:val="18"/>
              </w:rPr>
              <w:t xml:space="preserve">  </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r>
              <w:rPr>
                <w:rFonts w:hint="eastAsia" w:ascii="仿宋_GB2312" w:eastAsia="仿宋_GB2312"/>
                <w:bCs/>
                <w:color w:val="000000"/>
                <w:sz w:val="18"/>
                <w:szCs w:val="18"/>
                <w:lang w:eastAsia="zh-CN"/>
              </w:rPr>
              <w:t>《中华人民共和国突发事件应对法》</w:t>
            </w:r>
            <w:r>
              <w:rPr>
                <w:rFonts w:hint="eastAsia" w:ascii="仿宋_GB2312" w:eastAsia="仿宋_GB2312"/>
                <w:bCs/>
                <w:color w:val="000000"/>
                <w:sz w:val="18"/>
                <w:szCs w:val="18"/>
              </w:rPr>
              <w:t>、《关于全面加强政务公开工作的意见》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14</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黑名单管理</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列入或撤销纳入安全生产黑名单管理的企业信息，具体企业名称、证照编号、经营地址、负责人姓名等</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《政府信息公开条例》、《社会信用体系建设规划纲要（</w:t>
            </w:r>
            <w:r>
              <w:rPr>
                <w:rFonts w:ascii="仿宋_GB2312" w:eastAsia="仿宋_GB2312"/>
                <w:bCs/>
                <w:color w:val="000000"/>
                <w:sz w:val="18"/>
                <w:szCs w:val="18"/>
              </w:rPr>
              <w:t>2014-2020</w:t>
            </w:r>
            <w:r>
              <w:rPr>
                <w:rFonts w:hint="eastAsia" w:ascii="仿宋_GB2312" w:eastAsia="仿宋_GB2312"/>
                <w:bCs/>
                <w:color w:val="000000"/>
                <w:sz w:val="18"/>
                <w:szCs w:val="18"/>
              </w:rPr>
              <w:t>年）》</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15</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事故通报</w:t>
            </w:r>
          </w:p>
        </w:tc>
        <w:tc>
          <w:tcPr>
            <w:tcW w:w="2851" w:type="dxa"/>
            <w:tcBorders>
              <w:top w:val="single" w:color="auto" w:sz="4" w:space="0"/>
              <w:left w:val="single" w:color="auto" w:sz="4" w:space="0"/>
              <w:right w:val="single" w:color="auto" w:sz="4" w:space="0"/>
            </w:tcBorders>
            <w:vAlign w:val="center"/>
          </w:tcPr>
          <w:p>
            <w:pPr>
              <w:jc w:val="left"/>
              <w:rPr>
                <w:rFonts w:ascii="仿宋_GB2312" w:hAnsi="宋体" w:eastAsia="仿宋_GB2312" w:cs="宋体"/>
                <w:bCs/>
                <w:sz w:val="18"/>
                <w:szCs w:val="18"/>
              </w:rPr>
            </w:pPr>
            <w:r>
              <w:rPr>
                <w:rFonts w:ascii="仿宋_GB2312" w:eastAsia="仿宋_GB2312"/>
                <w:bCs/>
                <w:sz w:val="18"/>
                <w:szCs w:val="18"/>
              </w:rPr>
              <w:t>1</w:t>
            </w:r>
            <w:r>
              <w:rPr>
                <w:rFonts w:hint="eastAsia" w:ascii="仿宋_GB2312" w:eastAsia="仿宋_GB2312"/>
                <w:bCs/>
                <w:sz w:val="18"/>
                <w:szCs w:val="18"/>
              </w:rPr>
              <w:t>、事故信息</w:t>
            </w:r>
            <w:r>
              <w:rPr>
                <w:rFonts w:ascii="仿宋_GB2312" w:eastAsia="仿宋_GB2312"/>
                <w:bCs/>
                <w:sz w:val="18"/>
                <w:szCs w:val="18"/>
              </w:rPr>
              <w:t>:</w:t>
            </w:r>
            <w:r>
              <w:rPr>
                <w:rFonts w:hint="eastAsia" w:ascii="仿宋_GB2312" w:eastAsia="仿宋_GB2312"/>
                <w:bCs/>
                <w:sz w:val="18"/>
                <w:szCs w:val="18"/>
              </w:rPr>
              <w:t>本部门接报查实的各类生产安全事故情况（事故发生时间、地点、伤亡情况、简要经过）</w:t>
            </w:r>
            <w:r>
              <w:rPr>
                <w:rFonts w:ascii="仿宋_GB2312" w:eastAsia="仿宋_GB2312"/>
                <w:bCs/>
                <w:sz w:val="18"/>
                <w:szCs w:val="18"/>
              </w:rPr>
              <w:t xml:space="preserve">                         2</w:t>
            </w:r>
            <w:r>
              <w:rPr>
                <w:rFonts w:hint="eastAsia" w:ascii="仿宋_GB2312" w:eastAsia="仿宋_GB2312"/>
                <w:bCs/>
                <w:sz w:val="18"/>
                <w:szCs w:val="18"/>
              </w:rPr>
              <w:t>、典型事故通报</w:t>
            </w:r>
            <w:r>
              <w:rPr>
                <w:rFonts w:ascii="仿宋_GB2312" w:eastAsia="仿宋_GB2312"/>
                <w:bCs/>
                <w:sz w:val="18"/>
                <w:szCs w:val="18"/>
              </w:rPr>
              <w:t>:</w:t>
            </w:r>
            <w:r>
              <w:rPr>
                <w:rFonts w:hint="eastAsia" w:ascii="仿宋_GB2312" w:eastAsia="仿宋_GB2312"/>
                <w:bCs/>
                <w:sz w:val="18"/>
                <w:szCs w:val="18"/>
              </w:rPr>
              <w:t>各类典型安全生产事故情况通报，主要包括发生时间、地点、起因、经过、结果、相关领导批示情况、预防性措施建议等内容</w:t>
            </w:r>
            <w:r>
              <w:rPr>
                <w:rFonts w:ascii="仿宋_GB2312" w:eastAsia="仿宋_GB2312"/>
                <w:bCs/>
                <w:sz w:val="18"/>
                <w:szCs w:val="18"/>
              </w:rPr>
              <w:t xml:space="preserve">                       3</w:t>
            </w:r>
            <w:r>
              <w:rPr>
                <w:rFonts w:hint="eastAsia" w:ascii="仿宋_GB2312" w:eastAsia="仿宋_GB2312"/>
                <w:bCs/>
                <w:sz w:val="18"/>
                <w:szCs w:val="18"/>
              </w:rPr>
              <w:t>、事故调查报告：依照事故调查处理权限，经批复的生产安全事故调查报告，依法应当保密的除外</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《中华人民共和国安全生产法》</w:t>
            </w: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按照中央有关要求公开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16</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动态信息</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业务工作动态、安全生产执法检查动态</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《政府信息公开条例》、《中共中央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8"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17</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安全生产预警提示信息</w:t>
            </w:r>
          </w:p>
        </w:tc>
        <w:tc>
          <w:tcPr>
            <w:tcW w:w="2851" w:type="dxa"/>
            <w:tcBorders>
              <w:top w:val="single" w:color="auto" w:sz="4" w:space="0"/>
              <w:left w:val="single" w:color="auto" w:sz="4" w:space="0"/>
              <w:right w:val="single" w:color="auto" w:sz="4" w:space="0"/>
            </w:tcBorders>
            <w:vAlign w:val="center"/>
          </w:tcPr>
          <w:p>
            <w:pPr>
              <w:jc w:val="left"/>
              <w:rPr>
                <w:rFonts w:ascii="仿宋_GB2312" w:hAnsi="宋体" w:eastAsia="仿宋_GB2312" w:cs="宋体"/>
                <w:bCs/>
                <w:color w:val="000000"/>
                <w:sz w:val="18"/>
                <w:szCs w:val="18"/>
              </w:rPr>
            </w:pPr>
            <w:r>
              <w:rPr>
                <w:rFonts w:hint="eastAsia" w:ascii="仿宋_GB2312" w:eastAsia="仿宋_GB2312"/>
                <w:bCs/>
                <w:color w:val="000000"/>
                <w:sz w:val="18"/>
                <w:szCs w:val="18"/>
              </w:rPr>
              <w:t>气象及灾害预警信息</w:t>
            </w:r>
            <w:r>
              <w:rPr>
                <w:rFonts w:ascii="仿宋_GB2312" w:eastAsia="仿宋_GB2312"/>
                <w:bCs/>
                <w:color w:val="000000"/>
                <w:sz w:val="18"/>
                <w:szCs w:val="18"/>
              </w:rPr>
              <w:t xml:space="preserve">            </w:t>
            </w:r>
            <w:r>
              <w:rPr>
                <w:rFonts w:hint="eastAsia" w:ascii="仿宋_GB2312" w:eastAsia="仿宋_GB2312"/>
                <w:bCs/>
                <w:color w:val="000000"/>
                <w:sz w:val="18"/>
                <w:szCs w:val="18"/>
              </w:rPr>
              <w:t>不同时段、不同领域安全生产提示信息</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《政府信息公开条例》、《中共中央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信息形成后及时公开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18</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公共</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政务公开目录</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政务公开事项的索引、名称、内容概述、生成日期等</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《政府信息公开条例》、《中共中央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19</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政务公开标准</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政府信息公开指南等流程性信息</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20</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公共</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服务</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权力清单及责任清单</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同级政府审批通过的行政执法主体信息和行政许可、行政处罚、行政强制、行政检查、行政确认、行政奖励及其他行政职权等行政执法职权职责清单</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信息形成或者变更</w:t>
            </w:r>
            <w:r>
              <w:rPr>
                <w:rFonts w:ascii="仿宋_GB2312" w:eastAsia="仿宋_GB2312"/>
                <w:bCs/>
                <w:sz w:val="18"/>
                <w:szCs w:val="18"/>
              </w:rPr>
              <w:t>20</w:t>
            </w:r>
            <w:r>
              <w:rPr>
                <w:rFonts w:hint="eastAsia" w:ascii="仿宋_GB2312" w:eastAsia="仿宋_GB2312"/>
                <w:bCs/>
                <w:sz w:val="18"/>
                <w:szCs w:val="18"/>
              </w:rPr>
              <w:t>个工作日内，如有更新，及时公开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21</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主要业务办事指南</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主要业务工作的办事依据、程序、时限，办事时间、地点、部门、联系方式及相关办理结果</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信息形成或者变更之日起</w:t>
            </w:r>
            <w:r>
              <w:rPr>
                <w:rFonts w:ascii="仿宋_GB2312" w:eastAsia="仿宋_GB2312"/>
                <w:bCs/>
                <w:sz w:val="18"/>
                <w:szCs w:val="18"/>
              </w:rPr>
              <w:t>20</w:t>
            </w:r>
            <w:r>
              <w:rPr>
                <w:rFonts w:hint="eastAsia" w:ascii="仿宋_GB2312" w:eastAsia="仿宋_GB2312"/>
                <w:bCs/>
                <w:sz w:val="18"/>
                <w:szCs w:val="18"/>
              </w:rPr>
              <w:t>个工作日内</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22</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年度报告</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政府信息公开年度报告及相关统计报表</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《政府信息公开条例》</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每年</w:t>
            </w:r>
            <w:r>
              <w:rPr>
                <w:rFonts w:ascii="仿宋_GB2312" w:eastAsia="仿宋_GB2312"/>
                <w:bCs/>
                <w:color w:val="000000"/>
                <w:sz w:val="18"/>
                <w:szCs w:val="18"/>
              </w:rPr>
              <w:t>1</w:t>
            </w:r>
            <w:r>
              <w:rPr>
                <w:rFonts w:hint="eastAsia" w:ascii="仿宋_GB2312" w:eastAsia="仿宋_GB2312"/>
                <w:bCs/>
                <w:color w:val="000000"/>
                <w:sz w:val="18"/>
                <w:szCs w:val="18"/>
              </w:rPr>
              <w:t>月</w:t>
            </w:r>
            <w:r>
              <w:rPr>
                <w:rFonts w:ascii="仿宋_GB2312" w:eastAsia="仿宋_GB2312"/>
                <w:bCs/>
                <w:color w:val="000000"/>
                <w:sz w:val="18"/>
                <w:szCs w:val="18"/>
              </w:rPr>
              <w:t>31</w:t>
            </w:r>
            <w:r>
              <w:rPr>
                <w:rFonts w:hint="eastAsia" w:ascii="仿宋_GB2312" w:eastAsia="仿宋_GB2312"/>
                <w:bCs/>
                <w:color w:val="000000"/>
                <w:sz w:val="18"/>
                <w:szCs w:val="18"/>
              </w:rPr>
              <w:t>日前</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23</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财政资金信息</w:t>
            </w:r>
          </w:p>
        </w:tc>
        <w:tc>
          <w:tcPr>
            <w:tcW w:w="2851" w:type="dxa"/>
            <w:tcBorders>
              <w:top w:val="single" w:color="auto" w:sz="4" w:space="0"/>
              <w:left w:val="single" w:color="auto" w:sz="4" w:space="0"/>
              <w:right w:val="single" w:color="auto" w:sz="4" w:space="0"/>
            </w:tcBorders>
            <w:vAlign w:val="center"/>
          </w:tcPr>
          <w:p>
            <w:pPr>
              <w:rPr>
                <w:rFonts w:ascii="仿宋_GB2312" w:eastAsia="仿宋_GB2312"/>
                <w:bCs/>
                <w:sz w:val="18"/>
                <w:szCs w:val="18"/>
              </w:rPr>
            </w:pPr>
            <w:r>
              <w:rPr>
                <w:rFonts w:hint="eastAsia" w:ascii="仿宋_GB2312" w:eastAsia="仿宋_GB2312"/>
                <w:bCs/>
                <w:sz w:val="18"/>
                <w:szCs w:val="18"/>
              </w:rPr>
              <w:t>预算、决算</w:t>
            </w:r>
          </w:p>
          <w:p>
            <w:pPr>
              <w:rPr>
                <w:rFonts w:ascii="仿宋_GB2312" w:eastAsia="仿宋_GB2312"/>
                <w:bCs/>
                <w:sz w:val="18"/>
                <w:szCs w:val="18"/>
              </w:rPr>
            </w:pPr>
            <w:r>
              <w:rPr>
                <w:rFonts w:ascii="仿宋_GB2312" w:eastAsia="仿宋_GB2312"/>
                <w:bCs/>
                <w:sz w:val="18"/>
                <w:szCs w:val="18"/>
              </w:rPr>
              <w:t xml:space="preserve"> </w:t>
            </w:r>
            <w:r>
              <w:rPr>
                <w:rFonts w:hint="eastAsia" w:ascii="仿宋_GB2312" w:eastAsia="仿宋_GB2312"/>
                <w:bCs/>
                <w:sz w:val="18"/>
                <w:szCs w:val="18"/>
              </w:rPr>
              <w:t>“三公”经费</w:t>
            </w:r>
          </w:p>
          <w:p>
            <w:pPr>
              <w:rPr>
                <w:rFonts w:ascii="仿宋_GB2312" w:hAnsi="宋体" w:eastAsia="仿宋_GB2312" w:cs="宋体"/>
                <w:bCs/>
                <w:sz w:val="18"/>
                <w:szCs w:val="18"/>
              </w:rPr>
            </w:pPr>
            <w:r>
              <w:rPr>
                <w:rFonts w:hint="eastAsia" w:ascii="仿宋_GB2312" w:eastAsia="仿宋_GB2312"/>
                <w:bCs/>
                <w:sz w:val="18"/>
                <w:szCs w:val="18"/>
              </w:rPr>
              <w:t>安全生产专项资金使用等财政资金信息</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《政府信息公开条例》、《国务院关于深化预算管理制度改革的决定》、《国务院办公厅关于进一步推进预算公开工作意见的通知》</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按中央要求时限公开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24</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政府采购信息</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本单位采购实施情况相关信息</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《政府信息公开条例》、《国务院关于深化预算管理制度改革的决定》、中办、国办印发《关于进一步推进预算公开工作的意见》的通知</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25</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办事纪律和监督管理</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本单位的办事纪律</w:t>
            </w:r>
            <w:r>
              <w:rPr>
                <w:rFonts w:ascii="仿宋_GB2312" w:eastAsia="仿宋_GB2312"/>
                <w:bCs/>
                <w:sz w:val="18"/>
                <w:szCs w:val="18"/>
              </w:rPr>
              <w:t>,</w:t>
            </w:r>
            <w:r>
              <w:rPr>
                <w:rFonts w:hint="eastAsia" w:ascii="仿宋_GB2312" w:eastAsia="仿宋_GB2312"/>
                <w:bCs/>
                <w:sz w:val="18"/>
                <w:szCs w:val="18"/>
              </w:rPr>
              <w:t>受理投诉、举报、信访的途径等内容</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26</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重大工程项目信息</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项目名称、执行措施、责任分工、取得成效、后续举措等</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《政府信息公开条例》、《国务院办公厅关于推进重大建设项目批准和实施领域政府信息公开的意见》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按照中央有关要求公开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27</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检查和巡查发现安全监管监察问题</w:t>
            </w:r>
          </w:p>
        </w:tc>
        <w:tc>
          <w:tcPr>
            <w:tcW w:w="2851"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检查和巡查发现的、并要求向社会公开的问题及整改落实情况</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28</w:t>
            </w:r>
          </w:p>
        </w:tc>
        <w:tc>
          <w:tcPr>
            <w:tcW w:w="900" w:type="dxa"/>
            <w:vMerge w:val="continue"/>
            <w:tcBorders>
              <w:top w:val="single" w:color="auto" w:sz="4" w:space="0"/>
              <w:left w:val="single" w:color="auto" w:sz="4" w:space="0"/>
              <w:right w:val="single" w:color="auto" w:sz="4" w:space="0"/>
            </w:tcBorders>
            <w:vAlign w:val="center"/>
          </w:tcPr>
          <w:p/>
        </w:tc>
        <w:tc>
          <w:tcPr>
            <w:tcW w:w="108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建议提案办理</w:t>
            </w:r>
          </w:p>
        </w:tc>
        <w:tc>
          <w:tcPr>
            <w:tcW w:w="2851" w:type="dxa"/>
            <w:tcBorders>
              <w:top w:val="single" w:color="auto" w:sz="4" w:space="0"/>
              <w:left w:val="single" w:color="auto" w:sz="4" w:space="0"/>
              <w:right w:val="single" w:color="auto" w:sz="4" w:space="0"/>
            </w:tcBorders>
            <w:vAlign w:val="center"/>
          </w:tcPr>
          <w:p>
            <w:pPr>
              <w:rPr>
                <w:rFonts w:ascii="仿宋_GB2312" w:eastAsia="仿宋_GB2312"/>
                <w:bCs/>
                <w:color w:val="000000"/>
                <w:sz w:val="18"/>
                <w:szCs w:val="18"/>
              </w:rPr>
            </w:pPr>
            <w:r>
              <w:rPr>
                <w:rFonts w:hint="eastAsia" w:ascii="仿宋_GB2312" w:eastAsia="仿宋_GB2312"/>
                <w:bCs/>
                <w:color w:val="000000"/>
                <w:sz w:val="18"/>
                <w:szCs w:val="18"/>
              </w:rPr>
              <w:t>办理制度与推进情况</w:t>
            </w:r>
            <w:r>
              <w:rPr>
                <w:rFonts w:ascii="仿宋_GB2312" w:eastAsia="仿宋_GB2312"/>
                <w:bCs/>
                <w:color w:val="000000"/>
                <w:sz w:val="18"/>
                <w:szCs w:val="18"/>
              </w:rPr>
              <w:t xml:space="preserve">            </w:t>
            </w:r>
          </w:p>
          <w:p>
            <w:pPr>
              <w:rPr>
                <w:rFonts w:ascii="仿宋_GB2312" w:eastAsia="仿宋_GB2312"/>
                <w:bCs/>
                <w:color w:val="000000"/>
                <w:sz w:val="18"/>
                <w:szCs w:val="18"/>
              </w:rPr>
            </w:pPr>
            <w:r>
              <w:rPr>
                <w:rFonts w:hint="eastAsia" w:ascii="仿宋_GB2312" w:eastAsia="仿宋_GB2312"/>
                <w:bCs/>
                <w:color w:val="000000"/>
                <w:sz w:val="18"/>
                <w:szCs w:val="18"/>
              </w:rPr>
              <w:t>人大代表建议办理</w:t>
            </w:r>
            <w:r>
              <w:rPr>
                <w:rFonts w:ascii="仿宋_GB2312" w:eastAsia="仿宋_GB2312"/>
                <w:bCs/>
                <w:color w:val="000000"/>
                <w:sz w:val="18"/>
                <w:szCs w:val="18"/>
              </w:rPr>
              <w:t xml:space="preserve">              </w:t>
            </w:r>
          </w:p>
          <w:p>
            <w:pPr>
              <w:rPr>
                <w:rFonts w:ascii="仿宋_GB2312" w:hAnsi="宋体" w:eastAsia="仿宋_GB2312" w:cs="宋体"/>
                <w:bCs/>
                <w:color w:val="000000"/>
                <w:sz w:val="18"/>
                <w:szCs w:val="18"/>
              </w:rPr>
            </w:pPr>
            <w:r>
              <w:rPr>
                <w:rFonts w:hint="eastAsia" w:ascii="仿宋_GB2312" w:eastAsia="仿宋_GB2312"/>
                <w:bCs/>
                <w:color w:val="000000"/>
                <w:sz w:val="18"/>
                <w:szCs w:val="18"/>
              </w:rPr>
              <w:t>政协委员提案办理</w:t>
            </w:r>
          </w:p>
        </w:tc>
        <w:tc>
          <w:tcPr>
            <w:tcW w:w="246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《政府信息公开条例》、《国务院办公厅关于做好全国人大代表建议和全国政协委员提案办理结果公开工作的通知》</w:t>
            </w:r>
          </w:p>
        </w:tc>
        <w:tc>
          <w:tcPr>
            <w:tcW w:w="1529"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按照中央有关要求公开</w:t>
            </w:r>
          </w:p>
        </w:tc>
        <w:tc>
          <w:tcPr>
            <w:tcW w:w="1148"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hAnsi="宋体" w:eastAsia="仿宋_GB2312" w:cs="宋体"/>
                <w:bCs/>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bl>
    <w:p/>
    <w:p>
      <w:pPr>
        <w:jc w:val="center"/>
      </w:pPr>
      <w:r>
        <w:rPr>
          <w:rFonts w:hint="eastAsia" w:ascii="宋体" w:hAnsi="宋体" w:cs="宋体"/>
          <w:kern w:val="44"/>
          <w:sz w:val="30"/>
          <w:szCs w:val="44"/>
        </w:rPr>
        <w:t>（二十</w:t>
      </w:r>
      <w:r>
        <w:rPr>
          <w:rFonts w:hint="eastAsia" w:ascii="宋体" w:hAnsi="宋体" w:cs="宋体"/>
          <w:kern w:val="44"/>
          <w:sz w:val="30"/>
          <w:szCs w:val="44"/>
          <w:lang w:eastAsia="zh-CN"/>
        </w:rPr>
        <w:t>三</w:t>
      </w:r>
      <w:r>
        <w:rPr>
          <w:rFonts w:hint="eastAsia" w:ascii="宋体" w:hAnsi="宋体" w:cs="宋体"/>
          <w:kern w:val="44"/>
          <w:sz w:val="30"/>
          <w:szCs w:val="44"/>
        </w:rPr>
        <w:t>）救灾生产领域基层政务公开标准目录</w:t>
      </w:r>
    </w:p>
    <w:tbl>
      <w:tblPr>
        <w:tblStyle w:val="9"/>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59"/>
        <w:gridCol w:w="3015"/>
        <w:gridCol w:w="2190"/>
        <w:gridCol w:w="1744"/>
        <w:gridCol w:w="1293"/>
        <w:gridCol w:w="1295"/>
        <w:gridCol w:w="54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85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1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19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74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9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95"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tcBorders>
              <w:top w:val="single" w:color="auto" w:sz="4" w:space="0"/>
              <w:left w:val="single" w:color="auto" w:sz="4" w:space="0"/>
              <w:right w:val="single" w:color="auto" w:sz="4" w:space="0"/>
            </w:tcBorders>
            <w:vAlign w:val="center"/>
          </w:tcPr>
          <w:p/>
        </w:tc>
        <w:tc>
          <w:tcPr>
            <w:tcW w:w="90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5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15" w:type="dxa"/>
            <w:vMerge w:val="continue"/>
            <w:tcBorders>
              <w:top w:val="single" w:color="auto" w:sz="4" w:space="0"/>
              <w:left w:val="single" w:color="auto" w:sz="4" w:space="0"/>
              <w:right w:val="single" w:color="auto" w:sz="4" w:space="0"/>
            </w:tcBorders>
            <w:vAlign w:val="center"/>
          </w:tcPr>
          <w:p/>
        </w:tc>
        <w:tc>
          <w:tcPr>
            <w:tcW w:w="2190" w:type="dxa"/>
            <w:vMerge w:val="continue"/>
            <w:tcBorders>
              <w:top w:val="single" w:color="auto" w:sz="4" w:space="0"/>
              <w:left w:val="single" w:color="auto" w:sz="4" w:space="0"/>
              <w:right w:val="single" w:color="auto" w:sz="4" w:space="0"/>
            </w:tcBorders>
            <w:vAlign w:val="center"/>
          </w:tcPr>
          <w:p/>
        </w:tc>
        <w:tc>
          <w:tcPr>
            <w:tcW w:w="1744" w:type="dxa"/>
            <w:vMerge w:val="continue"/>
            <w:tcBorders>
              <w:top w:val="single" w:color="auto" w:sz="4" w:space="0"/>
              <w:left w:val="single" w:color="auto" w:sz="4" w:space="0"/>
              <w:right w:val="single" w:color="auto" w:sz="4" w:space="0"/>
            </w:tcBorders>
            <w:vAlign w:val="center"/>
          </w:tcPr>
          <w:p/>
        </w:tc>
        <w:tc>
          <w:tcPr>
            <w:tcW w:w="1293" w:type="dxa"/>
            <w:vMerge w:val="continue"/>
            <w:tcBorders>
              <w:top w:val="single" w:color="auto" w:sz="4" w:space="0"/>
              <w:left w:val="single" w:color="auto" w:sz="4" w:space="0"/>
              <w:right w:val="single" w:color="auto" w:sz="4" w:space="0"/>
            </w:tcBorders>
            <w:vAlign w:val="center"/>
          </w:tcPr>
          <w:p/>
        </w:tc>
        <w:tc>
          <w:tcPr>
            <w:tcW w:w="1295" w:type="dxa"/>
            <w:vMerge w:val="continue"/>
            <w:tcBorders>
              <w:top w:val="single" w:color="auto" w:sz="4" w:space="0"/>
              <w:left w:val="single" w:color="auto" w:sz="4" w:space="0"/>
              <w:right w:val="single" w:color="auto" w:sz="4" w:space="0"/>
            </w:tcBorders>
            <w:vAlign w:val="center"/>
          </w:tcP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法律法规</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与救灾有关的法律、法规</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部门和地方规章</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与救灾有关的部门和地方规章、规范性文件</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其他政策文件</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其他可以公开的与救灾有关的政策文件，包括改革方案、发展规划、专项规划、工作计划等</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标准</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救灾领域有关的国家标准、行业标准、地方标准等</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5</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重大决策草案</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涉及管理相对人切身利益、需社会广泛知晓的重要改革方案等重大决策，决策前向社会公开决策草案、决策依据</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《政府信息公开条例》、《关于全面推进政务公开工作的意见》</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按进展情况及时公开</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6</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重大政策解读及回应</w:t>
            </w:r>
          </w:p>
        </w:tc>
        <w:tc>
          <w:tcPr>
            <w:tcW w:w="3015" w:type="dxa"/>
            <w:tcBorders>
              <w:top w:val="single" w:color="auto" w:sz="4" w:space="0"/>
              <w:left w:val="single" w:color="auto" w:sz="4" w:space="0"/>
              <w:right w:val="single" w:color="auto" w:sz="4" w:space="0"/>
            </w:tcBorders>
            <w:vAlign w:val="center"/>
          </w:tcPr>
          <w:p>
            <w:pPr>
              <w:rPr>
                <w:rFonts w:ascii="仿宋_GB2312" w:eastAsia="仿宋_GB2312"/>
                <w:color w:val="000000"/>
                <w:sz w:val="18"/>
                <w:szCs w:val="18"/>
              </w:rPr>
            </w:pPr>
            <w:r>
              <w:rPr>
                <w:rFonts w:hint="eastAsia" w:ascii="仿宋_GB2312" w:eastAsia="仿宋_GB2312"/>
                <w:color w:val="000000"/>
                <w:sz w:val="18"/>
                <w:szCs w:val="18"/>
              </w:rPr>
              <w:t>有关重大政策的解读及回应</w:t>
            </w:r>
            <w:r>
              <w:rPr>
                <w:rFonts w:ascii="仿宋_GB2312" w:eastAsia="仿宋_GB2312"/>
                <w:color w:val="000000"/>
                <w:sz w:val="18"/>
                <w:szCs w:val="18"/>
              </w:rPr>
              <w:t xml:space="preserve">                       </w:t>
            </w:r>
          </w:p>
          <w:p>
            <w:pPr>
              <w:rPr>
                <w:rFonts w:ascii="仿宋_GB2312" w:hAnsi="宋体" w:eastAsia="仿宋_GB2312" w:cs="宋体"/>
                <w:color w:val="000000"/>
                <w:sz w:val="18"/>
                <w:szCs w:val="18"/>
              </w:rPr>
            </w:pPr>
            <w:r>
              <w:rPr>
                <w:rFonts w:hint="eastAsia" w:ascii="仿宋_GB2312" w:eastAsia="仿宋_GB2312"/>
                <w:color w:val="000000"/>
                <w:sz w:val="18"/>
                <w:szCs w:val="18"/>
              </w:rPr>
              <w:t>相关热点问题的解读及回应</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《政府信息公开条例》、《国务院办公厅关于在政务公开工作中进一步做好政务舆情回应的通知》</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重大决策作出后及时公开</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7</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重要会议</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以会议讨论作出重要改革方案等重大决策时，经党组研究认为有必要公开讨论决策过程的会议</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《政府信息公开条例》、《关于全面推进政务公开工作的意见》</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提前一周发通知邀请</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8</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征集采纳社会公众意见情况</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重大决策草案公布后征集到的社会公众意见情况、采纳与否情况及理由等</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《政府信息公开条例》、《关于全面推进政务公开工作的意见》</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征求意见时对外公布的时限内公开</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hAnsi="宋体" w:eastAsia="仿宋_GB2312" w:cs="宋体"/>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9</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备灾</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综合减灾示范社区</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综合减灾示范社区分布情况（其具体位置、创建时间、创建级别等）</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《政府信息公开条例》、《社会救助暂行办法》、《国家综合防灾减灾规划（</w:t>
            </w:r>
            <w:r>
              <w:rPr>
                <w:rFonts w:ascii="仿宋_GB2312" w:eastAsia="仿宋_GB2312"/>
                <w:sz w:val="18"/>
                <w:szCs w:val="18"/>
              </w:rPr>
              <w:t>2016-2020</w:t>
            </w:r>
            <w:r>
              <w:rPr>
                <w:rFonts w:hint="eastAsia" w:ascii="仿宋_GB2312" w:eastAsia="仿宋_GB2312"/>
                <w:sz w:val="18"/>
                <w:szCs w:val="18"/>
              </w:rPr>
              <w:t>年）》</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10</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灾害信息员队伍</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县乡两级灾害信息员工作职责和办公电话</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同上</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11</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预警信息</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气象、地震等单位发布的预警信息</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12</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灾情核定信息</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本行政区域内因自然灾害造成的损失情况（受灾时间、灾害种类、受灾范围、灾害造成的损失等）</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13</w:t>
            </w:r>
          </w:p>
        </w:tc>
        <w:tc>
          <w:tcPr>
            <w:tcW w:w="90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救助审定信息</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自然灾害救助（</w:t>
            </w:r>
            <w:r>
              <w:rPr>
                <w:rFonts w:ascii="仿宋_GB2312" w:eastAsia="仿宋_GB2312"/>
                <w:color w:val="000000"/>
                <w:sz w:val="18"/>
                <w:szCs w:val="18"/>
              </w:rPr>
              <w:t>6</w:t>
            </w:r>
            <w:r>
              <w:rPr>
                <w:rFonts w:hint="eastAsia" w:ascii="仿宋_GB2312" w:eastAsia="仿宋_GB2312"/>
                <w:color w:val="000000"/>
                <w:sz w:val="18"/>
                <w:szCs w:val="18"/>
              </w:rPr>
              <w:t>类）的救助对象、申报材料、办理程序及时限等</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14</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灾害</w:t>
            </w:r>
          </w:p>
          <w:p>
            <w:pPr>
              <w:jc w:val="center"/>
              <w:rPr>
                <w:rFonts w:ascii="仿宋_GB2312" w:hAnsi="宋体" w:eastAsia="仿宋_GB2312" w:cs="宋体"/>
                <w:sz w:val="18"/>
                <w:szCs w:val="18"/>
              </w:rPr>
            </w:pPr>
            <w:r>
              <w:rPr>
                <w:rFonts w:hint="eastAsia" w:ascii="仿宋_GB2312" w:eastAsia="仿宋_GB2312"/>
                <w:sz w:val="18"/>
                <w:szCs w:val="18"/>
              </w:rPr>
              <w:t>救助</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lang w:eastAsia="zh-CN"/>
              </w:rPr>
              <w:t>区应急管理局</w:t>
            </w:r>
            <w:r>
              <w:rPr>
                <w:rFonts w:hint="eastAsia" w:ascii="仿宋_GB2312" w:eastAsia="仿宋_GB2312"/>
                <w:sz w:val="18"/>
                <w:szCs w:val="18"/>
              </w:rPr>
              <w:t>审批</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救助款物通知及划拨情况</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15</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因灾过渡期生活救助</w:t>
            </w:r>
          </w:p>
        </w:tc>
        <w:tc>
          <w:tcPr>
            <w:tcW w:w="3015" w:type="dxa"/>
            <w:tcBorders>
              <w:top w:val="single" w:color="auto" w:sz="4" w:space="0"/>
              <w:left w:val="single" w:color="auto" w:sz="4" w:space="0"/>
              <w:right w:val="single" w:color="auto" w:sz="4" w:space="0"/>
            </w:tcBorders>
            <w:vAlign w:val="center"/>
          </w:tcPr>
          <w:p>
            <w:pPr>
              <w:jc w:val="left"/>
              <w:rPr>
                <w:rFonts w:ascii="仿宋_GB2312" w:hAnsi="宋体" w:eastAsia="仿宋_GB2312" w:cs="宋体"/>
                <w:sz w:val="18"/>
                <w:szCs w:val="18"/>
              </w:rPr>
            </w:pPr>
            <w:r>
              <w:rPr>
                <w:rFonts w:hint="eastAsia" w:ascii="仿宋_GB2312" w:eastAsia="仿宋_GB2312"/>
                <w:sz w:val="18"/>
                <w:szCs w:val="18"/>
              </w:rPr>
              <w:t>因灾过渡期生活救助标准、过渡期生活救助对象评议结果公示（灾民姓名、受灾情况、拟救助金额、监督举报电话）</w:t>
            </w:r>
            <w:r>
              <w:rPr>
                <w:rFonts w:ascii="仿宋_GB2312" w:eastAsia="仿宋_GB2312"/>
                <w:sz w:val="18"/>
                <w:szCs w:val="18"/>
              </w:rPr>
              <w:t xml:space="preserve"> </w:t>
            </w:r>
            <w:r>
              <w:rPr>
                <w:rFonts w:hint="eastAsia" w:ascii="仿宋_GB2312" w:eastAsia="仿宋_GB2312"/>
                <w:sz w:val="18"/>
                <w:szCs w:val="18"/>
              </w:rPr>
              <w:t>过渡期生活救助对象确定（灾民姓名、受灾情况、救助金额、监督举报电话</w:t>
            </w:r>
            <w:r>
              <w:rPr>
                <w:rFonts w:ascii="仿宋_GB2312" w:eastAsia="仿宋_GB2312"/>
                <w:sz w:val="18"/>
                <w:szCs w:val="18"/>
              </w:rPr>
              <w:t>)</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16</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灾后</w:t>
            </w:r>
          </w:p>
          <w:p>
            <w:pPr>
              <w:jc w:val="center"/>
              <w:rPr>
                <w:rFonts w:ascii="仿宋_GB2312" w:hAnsi="宋体" w:eastAsia="仿宋_GB2312" w:cs="宋体"/>
                <w:color w:val="000000"/>
                <w:sz w:val="18"/>
                <w:szCs w:val="18"/>
              </w:rPr>
            </w:pPr>
            <w:r>
              <w:rPr>
                <w:rFonts w:hint="eastAsia" w:ascii="仿宋_GB2312" w:eastAsia="仿宋_GB2312"/>
                <w:sz w:val="18"/>
                <w:szCs w:val="18"/>
              </w:rPr>
              <w:t>救助</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居民住房恢复重建救助</w:t>
            </w:r>
          </w:p>
        </w:tc>
        <w:tc>
          <w:tcPr>
            <w:tcW w:w="3015" w:type="dxa"/>
            <w:tcBorders>
              <w:top w:val="single" w:color="auto" w:sz="4" w:space="0"/>
              <w:left w:val="single" w:color="auto" w:sz="4" w:space="0"/>
              <w:right w:val="single" w:color="auto" w:sz="4" w:space="0"/>
            </w:tcBorders>
            <w:vAlign w:val="center"/>
          </w:tcPr>
          <w:p>
            <w:pPr>
              <w:rPr>
                <w:rFonts w:ascii="仿宋_GB2312" w:eastAsia="仿宋_GB2312"/>
                <w:sz w:val="18"/>
                <w:szCs w:val="18"/>
              </w:rPr>
            </w:pPr>
            <w:r>
              <w:rPr>
                <w:rFonts w:hint="eastAsia" w:ascii="仿宋_GB2312" w:eastAsia="仿宋_GB2312"/>
                <w:sz w:val="18"/>
                <w:szCs w:val="18"/>
              </w:rPr>
              <w:t>居民住房恢复重建救助标准（居民因灾倒房、损房恢复重建具体救助标准）</w:t>
            </w:r>
            <w:r>
              <w:rPr>
                <w:rFonts w:ascii="仿宋_GB2312" w:eastAsia="仿宋_GB2312"/>
                <w:sz w:val="18"/>
                <w:szCs w:val="18"/>
              </w:rPr>
              <w:t xml:space="preserve">                            </w:t>
            </w:r>
          </w:p>
          <w:p>
            <w:pPr>
              <w:rPr>
                <w:rFonts w:ascii="仿宋_GB2312" w:hAnsi="宋体" w:eastAsia="仿宋_GB2312" w:cs="宋体"/>
                <w:sz w:val="18"/>
                <w:szCs w:val="18"/>
              </w:rPr>
            </w:pPr>
            <w:r>
              <w:rPr>
                <w:rFonts w:hint="eastAsia" w:ascii="仿宋_GB2312" w:eastAsia="仿宋_GB2312"/>
                <w:sz w:val="18"/>
                <w:szCs w:val="18"/>
              </w:rPr>
              <w:t>居民住房恢复重建救助对象评议结果公示（公开灾民姓名、受灾情况、拟救助标准、监督举报电话）</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17</w:t>
            </w:r>
          </w:p>
        </w:tc>
        <w:tc>
          <w:tcPr>
            <w:tcW w:w="900" w:type="dxa"/>
            <w:vMerge w:val="restart"/>
            <w:tcBorders>
              <w:top w:val="single" w:color="auto" w:sz="4" w:space="0"/>
              <w:left w:val="single" w:color="auto" w:sz="4" w:space="0"/>
              <w:right w:val="single" w:color="auto" w:sz="4" w:space="0"/>
            </w:tcBorders>
            <w:vAlign w:val="center"/>
          </w:tcPr>
          <w:p>
            <w:pPr>
              <w:jc w:val="center"/>
              <w:rPr>
                <w:rFonts w:ascii="仿宋_GB2312" w:eastAsia="仿宋_GB2312"/>
                <w:sz w:val="18"/>
                <w:szCs w:val="18"/>
              </w:rPr>
            </w:pPr>
            <w:r>
              <w:rPr>
                <w:rFonts w:hint="eastAsia" w:ascii="仿宋_GB2312" w:eastAsia="仿宋_GB2312"/>
                <w:sz w:val="18"/>
                <w:szCs w:val="18"/>
              </w:rPr>
              <w:t>款物</w:t>
            </w:r>
          </w:p>
          <w:p>
            <w:pPr>
              <w:jc w:val="center"/>
              <w:rPr>
                <w:rFonts w:ascii="仿宋_GB2312" w:hAnsi="宋体" w:eastAsia="仿宋_GB2312" w:cs="宋体"/>
                <w:sz w:val="18"/>
                <w:szCs w:val="18"/>
              </w:rPr>
            </w:pPr>
            <w:r>
              <w:rPr>
                <w:rFonts w:hint="eastAsia" w:ascii="仿宋_GB2312" w:eastAsia="仿宋_GB2312"/>
                <w:sz w:val="18"/>
                <w:szCs w:val="18"/>
              </w:rPr>
              <w:t>管理</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捐赠款物信息</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年度捐赠款物信息以及款物使用情况</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按进展情况及时公开</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18</w:t>
            </w:r>
          </w:p>
        </w:tc>
        <w:tc>
          <w:tcPr>
            <w:tcW w:w="900" w:type="dxa"/>
            <w:vMerge w:val="continue"/>
            <w:tcBorders>
              <w:top w:val="single" w:color="auto" w:sz="4" w:space="0"/>
              <w:left w:val="single" w:color="auto" w:sz="4" w:space="0"/>
              <w:right w:val="single" w:color="auto" w:sz="4" w:space="0"/>
            </w:tcBorders>
            <w:vAlign w:val="center"/>
          </w:tcP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年度款物使用情况</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年度救灾资金和救灾物资等使用情况</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按进展情况及时公开</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19</w:t>
            </w:r>
          </w:p>
        </w:tc>
        <w:tc>
          <w:tcPr>
            <w:tcW w:w="900" w:type="dxa"/>
            <w:tcBorders>
              <w:top w:val="single" w:color="auto" w:sz="4" w:space="0"/>
              <w:left w:val="single" w:color="auto" w:sz="4" w:space="0"/>
              <w:right w:val="single" w:color="auto" w:sz="4" w:space="0"/>
            </w:tcBorders>
            <w:vAlign w:val="center"/>
          </w:tcPr>
          <w:p>
            <w:pPr>
              <w:jc w:val="center"/>
              <w:rPr>
                <w:rFonts w:ascii="仿宋_GB2312" w:eastAsia="仿宋_GB2312"/>
                <w:color w:val="000000"/>
                <w:sz w:val="18"/>
                <w:szCs w:val="18"/>
              </w:rPr>
            </w:pPr>
            <w:r>
              <w:rPr>
                <w:rFonts w:hint="eastAsia" w:ascii="仿宋_GB2312" w:eastAsia="仿宋_GB2312"/>
                <w:color w:val="000000"/>
                <w:sz w:val="18"/>
                <w:szCs w:val="18"/>
              </w:rPr>
              <w:t>工作</w:t>
            </w:r>
          </w:p>
          <w:p>
            <w:pPr>
              <w:jc w:val="center"/>
              <w:rPr>
                <w:rFonts w:ascii="仿宋_GB2312" w:hAnsi="宋体" w:eastAsia="仿宋_GB2312" w:cs="宋体"/>
                <w:color w:val="000000"/>
                <w:sz w:val="18"/>
                <w:szCs w:val="18"/>
              </w:rPr>
            </w:pPr>
            <w:r>
              <w:rPr>
                <w:rFonts w:hint="eastAsia" w:ascii="仿宋_GB2312" w:eastAsia="仿宋_GB2312"/>
                <w:color w:val="000000"/>
                <w:sz w:val="18"/>
                <w:szCs w:val="18"/>
              </w:rPr>
              <w:t>动态</w:t>
            </w:r>
          </w:p>
        </w:tc>
        <w:tc>
          <w:tcPr>
            <w:tcW w:w="959"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工作信息</w:t>
            </w:r>
          </w:p>
        </w:tc>
        <w:tc>
          <w:tcPr>
            <w:tcW w:w="3015"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防灾减灾救灾其他相关动态信息</w:t>
            </w:r>
          </w:p>
        </w:tc>
        <w:tc>
          <w:tcPr>
            <w:tcW w:w="219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《政府信息公开条例》</w:t>
            </w:r>
          </w:p>
        </w:tc>
        <w:tc>
          <w:tcPr>
            <w:tcW w:w="1744"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按进展情况及时公开</w:t>
            </w:r>
          </w:p>
        </w:tc>
        <w:tc>
          <w:tcPr>
            <w:tcW w:w="1293" w:type="dxa"/>
            <w:tcBorders>
              <w:top w:val="single" w:color="auto" w:sz="4" w:space="0"/>
              <w:left w:val="single" w:color="auto" w:sz="4" w:space="0"/>
              <w:right w:val="single" w:color="auto" w:sz="4" w:space="0"/>
            </w:tcBorders>
            <w:vAlign w:val="center"/>
          </w:tcPr>
          <w:p>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pPr>
              <w:rPr>
                <w:rFonts w:ascii="仿宋_GB2312" w:hAnsi="宋体" w:eastAsia="仿宋_GB2312" w:cs="宋体"/>
                <w:sz w:val="18"/>
                <w:szCs w:val="18"/>
              </w:rPr>
            </w:pPr>
            <w:r>
              <w:rPr>
                <w:rFonts w:hint="eastAsia" w:ascii="仿宋_GB2312" w:eastAsia="仿宋_GB2312"/>
                <w:sz w:val="18"/>
                <w:szCs w:val="18"/>
              </w:rPr>
              <w:t>　</w:t>
            </w:r>
          </w:p>
        </w:tc>
      </w:tr>
    </w:tbl>
    <w:p>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四</w:t>
      </w:r>
      <w:r>
        <w:rPr>
          <w:rFonts w:hint="eastAsia" w:ascii="宋体" w:hAnsi="宋体" w:cs="宋体"/>
          <w:kern w:val="44"/>
          <w:sz w:val="30"/>
          <w:szCs w:val="44"/>
        </w:rPr>
        <w:t>）食品药品监管领域基层政务公开标准目录</w:t>
      </w:r>
    </w:p>
    <w:tbl>
      <w:tblPr>
        <w:tblStyle w:val="9"/>
        <w:tblW w:w="140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blHeader/>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5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bottom w:val="single" w:color="auto" w:sz="4" w:space="0"/>
              <w:right w:val="single" w:color="auto" w:sz="4" w:space="0"/>
            </w:tcBorders>
            <w:vAlign w:val="center"/>
          </w:tcPr>
          <w:p/>
        </w:tc>
        <w:tc>
          <w:tcPr>
            <w:tcW w:w="1980" w:type="dxa"/>
            <w:vMerge w:val="continue"/>
            <w:tcBorders>
              <w:top w:val="single" w:color="auto" w:sz="4" w:space="0"/>
              <w:left w:val="single" w:color="auto" w:sz="4" w:space="0"/>
              <w:bottom w:val="single" w:color="auto" w:sz="4" w:space="0"/>
              <w:right w:val="single" w:color="auto" w:sz="4" w:space="0"/>
            </w:tcBorders>
            <w:vAlign w:val="center"/>
          </w:tcPr>
          <w:p/>
        </w:tc>
        <w:tc>
          <w:tcPr>
            <w:tcW w:w="1260" w:type="dxa"/>
            <w:vMerge w:val="continue"/>
            <w:tcBorders>
              <w:top w:val="single" w:color="auto" w:sz="4" w:space="0"/>
              <w:left w:val="single" w:color="auto" w:sz="4" w:space="0"/>
              <w:bottom w:val="single" w:color="auto" w:sz="4" w:space="0"/>
              <w:right w:val="single" w:color="auto" w:sz="4" w:space="0"/>
            </w:tcBorders>
            <w:vAlign w:val="center"/>
          </w:tcPr>
          <w:p/>
        </w:tc>
        <w:tc>
          <w:tcPr>
            <w:tcW w:w="1440" w:type="dxa"/>
            <w:vMerge w:val="continue"/>
            <w:tcBorders>
              <w:top w:val="single" w:color="auto" w:sz="4" w:space="0"/>
              <w:left w:val="single" w:color="auto" w:sz="4" w:space="0"/>
              <w:bottom w:val="single" w:color="auto" w:sz="4" w:space="0"/>
              <w:right w:val="single" w:color="auto" w:sz="4" w:space="0"/>
            </w:tcBorders>
            <w:vAlign w:val="center"/>
          </w:tcPr>
          <w:p/>
        </w:tc>
        <w:tc>
          <w:tcPr>
            <w:tcW w:w="2520" w:type="dxa"/>
            <w:vMerge w:val="continue"/>
            <w:tcBorders>
              <w:top w:val="single" w:color="auto" w:sz="4" w:space="0"/>
              <w:left w:val="single" w:color="auto" w:sz="4" w:space="0"/>
              <w:bottom w:val="single" w:color="auto" w:sz="4" w:space="0"/>
              <w:right w:val="single" w:color="auto" w:sz="4" w:space="0"/>
            </w:tcBorders>
            <w:vAlign w:val="center"/>
          </w:tcP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nil"/>
              <w:left w:val="nil"/>
              <w:bottom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eastAsia="仿宋_GB2312"/>
                <w:sz w:val="18"/>
                <w:szCs w:val="18"/>
              </w:rPr>
            </w:pPr>
            <w:r>
              <w:rPr>
                <w:rFonts w:ascii="仿宋_GB2312" w:eastAsia="仿宋_GB2312"/>
                <w:sz w:val="18"/>
                <w:szCs w:val="18"/>
              </w:rPr>
              <w:t>1</w:t>
            </w:r>
          </w:p>
        </w:tc>
        <w:tc>
          <w:tcPr>
            <w:tcW w:w="720" w:type="dxa"/>
            <w:vMerge w:val="restart"/>
            <w:tcBorders>
              <w:top w:val="single" w:color="auto" w:sz="4" w:space="0"/>
              <w:left w:val="nil"/>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w:t>
            </w:r>
          </w:p>
          <w:p>
            <w:pPr>
              <w:spacing w:line="300" w:lineRule="exact"/>
              <w:rPr>
                <w:rFonts w:ascii="仿宋_GB2312" w:hAnsi="宋体" w:eastAsia="仿宋_GB2312"/>
                <w:sz w:val="18"/>
                <w:szCs w:val="18"/>
              </w:rPr>
            </w:pPr>
            <w:r>
              <w:rPr>
                <w:rFonts w:hint="eastAsia" w:ascii="仿宋_GB2312" w:hAnsi="宋体" w:eastAsia="仿宋_GB2312"/>
                <w:sz w:val="18"/>
                <w:szCs w:val="18"/>
              </w:rPr>
              <w:t>审批</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食品生产经营许可服务指南</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《中华人民共和国食品安全法》</w:t>
            </w:r>
            <w:r>
              <w:rPr>
                <w:rFonts w:hint="eastAsia" w:ascii="仿宋_GB2312" w:hAnsi="宋体" w:eastAsia="仿宋_GB2312"/>
                <w:sz w:val="18"/>
                <w:szCs w:val="18"/>
              </w:rPr>
              <w:t>《政府信息公开条例》《关于全面推进政务公开工作的意见》《食品药品安全监管信息公开管理办法》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p>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■河北政务服务网</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eastAsia="仿宋_GB2312"/>
                <w:sz w:val="18"/>
                <w:szCs w:val="18"/>
              </w:rPr>
            </w:pPr>
            <w:r>
              <w:rPr>
                <w:rFonts w:ascii="仿宋_GB2312" w:eastAsia="仿宋_GB2312"/>
                <w:sz w:val="18"/>
                <w:szCs w:val="18"/>
              </w:rPr>
              <w:t>2</w:t>
            </w:r>
          </w:p>
        </w:tc>
        <w:tc>
          <w:tcPr>
            <w:tcW w:w="720" w:type="dxa"/>
            <w:vMerge w:val="continue"/>
            <w:tcBorders>
              <w:left w:val="nil"/>
              <w:bottom w:val="single" w:color="auto" w:sz="4" w:space="0"/>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食品生产经营许可基本信息</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color w:val="FF0000"/>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p>
          <w:p>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■河北政务服务网</w:t>
            </w:r>
            <w:r>
              <w:rPr>
                <w:rFonts w:ascii="仿宋_GB2312" w:hAnsi="宋体" w:eastAsia="仿宋_GB2312"/>
                <w:kern w:val="0"/>
                <w:sz w:val="18"/>
                <w:szCs w:val="18"/>
                <w:shd w:val="clear" w:color="auto" w:fill="FFFFFF"/>
              </w:rPr>
              <w:t xml:space="preserve">  </w:t>
            </w:r>
          </w:p>
          <w:p>
            <w:pPr>
              <w:widowControl/>
              <w:spacing w:line="300" w:lineRule="exact"/>
              <w:rPr>
                <w:rFonts w:ascii="仿宋_GB2312" w:hAnsi="宋体" w:eastAsia="仿宋_GB2312"/>
                <w:kern w:val="0"/>
                <w:sz w:val="18"/>
                <w:szCs w:val="18"/>
                <w:shd w:val="clear" w:color="auto" w:fill="FFFFFF"/>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sz w:val="15"/>
                <w:szCs w:val="15"/>
              </w:rPr>
            </w:pPr>
            <w:r>
              <w:rPr>
                <w:rFonts w:ascii="宋体" w:hAnsi="宋体"/>
                <w:sz w:val="15"/>
                <w:szCs w:val="15"/>
              </w:rPr>
              <w:t>3</w:t>
            </w:r>
          </w:p>
        </w:tc>
        <w:tc>
          <w:tcPr>
            <w:tcW w:w="720"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行政</w:t>
            </w:r>
          </w:p>
          <w:p>
            <w:pPr>
              <w:spacing w:line="300" w:lineRule="exact"/>
              <w:jc w:val="center"/>
              <w:rPr>
                <w:rFonts w:ascii="仿宋_GB2312" w:hAnsi="宋体" w:eastAsia="仿宋_GB2312"/>
                <w:sz w:val="18"/>
                <w:szCs w:val="18"/>
              </w:rPr>
            </w:pPr>
            <w:r>
              <w:rPr>
                <w:rFonts w:hint="eastAsia" w:ascii="仿宋_GB2312" w:hAnsi="宋体" w:eastAsia="仿宋_GB2312"/>
                <w:sz w:val="18"/>
                <w:szCs w:val="18"/>
              </w:rPr>
              <w:t>审批</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药品零售许可服务指南</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tcPr>
          <w:p>
            <w:r>
              <w:rPr>
                <w:rFonts w:hint="eastAsia" w:ascii="仿宋_GB2312" w:hAnsi="宋体" w:eastAsia="仿宋_GB2312"/>
                <w:sz w:val="18"/>
                <w:szCs w:val="18"/>
              </w:rPr>
              <w:t>《药品管理法》《政府信息公开条例》《关于全面推进政务公开工作的意见》《食品药品安全监管信息公开管理办法》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widowControl/>
              <w:spacing w:line="300" w:lineRule="exact"/>
              <w:rPr>
                <w:rFonts w:ascii="仿宋_GB2312" w:hAnsi="宋体" w:eastAsia="仿宋_GB2312"/>
                <w:sz w:val="18"/>
                <w:szCs w:val="18"/>
              </w:rPr>
            </w:pPr>
            <w:r>
              <w:rPr>
                <w:rFonts w:hint="eastAsia" w:ascii="仿宋_GB2312" w:hAnsi="宋体" w:eastAsia="仿宋_GB2312"/>
                <w:sz w:val="18"/>
                <w:szCs w:val="18"/>
              </w:rPr>
              <w:t>■河北政务服务网</w:t>
            </w:r>
          </w:p>
          <w:p>
            <w:pPr>
              <w:widowControl/>
              <w:spacing w:line="300" w:lineRule="exact"/>
              <w:jc w:val="center"/>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4</w:t>
            </w:r>
          </w:p>
        </w:tc>
        <w:tc>
          <w:tcPr>
            <w:tcW w:w="720" w:type="dxa"/>
            <w:vMerge w:val="continue"/>
            <w:tcBorders>
              <w:left w:val="nil"/>
              <w:bottom w:val="single" w:color="auto" w:sz="4" w:space="0"/>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药品零售许可企业基本信息</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tcPr>
          <w:p>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widowControl/>
              <w:spacing w:line="30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8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5</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监督</w:t>
            </w:r>
          </w:p>
          <w:p>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《中华人民共和国食品安全法》</w:t>
            </w:r>
            <w:r>
              <w:rPr>
                <w:rFonts w:hint="eastAsia" w:ascii="仿宋_GB2312" w:hAnsi="宋体" w:eastAsia="仿宋_GB2312"/>
                <w:sz w:val="18"/>
                <w:szCs w:val="18"/>
              </w:rPr>
              <w:t>《政府信息公开条例》《关于全面推进政务公开工作的意见》《食品生产经营日常监督检查管理办法》《食品药品安全监管信息公开管理办法》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6</w:t>
            </w:r>
          </w:p>
        </w:tc>
        <w:tc>
          <w:tcPr>
            <w:tcW w:w="720" w:type="dxa"/>
            <w:vMerge w:val="restart"/>
            <w:tcBorders>
              <w:top w:val="single" w:color="auto" w:sz="4" w:space="0"/>
              <w:left w:val="nil"/>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监督</w:t>
            </w:r>
          </w:p>
          <w:p>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特殊食品生产经营监督检查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5"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7</w:t>
            </w:r>
          </w:p>
        </w:tc>
        <w:tc>
          <w:tcPr>
            <w:tcW w:w="720" w:type="dxa"/>
            <w:vMerge w:val="continue"/>
            <w:tcBorders>
              <w:left w:val="nil"/>
              <w:bottom w:val="single" w:color="auto" w:sz="4" w:space="0"/>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由县级组织的食品安全抽检</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检查实施主体、被抽检单位名称、被抽检食品名称、标示的产品生产日期</w:t>
            </w:r>
            <w:r>
              <w:rPr>
                <w:rFonts w:ascii="仿宋_GB2312" w:hAnsi="宋体" w:eastAsia="仿宋_GB2312"/>
                <w:sz w:val="18"/>
                <w:szCs w:val="18"/>
              </w:rPr>
              <w:t>/</w:t>
            </w:r>
            <w:r>
              <w:rPr>
                <w:rFonts w:hint="eastAsia" w:ascii="仿宋_GB2312" w:hAnsi="宋体" w:eastAsia="仿宋_GB2312"/>
                <w:sz w:val="18"/>
                <w:szCs w:val="18"/>
              </w:rPr>
              <w:t>批号</w:t>
            </w:r>
            <w:r>
              <w:rPr>
                <w:rFonts w:ascii="仿宋_GB2312" w:hAnsi="宋体" w:eastAsia="仿宋_GB2312"/>
                <w:sz w:val="18"/>
                <w:szCs w:val="18"/>
              </w:rPr>
              <w:t>/</w:t>
            </w:r>
            <w:r>
              <w:rPr>
                <w:rFonts w:hint="eastAsia" w:ascii="仿宋_GB2312" w:hAnsi="宋体" w:eastAsia="仿宋_GB2312"/>
                <w:sz w:val="18"/>
                <w:szCs w:val="18"/>
              </w:rPr>
              <w:t>规格、检验依据、检验机构、检查结果等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8</w:t>
            </w:r>
          </w:p>
        </w:tc>
        <w:tc>
          <w:tcPr>
            <w:tcW w:w="720" w:type="dxa"/>
            <w:vMerge w:val="restart"/>
            <w:tcBorders>
              <w:top w:val="single" w:color="auto" w:sz="4" w:space="0"/>
              <w:left w:val="nil"/>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监督</w:t>
            </w:r>
          </w:p>
          <w:p>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w:t>
            </w:r>
            <w:r>
              <w:rPr>
                <w:rFonts w:ascii="仿宋_GB2312" w:hAnsi="宋体" w:eastAsia="仿宋_GB2312"/>
                <w:sz w:val="18"/>
                <w:szCs w:val="18"/>
              </w:rPr>
              <w:t>/</w:t>
            </w:r>
            <w:r>
              <w:rPr>
                <w:rFonts w:hint="eastAsia" w:ascii="仿宋_GB2312" w:hAnsi="宋体" w:eastAsia="仿宋_GB2312"/>
                <w:sz w:val="18"/>
                <w:szCs w:val="18"/>
              </w:rPr>
              <w:t>医疗器械经营监督检查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《政府信息公开条例》《关于全面推进政务公开工作的意见》《食品药品安全监管信息公开管理办法》《医疗器械监督管理条例》《药品医疗器械飞行检查办法》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ascii="仿宋_GB2312" w:hAnsi="宋体" w:eastAsia="仿宋_GB2312"/>
                <w:sz w:val="18"/>
                <w:szCs w:val="18"/>
              </w:rPr>
              <w:t>9</w:t>
            </w:r>
          </w:p>
        </w:tc>
        <w:tc>
          <w:tcPr>
            <w:tcW w:w="720" w:type="dxa"/>
            <w:vMerge w:val="continue"/>
            <w:tcBorders>
              <w:left w:val="nil"/>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化妆品经营企业监督检查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《政府信息公开条例》《关于全面推进政务公开工作的意见》《食品药品安全监管信息公开管理办法》《化妆品卫生监督条例》</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10</w:t>
            </w:r>
          </w:p>
        </w:tc>
        <w:tc>
          <w:tcPr>
            <w:tcW w:w="720" w:type="dxa"/>
            <w:vMerge w:val="continue"/>
            <w:tcBorders>
              <w:left w:val="nil"/>
              <w:bottom w:val="single" w:color="auto" w:sz="4" w:space="0"/>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医疗机构使用药品质量安全监督检查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ascii="仿宋_GB2312" w:hAnsi="宋体" w:eastAsia="仿宋_GB2312"/>
                <w:sz w:val="18"/>
                <w:szCs w:val="18"/>
              </w:rPr>
              <w:t>11</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监督</w:t>
            </w:r>
          </w:p>
          <w:p>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由县级组织的医疗器械抽检</w:t>
            </w:r>
          </w:p>
        </w:tc>
        <w:tc>
          <w:tcPr>
            <w:tcW w:w="1980" w:type="dxa"/>
            <w:tcBorders>
              <w:top w:val="single" w:color="auto" w:sz="4" w:space="0"/>
              <w:left w:val="single" w:color="auto" w:sz="4" w:space="0"/>
              <w:bottom w:val="single" w:color="auto" w:sz="4" w:space="0"/>
              <w:right w:val="single" w:color="auto" w:sz="4" w:space="0"/>
            </w:tcBorders>
            <w:vAlign w:val="center"/>
          </w:tcPr>
          <w:p>
            <w:pPr>
              <w:pStyle w:val="16"/>
              <w:spacing w:line="300" w:lineRule="exact"/>
              <w:ind w:firstLine="0" w:firstLineChars="0"/>
              <w:rPr>
                <w:rFonts w:ascii="仿宋_GB2312" w:hAnsi="宋体" w:eastAsia="仿宋_GB2312"/>
                <w:sz w:val="18"/>
                <w:szCs w:val="18"/>
              </w:rPr>
            </w:pPr>
            <w:r>
              <w:rPr>
                <w:rFonts w:hint="eastAsia" w:ascii="仿宋_GB2312" w:hAnsi="宋体" w:eastAsia="仿宋_GB2312"/>
                <w:sz w:val="18"/>
                <w:szCs w:val="18"/>
              </w:rPr>
              <w:t>被抽检单位名称、抽检产品名称、标示的生产单位、标示的产品生产日期</w:t>
            </w:r>
            <w:r>
              <w:rPr>
                <w:rFonts w:ascii="仿宋_GB2312" w:hAnsi="宋体" w:eastAsia="仿宋_GB2312"/>
                <w:sz w:val="18"/>
                <w:szCs w:val="18"/>
              </w:rPr>
              <w:t>/</w:t>
            </w:r>
            <w:r>
              <w:rPr>
                <w:rFonts w:hint="eastAsia" w:ascii="仿宋_GB2312" w:hAnsi="宋体" w:eastAsia="仿宋_GB2312"/>
                <w:sz w:val="18"/>
                <w:szCs w:val="18"/>
              </w:rPr>
              <w:t>批号</w:t>
            </w:r>
            <w:r>
              <w:rPr>
                <w:rFonts w:ascii="仿宋_GB2312" w:hAnsi="宋体" w:eastAsia="仿宋_GB2312"/>
                <w:sz w:val="18"/>
                <w:szCs w:val="18"/>
              </w:rPr>
              <w:t>/</w:t>
            </w:r>
            <w:r>
              <w:rPr>
                <w:rFonts w:hint="eastAsia" w:ascii="仿宋_GB2312" w:hAnsi="宋体" w:eastAsia="仿宋_GB2312"/>
                <w:sz w:val="18"/>
                <w:szCs w:val="18"/>
              </w:rPr>
              <w:t>规格、检验依据、检验结果、检验机构等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ascii="仿宋_GB2312" w:hAnsi="宋体" w:eastAsia="仿宋_GB2312"/>
                <w:sz w:val="18"/>
                <w:szCs w:val="18"/>
              </w:rPr>
              <w:t>12</w:t>
            </w:r>
          </w:p>
        </w:tc>
        <w:tc>
          <w:tcPr>
            <w:tcW w:w="720" w:type="dxa"/>
            <w:vMerge w:val="restart"/>
            <w:tcBorders>
              <w:top w:val="single" w:color="auto" w:sz="4" w:space="0"/>
              <w:left w:val="nil"/>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w:t>
            </w:r>
          </w:p>
          <w:p>
            <w:pPr>
              <w:spacing w:line="300" w:lineRule="exact"/>
              <w:rPr>
                <w:rFonts w:ascii="仿宋_GB2312" w:hAnsi="宋体" w:eastAsia="仿宋_GB2312"/>
                <w:sz w:val="18"/>
                <w:szCs w:val="18"/>
              </w:rPr>
            </w:pPr>
            <w:r>
              <w:rPr>
                <w:rFonts w:hint="eastAsia" w:ascii="仿宋_GB2312" w:hAnsi="宋体" w:eastAsia="仿宋_GB2312"/>
                <w:sz w:val="18"/>
                <w:szCs w:val="18"/>
              </w:rPr>
              <w:t>处罚</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13</w:t>
            </w:r>
          </w:p>
        </w:tc>
        <w:tc>
          <w:tcPr>
            <w:tcW w:w="720" w:type="dxa"/>
            <w:vMerge w:val="continue"/>
            <w:tcBorders>
              <w:left w:val="nil"/>
              <w:bottom w:val="single" w:color="auto" w:sz="4" w:space="0"/>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14</w:t>
            </w:r>
          </w:p>
        </w:tc>
        <w:tc>
          <w:tcPr>
            <w:tcW w:w="720" w:type="dxa"/>
            <w:tcBorders>
              <w:top w:val="single" w:color="auto" w:sz="4" w:space="0"/>
              <w:left w:val="nil"/>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行政</w:t>
            </w:r>
          </w:p>
          <w:p>
            <w:pPr>
              <w:spacing w:line="300" w:lineRule="exact"/>
              <w:jc w:val="left"/>
              <w:rPr>
                <w:rFonts w:ascii="仿宋_GB2312" w:hAnsi="宋体" w:eastAsia="仿宋_GB2312"/>
                <w:sz w:val="18"/>
                <w:szCs w:val="18"/>
              </w:rPr>
            </w:pPr>
            <w:r>
              <w:rPr>
                <w:rFonts w:hint="eastAsia" w:ascii="仿宋_GB2312" w:hAnsi="宋体" w:eastAsia="仿宋_GB2312"/>
                <w:sz w:val="18"/>
                <w:szCs w:val="18"/>
              </w:rPr>
              <w:t>处罚</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医疗器械监管行政处罚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15</w:t>
            </w:r>
          </w:p>
        </w:tc>
        <w:tc>
          <w:tcPr>
            <w:tcW w:w="720" w:type="dxa"/>
            <w:tcBorders>
              <w:top w:val="single" w:color="auto" w:sz="4" w:space="0"/>
              <w:left w:val="nil"/>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行政处罚</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化妆品监管行政处罚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16</w:t>
            </w:r>
          </w:p>
        </w:tc>
        <w:tc>
          <w:tcPr>
            <w:tcW w:w="720" w:type="dxa"/>
            <w:tcBorders>
              <w:top w:val="single" w:color="auto" w:sz="4" w:space="0"/>
              <w:left w:val="nil"/>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公共</w:t>
            </w:r>
          </w:p>
          <w:p>
            <w:pPr>
              <w:spacing w:line="300" w:lineRule="exact"/>
              <w:jc w:val="left"/>
              <w:rPr>
                <w:rFonts w:ascii="仿宋_GB2312" w:hAnsi="宋体" w:eastAsia="仿宋_GB2312"/>
                <w:sz w:val="18"/>
                <w:szCs w:val="18"/>
              </w:rPr>
            </w:pPr>
            <w:r>
              <w:rPr>
                <w:rFonts w:hint="eastAsia" w:ascii="仿宋_GB2312" w:hAnsi="宋体" w:eastAsia="仿宋_GB2312"/>
                <w:sz w:val="18"/>
                <w:szCs w:val="18"/>
              </w:rPr>
              <w:t>服务</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食品安全消费提示警示</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食品安全消费提示、警示信息</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■两微一端</w:t>
            </w:r>
            <w:r>
              <w:rPr>
                <w:rFonts w:ascii="仿宋_GB2312" w:hAnsi="宋体" w:eastAsia="仿宋_GB2312"/>
                <w:sz w:val="18"/>
                <w:szCs w:val="18"/>
              </w:rPr>
              <w:t xml:space="preserve">        </w:t>
            </w:r>
          </w:p>
          <w:p>
            <w:pPr>
              <w:widowControl/>
              <w:spacing w:line="300" w:lineRule="exact"/>
              <w:jc w:val="left"/>
              <w:rPr>
                <w:rFonts w:ascii="仿宋_GB2312" w:hAnsi="宋体" w:eastAsia="仿宋_GB2312"/>
                <w:sz w:val="18"/>
                <w:szCs w:val="18"/>
              </w:rPr>
            </w:pPr>
            <w:r>
              <w:rPr>
                <w:rFonts w:hint="eastAsia" w:ascii="仿宋_GB2312" w:hAnsi="宋体" w:eastAsia="仿宋_GB2312"/>
                <w:sz w:val="18"/>
                <w:szCs w:val="18"/>
              </w:rPr>
              <w:t>■社区</w:t>
            </w:r>
            <w:r>
              <w:rPr>
                <w:rFonts w:ascii="仿宋_GB2312" w:hAnsi="宋体" w:eastAsia="仿宋_GB2312"/>
                <w:sz w:val="18"/>
                <w:szCs w:val="18"/>
              </w:rPr>
              <w:t>/</w:t>
            </w:r>
            <w:r>
              <w:rPr>
                <w:rFonts w:hint="eastAsia" w:ascii="仿宋_GB2312" w:hAnsi="宋体" w:eastAsia="仿宋_GB2312"/>
                <w:sz w:val="18"/>
                <w:szCs w:val="18"/>
              </w:rPr>
              <w:t>企事业单位</w:t>
            </w:r>
            <w:r>
              <w:rPr>
                <w:rFonts w:ascii="仿宋_GB2312" w:hAnsi="宋体" w:eastAsia="仿宋_GB2312"/>
                <w:sz w:val="18"/>
                <w:szCs w:val="18"/>
              </w:rPr>
              <w:t>/</w:t>
            </w:r>
            <w:r>
              <w:rPr>
                <w:rFonts w:hint="eastAsia" w:ascii="仿宋_GB2312" w:hAnsi="宋体" w:eastAsia="仿宋_GB2312"/>
                <w:sz w:val="18"/>
                <w:szCs w:val="18"/>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17</w:t>
            </w:r>
          </w:p>
        </w:tc>
        <w:tc>
          <w:tcPr>
            <w:tcW w:w="720" w:type="dxa"/>
            <w:vMerge w:val="restart"/>
            <w:tcBorders>
              <w:top w:val="single" w:color="auto" w:sz="4" w:space="0"/>
              <w:left w:val="nil"/>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公共</w:t>
            </w:r>
          </w:p>
          <w:p>
            <w:pPr>
              <w:spacing w:line="300" w:lineRule="exact"/>
              <w:jc w:val="left"/>
              <w:rPr>
                <w:rFonts w:ascii="仿宋_GB2312" w:hAnsi="宋体" w:eastAsia="仿宋_GB2312"/>
                <w:sz w:val="18"/>
                <w:szCs w:val="18"/>
              </w:rPr>
            </w:pPr>
            <w:r>
              <w:rPr>
                <w:rFonts w:hint="eastAsia" w:ascii="仿宋_GB2312" w:hAnsi="宋体" w:eastAsia="仿宋_GB2312"/>
                <w:sz w:val="18"/>
                <w:szCs w:val="18"/>
              </w:rPr>
              <w:t>服务</w:t>
            </w: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食品安全应急处置</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应急组织机构及职责、应急保障、监测预警、应急响应、热点问题落实情况等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w:t>
            </w:r>
            <w:r>
              <w:rPr>
                <w:rFonts w:ascii="仿宋_GB2312" w:hAnsi="宋体" w:eastAsia="仿宋_GB2312"/>
                <w:sz w:val="18"/>
                <w:szCs w:val="18"/>
              </w:rPr>
              <w:t xml:space="preserve"> </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r>
              <w:rPr>
                <w:rFonts w:hint="eastAsia" w:ascii="仿宋_GB2312" w:hAnsi="宋体" w:eastAsia="仿宋_GB2312"/>
                <w:kern w:val="0"/>
                <w:sz w:val="18"/>
                <w:szCs w:val="18"/>
                <w:shd w:val="clear" w:color="auto" w:fill="FFFFFF"/>
              </w:rPr>
              <w:t>■两微一端</w:t>
            </w:r>
            <w:r>
              <w:rPr>
                <w:rFonts w:ascii="仿宋_GB2312" w:hAnsi="宋体" w:eastAsia="仿宋_GB2312"/>
                <w:kern w:val="0"/>
                <w:sz w:val="18"/>
                <w:szCs w:val="18"/>
                <w:shd w:val="clear" w:color="auto" w:fill="FFFFFF"/>
              </w:rPr>
              <w:t xml:space="preserve">       </w:t>
            </w:r>
          </w:p>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18</w:t>
            </w:r>
          </w:p>
        </w:tc>
        <w:tc>
          <w:tcPr>
            <w:tcW w:w="720" w:type="dxa"/>
            <w:vMerge w:val="continue"/>
            <w:tcBorders>
              <w:left w:val="nil"/>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食品药品投诉举报</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食品药品投诉举报管理制度和政策、受理投诉举报的途径等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《政府信息公开条例》、《关于全面推进政务公开工作的意见》《食品药品投诉举报管理办法》</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r>
              <w:rPr>
                <w:rFonts w:hint="eastAsia" w:ascii="仿宋_GB2312" w:hAnsi="宋体" w:eastAsia="仿宋_GB2312"/>
                <w:kern w:val="0"/>
                <w:sz w:val="18"/>
                <w:szCs w:val="18"/>
                <w:shd w:val="clear" w:color="auto" w:fill="FFFFFF"/>
              </w:rPr>
              <w:t>■两微一端</w:t>
            </w:r>
            <w:r>
              <w:rPr>
                <w:rFonts w:ascii="仿宋_GB2312" w:hAnsi="宋体" w:eastAsia="仿宋_GB2312"/>
                <w:kern w:val="0"/>
                <w:sz w:val="18"/>
                <w:szCs w:val="18"/>
                <w:shd w:val="clear" w:color="auto" w:fill="FFFFFF"/>
              </w:rPr>
              <w:t xml:space="preserve">    </w:t>
            </w:r>
          </w:p>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19</w:t>
            </w:r>
          </w:p>
        </w:tc>
        <w:tc>
          <w:tcPr>
            <w:tcW w:w="720" w:type="dxa"/>
            <w:vMerge w:val="continue"/>
            <w:tcBorders>
              <w:left w:val="nil"/>
              <w:bottom w:val="single" w:color="auto" w:sz="4" w:space="0"/>
              <w:right w:val="single" w:color="auto" w:sz="4" w:space="0"/>
            </w:tcBorders>
            <w:vAlign w:val="center"/>
          </w:tcPr>
          <w:p/>
        </w:tc>
        <w:tc>
          <w:tcPr>
            <w:tcW w:w="90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食品用药安全宣传活动</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活动时间、活动地点、活动形式、活动主题和内容等</w:t>
            </w:r>
          </w:p>
        </w:tc>
        <w:tc>
          <w:tcPr>
            <w:tcW w:w="198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r>
              <w:rPr>
                <w:rFonts w:hint="eastAsia" w:ascii="仿宋_GB2312" w:hAnsi="宋体" w:eastAsia="仿宋_GB2312"/>
                <w:kern w:val="0"/>
                <w:sz w:val="18"/>
                <w:szCs w:val="18"/>
                <w:shd w:val="clear" w:color="auto" w:fill="FFFFFF"/>
              </w:rPr>
              <w:t>■两微一端</w:t>
            </w:r>
            <w:r>
              <w:rPr>
                <w:rFonts w:ascii="仿宋_GB2312" w:hAnsi="宋体" w:eastAsia="仿宋_GB2312"/>
                <w:kern w:val="0"/>
                <w:sz w:val="18"/>
                <w:szCs w:val="18"/>
                <w:shd w:val="clear" w:color="auto" w:fill="FFFFFF"/>
              </w:rPr>
              <w:t xml:space="preserve">       </w:t>
            </w:r>
          </w:p>
          <w:p>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tcPr>
          <w:p>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sz w:val="18"/>
                <w:szCs w:val="18"/>
              </w:rPr>
            </w:pPr>
          </w:p>
        </w:tc>
      </w:tr>
    </w:tbl>
    <w:p/>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五</w:t>
      </w:r>
      <w:r>
        <w:rPr>
          <w:rFonts w:hint="eastAsia" w:ascii="宋体" w:hAnsi="宋体" w:cs="宋体"/>
          <w:kern w:val="44"/>
          <w:sz w:val="30"/>
          <w:szCs w:val="44"/>
        </w:rPr>
        <w:t>）税收管理领域基层政务公开标准目录</w:t>
      </w:r>
    </w:p>
    <w:tbl>
      <w:tblPr>
        <w:tblStyle w:val="9"/>
        <w:tblW w:w="138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74"/>
        <w:gridCol w:w="1006"/>
        <w:gridCol w:w="1840"/>
        <w:gridCol w:w="3051"/>
        <w:gridCol w:w="1359"/>
        <w:gridCol w:w="1245"/>
        <w:gridCol w:w="1539"/>
        <w:gridCol w:w="735"/>
        <w:gridCol w:w="765"/>
        <w:gridCol w:w="570"/>
        <w:gridCol w:w="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680" w:type="dxa"/>
            <w:gridSpan w:val="2"/>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1840"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3051"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359"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1245"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539" w:type="dxa"/>
            <w:vMerge w:val="restart"/>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公开渠道和载体</w:t>
            </w:r>
          </w:p>
        </w:tc>
        <w:tc>
          <w:tcPr>
            <w:tcW w:w="1500" w:type="dxa"/>
            <w:gridSpan w:val="2"/>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1095" w:type="dxa"/>
            <w:gridSpan w:val="2"/>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continue"/>
            <w:tcBorders>
              <w:top w:val="single" w:color="auto" w:sz="4" w:space="0"/>
              <w:left w:val="single" w:color="auto" w:sz="4" w:space="0"/>
              <w:right w:val="single" w:color="auto" w:sz="4" w:space="0"/>
            </w:tcBorders>
            <w:vAlign w:val="center"/>
          </w:tcPr>
          <w:p/>
        </w:tc>
        <w:tc>
          <w:tcPr>
            <w:tcW w:w="674" w:type="dxa"/>
            <w:tcBorders>
              <w:top w:val="single" w:color="auto" w:sz="4" w:space="0"/>
              <w:left w:val="single" w:color="auto" w:sz="4" w:space="0"/>
              <w:right w:val="single" w:color="auto" w:sz="4" w:space="0"/>
            </w:tcBorders>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1840" w:type="dxa"/>
            <w:vMerge w:val="continue"/>
            <w:tcBorders>
              <w:top w:val="single" w:color="auto" w:sz="4" w:space="0"/>
              <w:left w:val="single" w:color="auto" w:sz="4" w:space="0"/>
              <w:right w:val="single" w:color="auto" w:sz="4" w:space="0"/>
            </w:tcBorders>
            <w:shd w:val="clear" w:color="000000" w:fill="FFFFFF"/>
            <w:vAlign w:val="center"/>
          </w:tcPr>
          <w:p/>
        </w:tc>
        <w:tc>
          <w:tcPr>
            <w:tcW w:w="3051" w:type="dxa"/>
            <w:vMerge w:val="continue"/>
            <w:tcBorders>
              <w:top w:val="single" w:color="auto" w:sz="4" w:space="0"/>
              <w:left w:val="single" w:color="auto" w:sz="4" w:space="0"/>
              <w:right w:val="single" w:color="auto" w:sz="4" w:space="0"/>
            </w:tcBorders>
            <w:shd w:val="clear" w:color="000000" w:fill="FFFFFF"/>
            <w:vAlign w:val="center"/>
          </w:tcPr>
          <w:p/>
        </w:tc>
        <w:tc>
          <w:tcPr>
            <w:tcW w:w="1359" w:type="dxa"/>
            <w:vMerge w:val="continue"/>
            <w:tcBorders>
              <w:top w:val="single" w:color="auto" w:sz="4" w:space="0"/>
              <w:left w:val="single" w:color="auto" w:sz="4" w:space="0"/>
              <w:right w:val="single" w:color="auto" w:sz="4" w:space="0"/>
            </w:tcBorders>
            <w:shd w:val="clear" w:color="000000" w:fill="FFFFFF"/>
            <w:vAlign w:val="center"/>
          </w:tcPr>
          <w:p/>
        </w:tc>
        <w:tc>
          <w:tcPr>
            <w:tcW w:w="1245" w:type="dxa"/>
            <w:vMerge w:val="continue"/>
            <w:tcBorders>
              <w:top w:val="single" w:color="auto" w:sz="4" w:space="0"/>
              <w:left w:val="single" w:color="auto" w:sz="4" w:space="0"/>
              <w:right w:val="single" w:color="auto" w:sz="4" w:space="0"/>
            </w:tcBorders>
            <w:shd w:val="clear" w:color="000000" w:fill="FFFFFF"/>
            <w:vAlign w:val="center"/>
          </w:tcPr>
          <w:p/>
        </w:tc>
        <w:tc>
          <w:tcPr>
            <w:tcW w:w="1539" w:type="dxa"/>
            <w:vMerge w:val="continue"/>
            <w:tcBorders>
              <w:top w:val="single" w:color="auto" w:sz="4" w:space="0"/>
              <w:left w:val="single" w:color="auto" w:sz="4" w:space="0"/>
              <w:right w:val="single" w:color="auto" w:sz="4" w:space="0"/>
            </w:tcBorders>
            <w:shd w:val="clear" w:color="000000" w:fill="FFFFFF"/>
            <w:vAlign w:val="center"/>
          </w:tcP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w:t>
            </w:r>
            <w:r>
              <w:rPr>
                <w:rFonts w:ascii="黑体" w:hAnsi="黑体" w:eastAsia="黑体" w:cs="黑体"/>
                <w:color w:val="000000"/>
                <w:kern w:val="0"/>
                <w:sz w:val="18"/>
                <w:szCs w:val="18"/>
              </w:rPr>
              <w:br w:type="textWrapping"/>
            </w:r>
            <w:r>
              <w:rPr>
                <w:rFonts w:hint="eastAsia" w:ascii="黑体" w:hAnsi="黑体" w:eastAsia="黑体" w:cs="黑体"/>
                <w:color w:val="000000"/>
                <w:kern w:val="0"/>
                <w:sz w:val="18"/>
                <w:szCs w:val="18"/>
              </w:rPr>
              <w:t>群体</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w:t>
            </w:r>
          </w:p>
        </w:tc>
        <w:tc>
          <w:tcPr>
            <w:tcW w:w="674"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政策法规</w:t>
            </w: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税务机关履职相关的法律、法规、规章</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《中华人民共和国政府信息公开条例》（中华人民共和国国务院令第</w:t>
            </w:r>
            <w:r>
              <w:rPr>
                <w:rFonts w:ascii="仿宋" w:hAnsi="仿宋" w:eastAsia="仿宋" w:cs="仿宋"/>
                <w:color w:val="000000"/>
                <w:kern w:val="0"/>
                <w:sz w:val="18"/>
                <w:szCs w:val="18"/>
              </w:rPr>
              <w:t>711</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2</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税收规范性文件</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税务机关履职相关的规范性文件</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《中华人民共和国政府信息公开条例》（中华人民共和国国务院令第</w:t>
            </w:r>
            <w:r>
              <w:rPr>
                <w:rFonts w:ascii="仿宋" w:hAnsi="仿宋" w:eastAsia="仿宋" w:cs="仿宋"/>
                <w:color w:val="000000"/>
                <w:kern w:val="0"/>
                <w:sz w:val="18"/>
                <w:szCs w:val="18"/>
              </w:rPr>
              <w:t>711</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6"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3</w:t>
            </w:r>
          </w:p>
        </w:tc>
        <w:tc>
          <w:tcPr>
            <w:tcW w:w="674"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纳税服务</w:t>
            </w: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纳税人权利</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税收法律法规规定的纳税人权利</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《国家税务总局关于纳税人权利与义务的公告》（公告</w:t>
            </w:r>
            <w:r>
              <w:rPr>
                <w:rFonts w:ascii="仿宋" w:hAnsi="仿宋" w:eastAsia="仿宋" w:cs="仿宋"/>
                <w:color w:val="000000"/>
                <w:kern w:val="0"/>
                <w:sz w:val="18"/>
                <w:szCs w:val="18"/>
              </w:rPr>
              <w:t>2009</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1"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4</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纳税人义务</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税收法律法规规定的纳税人义务</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《国家税务总局关于纳税人权利与义务的公告》（公告</w:t>
            </w:r>
            <w:r>
              <w:rPr>
                <w:rFonts w:ascii="仿宋" w:hAnsi="仿宋" w:eastAsia="仿宋" w:cs="仿宋"/>
                <w:color w:val="000000"/>
                <w:kern w:val="0"/>
                <w:sz w:val="18"/>
                <w:szCs w:val="18"/>
              </w:rPr>
              <w:t>2009</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5</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A</w:t>
            </w:r>
            <w:r>
              <w:rPr>
                <w:rFonts w:hint="eastAsia" w:ascii="仿宋" w:hAnsi="仿宋" w:eastAsia="仿宋" w:cs="仿宋"/>
                <w:color w:val="000000"/>
                <w:kern w:val="0"/>
                <w:sz w:val="18"/>
                <w:szCs w:val="18"/>
              </w:rPr>
              <w:t>级纳税人名单</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纳税人识别号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纳税人名称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评价年度</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《国家税务总局关于明确纳税信用管理若干业务口径的公告》（国家税务总局公告</w:t>
            </w:r>
            <w:r>
              <w:rPr>
                <w:rFonts w:ascii="仿宋" w:hAnsi="仿宋" w:eastAsia="仿宋" w:cs="仿宋"/>
                <w:color w:val="000000"/>
                <w:kern w:val="0"/>
                <w:sz w:val="18"/>
                <w:szCs w:val="18"/>
              </w:rPr>
              <w:t>2015</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85</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6</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涉税专业服务相关信息</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纳入监管的涉税专业服务机构名单及其信用情况</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未经行政登记的税务师事务所名单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涉税服务失信名录</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《涉税专业服务监管办法（试行）》（国家税务总局公告</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13</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《涉税专业服务信用评价管理办法（试行）》（国家税务总局公告</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48</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全国税务系统深化“放管服”改革五年工作方案（</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-2022</w:t>
            </w:r>
            <w:r>
              <w:rPr>
                <w:rFonts w:hint="eastAsia" w:ascii="仿宋" w:hAnsi="仿宋" w:eastAsia="仿宋" w:cs="仿宋"/>
                <w:color w:val="000000"/>
                <w:kern w:val="0"/>
                <w:sz w:val="18"/>
                <w:szCs w:val="18"/>
              </w:rPr>
              <w:t>年）全面推进政务公开工作实施办法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199</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5"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7</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办税地图</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办税服务厅名称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地址</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电话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办公时间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主要职责</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2"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8</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办税日历</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申报征收期</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申报征收项目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备注</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4"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9</w:t>
            </w:r>
          </w:p>
        </w:tc>
        <w:tc>
          <w:tcPr>
            <w:tcW w:w="674"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　</w:t>
            </w: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权责清单</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职权名称</w:t>
            </w:r>
            <w:r>
              <w:rPr>
                <w:rFonts w:ascii="仿宋" w:hAnsi="仿宋" w:eastAsia="仿宋" w:cs="仿宋"/>
                <w:color w:val="000000"/>
                <w:kern w:val="0"/>
                <w:sz w:val="18"/>
                <w:szCs w:val="18"/>
              </w:rPr>
              <w:t xml:space="preserve">           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t xml:space="preserve">            3.</w:t>
            </w:r>
            <w:r>
              <w:rPr>
                <w:rFonts w:hint="eastAsia" w:ascii="仿宋" w:hAnsi="仿宋" w:eastAsia="仿宋" w:cs="仿宋"/>
                <w:color w:val="000000"/>
                <w:kern w:val="0"/>
                <w:sz w:val="18"/>
                <w:szCs w:val="18"/>
              </w:rPr>
              <w:t>履责方式</w:t>
            </w:r>
            <w:r>
              <w:rPr>
                <w:rFonts w:ascii="仿宋" w:hAnsi="仿宋" w:eastAsia="仿宋" w:cs="仿宋"/>
                <w:color w:val="000000"/>
                <w:kern w:val="0"/>
                <w:sz w:val="18"/>
                <w:szCs w:val="18"/>
              </w:rPr>
              <w:t xml:space="preserve">             4.</w:t>
            </w:r>
            <w:r>
              <w:rPr>
                <w:rFonts w:hint="eastAsia" w:ascii="仿宋" w:hAnsi="仿宋" w:eastAsia="仿宋" w:cs="仿宋"/>
                <w:color w:val="000000"/>
                <w:kern w:val="0"/>
                <w:sz w:val="18"/>
                <w:szCs w:val="18"/>
              </w:rPr>
              <w:t>追责情形</w:t>
            </w:r>
            <w:r>
              <w:rPr>
                <w:rFonts w:ascii="仿宋" w:hAnsi="仿宋" w:eastAsia="仿宋" w:cs="仿宋"/>
                <w:color w:val="000000"/>
                <w:kern w:val="0"/>
                <w:sz w:val="18"/>
                <w:szCs w:val="18"/>
              </w:rPr>
              <w:t xml:space="preserve">            5.</w:t>
            </w:r>
            <w:r>
              <w:rPr>
                <w:rFonts w:hint="eastAsia" w:ascii="仿宋" w:hAnsi="仿宋" w:eastAsia="仿宋" w:cs="仿宋"/>
                <w:color w:val="000000"/>
                <w:kern w:val="0"/>
                <w:sz w:val="18"/>
                <w:szCs w:val="18"/>
              </w:rPr>
              <w:t>权责事项信息表（包括基本信息、办理信息、监管措施、咨询查询、行政相对人责任、监督责任、法律救济、行政职权运行流程图等）</w:t>
            </w:r>
            <w:r>
              <w:rPr>
                <w:rFonts w:ascii="仿宋" w:hAnsi="仿宋" w:eastAsia="仿宋" w:cs="仿宋"/>
                <w:color w:val="000000"/>
                <w:kern w:val="0"/>
                <w:sz w:val="18"/>
                <w:szCs w:val="18"/>
              </w:rPr>
              <w:t xml:space="preserve">           </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kern w:val="0"/>
                <w:sz w:val="18"/>
                <w:szCs w:val="18"/>
              </w:rPr>
            </w:pPr>
            <w:r>
              <w:rPr>
                <w:rFonts w:hint="eastAsia" w:ascii="仿宋" w:hAnsi="仿宋" w:eastAsia="仿宋" w:cs="仿宋"/>
                <w:kern w:val="0"/>
                <w:sz w:val="18"/>
                <w:szCs w:val="18"/>
                <w:lang w:eastAsia="zh-CN"/>
              </w:rPr>
              <w:t>区税务局</w:t>
            </w:r>
            <w:r>
              <w:rPr>
                <w:rFonts w:ascii="仿宋" w:hAnsi="仿宋" w:eastAsia="仿宋" w:cs="仿宋"/>
                <w:kern w:val="0"/>
                <w:sz w:val="18"/>
                <w:szCs w:val="18"/>
              </w:rPr>
              <w:tab/>
            </w:r>
            <w:r>
              <w:rPr>
                <w:rFonts w:ascii="仿宋" w:hAnsi="仿宋" w:eastAsia="仿宋" w:cs="仿宋"/>
                <w:kern w:val="0"/>
                <w:sz w:val="18"/>
                <w:szCs w:val="18"/>
              </w:rPr>
              <w:t xml:space="preserve">                                                      </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rPr>
              <w:t>办税服务厅</w:t>
            </w:r>
            <w:r>
              <w:rPr>
                <w:rFonts w:ascii="仿宋" w:hAnsi="仿宋" w:eastAsia="仿宋" w:cs="仿宋"/>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p>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ab/>
            </w:r>
            <w:r>
              <w:rPr>
                <w:rFonts w:hint="eastAsia" w:ascii="仿宋" w:hAnsi="仿宋" w:eastAsia="仿宋" w:cs="仿宋"/>
                <w:color w:val="000000"/>
                <w:kern w:val="0"/>
                <w:sz w:val="18"/>
                <w:szCs w:val="18"/>
              </w:rPr>
              <w:t>　</w:t>
            </w:r>
            <w:r>
              <w:rPr>
                <w:rFonts w:ascii="仿宋" w:hAnsi="仿宋" w:eastAsia="仿宋" w:cs="仿宋"/>
                <w:color w:val="000000"/>
                <w:kern w:val="0"/>
                <w:sz w:val="18"/>
                <w:szCs w:val="18"/>
              </w:rPr>
              <w:tab/>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6"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10</w:t>
            </w:r>
          </w:p>
        </w:tc>
        <w:tc>
          <w:tcPr>
            <w:tcW w:w="674" w:type="dxa"/>
            <w:vMerge w:val="continue"/>
            <w:tcBorders>
              <w:top w:val="single" w:color="auto" w:sz="4" w:space="0"/>
              <w:left w:val="single" w:color="auto" w:sz="4" w:space="0"/>
              <w:right w:val="single" w:color="auto" w:sz="4" w:space="0"/>
            </w:tcBorders>
            <w:shd w:val="clear" w:color="000000" w:fill="FFFFFF"/>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办税指南</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事项名称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申请条件</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办理材料</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办理地点</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办理机构</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收费标准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8.</w:t>
            </w:r>
            <w:r>
              <w:rPr>
                <w:rFonts w:hint="eastAsia" w:ascii="仿宋" w:hAnsi="仿宋" w:eastAsia="仿宋" w:cs="仿宋"/>
                <w:color w:val="000000"/>
                <w:kern w:val="0"/>
                <w:sz w:val="18"/>
                <w:szCs w:val="18"/>
              </w:rPr>
              <w:t>办理时间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9.</w:t>
            </w:r>
            <w:r>
              <w:rPr>
                <w:rFonts w:hint="eastAsia" w:ascii="仿宋" w:hAnsi="仿宋" w:eastAsia="仿宋" w:cs="仿宋"/>
                <w:color w:val="000000"/>
                <w:kern w:val="0"/>
                <w:sz w:val="18"/>
                <w:szCs w:val="18"/>
              </w:rPr>
              <w:t>联系电话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10.</w:t>
            </w: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11.</w:t>
            </w:r>
            <w:r>
              <w:rPr>
                <w:rFonts w:hint="eastAsia" w:ascii="仿宋" w:hAnsi="仿宋" w:eastAsia="仿宋" w:cs="仿宋"/>
                <w:color w:val="000000"/>
                <w:kern w:val="0"/>
                <w:sz w:val="18"/>
                <w:szCs w:val="18"/>
              </w:rPr>
              <w:t>纳税人注意事项</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12.</w:t>
            </w:r>
            <w:r>
              <w:rPr>
                <w:rFonts w:hint="eastAsia" w:ascii="仿宋" w:hAnsi="仿宋" w:eastAsia="仿宋" w:cs="仿宋"/>
                <w:color w:val="000000"/>
                <w:kern w:val="0"/>
                <w:sz w:val="18"/>
                <w:szCs w:val="18"/>
              </w:rPr>
              <w:t>政策依据</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bottom"/>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11</w:t>
            </w:r>
          </w:p>
        </w:tc>
        <w:tc>
          <w:tcPr>
            <w:tcW w:w="674" w:type="dxa"/>
            <w:vMerge w:val="continue"/>
            <w:tcBorders>
              <w:top w:val="single" w:color="auto" w:sz="4" w:space="0"/>
              <w:left w:val="single" w:color="auto" w:sz="4" w:space="0"/>
              <w:right w:val="single" w:color="auto" w:sz="4" w:space="0"/>
            </w:tcBorders>
            <w:shd w:val="clear" w:color="000000" w:fill="FFFFFF"/>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准予行政许可决定公示</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行政许可决定书及其文号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项目名称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行政相对人统一社会信用代码</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审批部门</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《国家税务总局办公厅关于做好行政许可和行政处罚等信用信息公示工作的通知》（税总办发〔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在做出行政许可决定之日起</w:t>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个工作日内完成公示</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12</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行政处罚决定和结果公示</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行政处罚决定书文号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案件名称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行政相对人统一社会信用代码</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处罚事由</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作出处罚决定的部门</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处罚结果</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《国家税务总局办公厅关于做好行政许可和行政处罚等信用信息公示工作的通知》（税总办发〔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在做出行政处罚决定之日起</w:t>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个工作日内完成公示</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13</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非正常户公告</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纳税人为企业或单位的，公告企业或单位的名称、纳税人识别号、法定代表人或负责人姓名、居民身份证或其他有效身份证件号码（隐去出生年、月、日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位数）、经营地点；纳税人为个体工商户的，公告业户名称、业主姓名、纳税人识别号、居民身份证或其他有效身份证件号码（隐去出生年、月、日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《国家税务总局关于进一步完善税务登记管理有关问题的公告》（国家税务总局公告</w:t>
            </w:r>
            <w:r>
              <w:rPr>
                <w:rFonts w:ascii="仿宋" w:hAnsi="仿宋" w:eastAsia="仿宋" w:cs="仿宋"/>
                <w:color w:val="000000"/>
                <w:kern w:val="0"/>
                <w:sz w:val="18"/>
                <w:szCs w:val="18"/>
              </w:rPr>
              <w:t xml:space="preserve"> 2011</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21</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在非正常户认定的次月公告非正常户</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1" w:hRule="atLeast"/>
          <w:jc w:val="center"/>
        </w:trPr>
        <w:tc>
          <w:tcPr>
            <w:tcW w:w="540"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14</w:t>
            </w:r>
          </w:p>
        </w:tc>
        <w:tc>
          <w:tcPr>
            <w:tcW w:w="674" w:type="dxa"/>
            <w:vMerge w:val="continue"/>
            <w:tcBorders>
              <w:top w:val="single" w:color="auto" w:sz="4" w:space="0"/>
              <w:left w:val="single" w:color="auto" w:sz="4" w:space="0"/>
              <w:right w:val="single" w:color="auto" w:sz="4" w:space="0"/>
            </w:tcBorders>
            <w:vAlign w:val="center"/>
          </w:tcPr>
          <w:p/>
        </w:tc>
        <w:tc>
          <w:tcPr>
            <w:tcW w:w="1006"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欠税公告</w:t>
            </w:r>
          </w:p>
        </w:tc>
        <w:tc>
          <w:tcPr>
            <w:tcW w:w="1840" w:type="dxa"/>
            <w:vMerge w:val="restart"/>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企业或单位欠税的：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公告企业或单位的名称、纳税人识别号、法定代表人或负责人姓名、居民身份证或其他有效身份证件号码（隐去出生年、月、日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位数）、经营地点、欠税税种、欠税余额和当期新发生的欠税金额；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个体工商户欠税的：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公告业户名称、业主姓名、纳税人识别号、居民身份证或其他有效身份证件号码（隐去出生年、月、日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位数）、经营地点、欠税税种、欠税余额和当期新发生的欠税金额；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个人（不含个体工商户）欠税的：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公告其姓名、居民身份证或其他有效身份证件号码（隐去出生年、月、日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位数）、欠税税种、欠税余额和当期新发生的欠税金额</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对走逃、失踪的纳税户以及其他经税务机关查无下落的纳税人欠税的，由各省、自治区、直辖市和计划单列市税务局公告</w:t>
            </w:r>
            <w:r>
              <w:rPr>
                <w:rFonts w:ascii="仿宋" w:hAnsi="仿宋" w:eastAsia="仿宋" w:cs="仿宋"/>
                <w:color w:val="000000"/>
                <w:kern w:val="0"/>
                <w:sz w:val="18"/>
                <w:szCs w:val="18"/>
              </w:rPr>
              <w:t> </w:t>
            </w:r>
          </w:p>
        </w:tc>
        <w:tc>
          <w:tcPr>
            <w:tcW w:w="3051" w:type="dxa"/>
            <w:vMerge w:val="restart"/>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《欠税公告办法（试行）》（国家税务总局令第</w:t>
            </w:r>
            <w:r>
              <w:rPr>
                <w:rFonts w:ascii="仿宋" w:hAnsi="仿宋" w:eastAsia="仿宋" w:cs="仿宋"/>
                <w:color w:val="000000"/>
                <w:kern w:val="0"/>
                <w:sz w:val="18"/>
                <w:szCs w:val="18"/>
              </w:rPr>
              <w:t xml:space="preserve"> 9 </w:t>
            </w:r>
            <w:r>
              <w:rPr>
                <w:rFonts w:hint="eastAsia" w:ascii="仿宋" w:hAnsi="仿宋" w:eastAsia="仿宋" w:cs="仿宋"/>
                <w:color w:val="000000"/>
                <w:kern w:val="0"/>
                <w:sz w:val="18"/>
                <w:szCs w:val="18"/>
              </w:rPr>
              <w:t>号）</w:t>
            </w:r>
          </w:p>
        </w:tc>
        <w:tc>
          <w:tcPr>
            <w:tcW w:w="1359" w:type="dxa"/>
            <w:vMerge w:val="restart"/>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企业或单位欠税的，每季公告一次；个体工商户和其他个人欠税的，每半年公告一次；走逃、失踪的纳税户以及其他经税务机关查无下落的非正常户欠税的，随时公告</w:t>
            </w:r>
          </w:p>
        </w:tc>
        <w:tc>
          <w:tcPr>
            <w:tcW w:w="1245"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vMerge w:val="restart"/>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vMerge w:val="restart"/>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540" w:type="dxa"/>
            <w:vMerge w:val="continue"/>
            <w:tcBorders>
              <w:top w:val="single" w:color="auto" w:sz="4" w:space="0"/>
              <w:left w:val="single" w:color="auto" w:sz="4" w:space="0"/>
              <w:right w:val="single" w:color="auto" w:sz="4" w:space="0"/>
            </w:tcBorders>
            <w:vAlign w:val="center"/>
          </w:tcPr>
          <w:p/>
        </w:tc>
        <w:tc>
          <w:tcPr>
            <w:tcW w:w="674" w:type="dxa"/>
            <w:vMerge w:val="continue"/>
            <w:tcBorders>
              <w:top w:val="single" w:color="auto" w:sz="4" w:space="0"/>
              <w:left w:val="single" w:color="auto" w:sz="4" w:space="0"/>
              <w:right w:val="single" w:color="auto" w:sz="4" w:space="0"/>
            </w:tcBorders>
            <w:vAlign w:val="center"/>
          </w:tcPr>
          <w:p/>
        </w:tc>
        <w:tc>
          <w:tcPr>
            <w:tcW w:w="1006" w:type="dxa"/>
            <w:vMerge w:val="continue"/>
            <w:tcBorders>
              <w:top w:val="single" w:color="auto" w:sz="4" w:space="0"/>
              <w:left w:val="single" w:color="auto" w:sz="4" w:space="0"/>
              <w:right w:val="single" w:color="auto" w:sz="4" w:space="0"/>
            </w:tcBorders>
            <w:vAlign w:val="center"/>
          </w:tcPr>
          <w:p/>
        </w:tc>
        <w:tc>
          <w:tcPr>
            <w:tcW w:w="1840" w:type="dxa"/>
            <w:vMerge w:val="continue"/>
            <w:tcBorders>
              <w:top w:val="single" w:color="auto" w:sz="4" w:space="0"/>
              <w:left w:val="single" w:color="auto" w:sz="4" w:space="0"/>
              <w:right w:val="single" w:color="auto" w:sz="4" w:space="0"/>
            </w:tcBorders>
            <w:vAlign w:val="center"/>
          </w:tcPr>
          <w:p/>
        </w:tc>
        <w:tc>
          <w:tcPr>
            <w:tcW w:w="3051" w:type="dxa"/>
            <w:vMerge w:val="continue"/>
            <w:tcBorders>
              <w:top w:val="single" w:color="auto" w:sz="4" w:space="0"/>
              <w:left w:val="single" w:color="auto" w:sz="4" w:space="0"/>
              <w:right w:val="single" w:color="auto" w:sz="4" w:space="0"/>
            </w:tcBorders>
            <w:vAlign w:val="center"/>
          </w:tcPr>
          <w:p/>
        </w:tc>
        <w:tc>
          <w:tcPr>
            <w:tcW w:w="1359" w:type="dxa"/>
            <w:vMerge w:val="continue"/>
            <w:tcBorders>
              <w:top w:val="single" w:color="auto" w:sz="4" w:space="0"/>
              <w:left w:val="single" w:color="auto" w:sz="4" w:space="0"/>
              <w:right w:val="single" w:color="auto" w:sz="4" w:space="0"/>
            </w:tcBorders>
            <w:vAlign w:val="center"/>
          </w:tcPr>
          <w:p/>
        </w:tc>
        <w:tc>
          <w:tcPr>
            <w:tcW w:w="1245" w:type="dxa"/>
            <w:vMerge w:val="continue"/>
            <w:tcBorders>
              <w:top w:val="single" w:color="auto" w:sz="4" w:space="0"/>
              <w:left w:val="single" w:color="auto" w:sz="4" w:space="0"/>
              <w:right w:val="single" w:color="auto" w:sz="4" w:space="0"/>
            </w:tcBorders>
            <w:vAlign w:val="center"/>
          </w:tcPr>
          <w:p/>
        </w:tc>
        <w:tc>
          <w:tcPr>
            <w:tcW w:w="1539" w:type="dxa"/>
            <w:vMerge w:val="continue"/>
            <w:tcBorders>
              <w:top w:val="single" w:color="auto" w:sz="4" w:space="0"/>
              <w:left w:val="single" w:color="auto" w:sz="4" w:space="0"/>
              <w:right w:val="single" w:color="auto" w:sz="4" w:space="0"/>
            </w:tcBorders>
            <w:vAlign w:val="center"/>
          </w:tcPr>
          <w:p/>
        </w:tc>
        <w:tc>
          <w:tcPr>
            <w:tcW w:w="735" w:type="dxa"/>
            <w:vMerge w:val="continue"/>
            <w:tcBorders>
              <w:top w:val="single" w:color="auto" w:sz="4" w:space="0"/>
              <w:left w:val="single" w:color="auto" w:sz="4" w:space="0"/>
              <w:right w:val="single" w:color="auto" w:sz="4" w:space="0"/>
            </w:tcBorders>
            <w:vAlign w:val="center"/>
          </w:tcPr>
          <w:p/>
        </w:tc>
        <w:tc>
          <w:tcPr>
            <w:tcW w:w="765" w:type="dxa"/>
            <w:vMerge w:val="continue"/>
            <w:tcBorders>
              <w:top w:val="single" w:color="auto" w:sz="4" w:space="0"/>
              <w:left w:val="single" w:color="auto" w:sz="4" w:space="0"/>
              <w:right w:val="single" w:color="auto" w:sz="4" w:space="0"/>
            </w:tcBorders>
            <w:vAlign w:val="center"/>
          </w:tcPr>
          <w:p/>
        </w:tc>
        <w:tc>
          <w:tcPr>
            <w:tcW w:w="570" w:type="dxa"/>
            <w:vMerge w:val="continue"/>
            <w:tcBorders>
              <w:top w:val="single" w:color="auto" w:sz="4" w:space="0"/>
              <w:left w:val="single" w:color="auto" w:sz="4" w:space="0"/>
              <w:right w:val="single" w:color="auto" w:sz="4" w:space="0"/>
            </w:tcBorders>
            <w:vAlign w:val="center"/>
          </w:tcPr>
          <w:p/>
        </w:tc>
        <w:tc>
          <w:tcPr>
            <w:tcW w:w="525" w:type="dxa"/>
            <w:vMerge w:val="continue"/>
            <w:tcBorders>
              <w:top w:val="single" w:color="auto" w:sz="4" w:space="0"/>
              <w:left w:val="single" w:color="auto" w:sz="4" w:space="0"/>
              <w:right w:val="single" w:color="auto" w:sz="4" w:space="0"/>
            </w:tcBorders>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15</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个体工商户定额公示（公布）公告</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纳税人名称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统一社会信息代码（纳税人识别号）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生产经营地址</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定额项目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行业类别</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核定定额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应纳税额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8.</w:t>
            </w:r>
            <w:r>
              <w:rPr>
                <w:rFonts w:hint="eastAsia" w:ascii="仿宋" w:hAnsi="仿宋" w:eastAsia="仿宋" w:cs="仿宋"/>
                <w:color w:val="000000"/>
                <w:kern w:val="0"/>
                <w:sz w:val="18"/>
                <w:szCs w:val="18"/>
              </w:rPr>
              <w:t>定额执行起止日期</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9.</w:t>
            </w:r>
            <w:r>
              <w:rPr>
                <w:rFonts w:hint="eastAsia" w:ascii="仿宋" w:hAnsi="仿宋" w:eastAsia="仿宋" w:cs="仿宋"/>
                <w:color w:val="000000"/>
                <w:kern w:val="0"/>
                <w:sz w:val="18"/>
                <w:szCs w:val="18"/>
              </w:rPr>
              <w:t>主管税务机关</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《国家税务总局关于印发个体工商户税收定期定额征收管理文书的通知》（国税函〔</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1199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《国家税务总局关于个体工商户定期定额征收管理有关问题的通知》（国税发〔</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183</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5"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16</w:t>
            </w:r>
          </w:p>
        </w:tc>
        <w:tc>
          <w:tcPr>
            <w:tcW w:w="674" w:type="dxa"/>
            <w:vMerge w:val="continue"/>
            <w:tcBorders>
              <w:top w:val="single" w:color="auto" w:sz="4" w:space="0"/>
              <w:left w:val="single" w:color="auto" w:sz="4" w:space="0"/>
              <w:right w:val="single" w:color="auto" w:sz="4" w:space="0"/>
            </w:tcBorders>
            <w:vAlign w:val="center"/>
          </w:tcPr>
          <w:p/>
        </w:tc>
        <w:tc>
          <w:tcPr>
            <w:tcW w:w="1006"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委托代征公告</w:t>
            </w:r>
          </w:p>
        </w:tc>
        <w:tc>
          <w:tcPr>
            <w:tcW w:w="1840"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税务机关和代征人的名称、联系电话</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代征人为行政、事业、企业单位及其他社会组织的，应包括法定代表人或负责人姓名和地址；代征人为自然人的，应包括姓名、户口所在地、现居住地址</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委托代征的范围和期限</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委托代征的税种及附加、计税依据及税率</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税务机关确定的其他需要公告的事项</w:t>
            </w:r>
          </w:p>
        </w:tc>
        <w:tc>
          <w:tcPr>
            <w:tcW w:w="3051"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《国家税务总局关于发布＜委托代征管理办法＞的公告》（国家税务总局公告</w:t>
            </w:r>
            <w:r>
              <w:rPr>
                <w:rFonts w:ascii="仿宋" w:hAnsi="仿宋" w:eastAsia="仿宋" w:cs="仿宋"/>
                <w:color w:val="000000"/>
                <w:kern w:val="0"/>
                <w:sz w:val="18"/>
                <w:szCs w:val="18"/>
              </w:rPr>
              <w:t>2013</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24</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pPr>
              <w:widowControl/>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bl>
    <w:p/>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宋体" w:cs="宋体"/>
          <w:kern w:val="44"/>
          <w:sz w:val="30"/>
          <w:szCs w:val="44"/>
        </w:rPr>
      </w:pPr>
    </w:p>
    <w:p>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六</w:t>
      </w:r>
      <w:r>
        <w:rPr>
          <w:rFonts w:hint="eastAsia" w:ascii="宋体" w:hAnsi="宋体" w:cs="宋体"/>
          <w:kern w:val="44"/>
          <w:sz w:val="30"/>
          <w:szCs w:val="44"/>
        </w:rPr>
        <w:t>）扶贫领域基层政务公开标准目录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96"/>
        <w:gridCol w:w="2730"/>
        <w:gridCol w:w="1575"/>
        <w:gridCol w:w="1980"/>
        <w:gridCol w:w="1215"/>
        <w:gridCol w:w="1484"/>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816"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3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57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1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84"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96"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30" w:type="dxa"/>
            <w:vMerge w:val="continue"/>
            <w:tcBorders>
              <w:top w:val="single" w:color="auto" w:sz="4" w:space="0"/>
              <w:left w:val="single" w:color="auto" w:sz="4" w:space="0"/>
              <w:right w:val="single" w:color="auto" w:sz="4" w:space="0"/>
            </w:tcBorders>
            <w:vAlign w:val="center"/>
          </w:tcPr>
          <w:p/>
        </w:tc>
        <w:tc>
          <w:tcPr>
            <w:tcW w:w="1575" w:type="dxa"/>
            <w:vMerge w:val="continue"/>
            <w:tcBorders>
              <w:top w:val="single" w:color="auto" w:sz="4" w:space="0"/>
              <w:left w:val="single" w:color="auto" w:sz="4" w:space="0"/>
              <w:right w:val="single" w:color="auto" w:sz="4" w:space="0"/>
            </w:tcBorders>
            <w:vAlign w:val="center"/>
          </w:tcPr>
          <w:p/>
        </w:tc>
        <w:tc>
          <w:tcPr>
            <w:tcW w:w="1980" w:type="dxa"/>
            <w:vMerge w:val="continue"/>
            <w:tcBorders>
              <w:top w:val="single" w:color="auto" w:sz="4" w:space="0"/>
              <w:left w:val="single" w:color="auto" w:sz="4" w:space="0"/>
              <w:right w:val="single" w:color="auto" w:sz="4" w:space="0"/>
            </w:tcBorders>
            <w:vAlign w:val="center"/>
          </w:tcPr>
          <w:p/>
        </w:tc>
        <w:tc>
          <w:tcPr>
            <w:tcW w:w="1215" w:type="dxa"/>
            <w:vMerge w:val="continue"/>
            <w:tcBorders>
              <w:top w:val="single" w:color="auto" w:sz="4" w:space="0"/>
              <w:left w:val="single" w:color="auto" w:sz="4" w:space="0"/>
              <w:right w:val="single" w:color="auto" w:sz="4" w:space="0"/>
            </w:tcBorders>
            <w:vAlign w:val="center"/>
          </w:tcPr>
          <w:p/>
        </w:tc>
        <w:tc>
          <w:tcPr>
            <w:tcW w:w="1484" w:type="dxa"/>
            <w:vMerge w:val="continue"/>
            <w:tcBorders>
              <w:top w:val="single" w:color="auto" w:sz="4" w:space="0"/>
              <w:left w:val="single" w:color="auto" w:sz="4" w:space="0"/>
              <w:right w:val="single" w:color="auto" w:sz="4" w:space="0"/>
            </w:tcBorders>
            <w:vAlign w:val="center"/>
          </w:tcP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政策文件</w:t>
            </w: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行政法规、规章</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·中央及地方政府涉及扶贫领域的行政法规</w:t>
            </w:r>
            <w:r>
              <w:rPr>
                <w:rFonts w:ascii="仿宋_GB2312" w:eastAsia="仿宋_GB2312"/>
                <w:color w:val="000000"/>
                <w:sz w:val="18"/>
                <w:szCs w:val="18"/>
              </w:rPr>
              <w:br w:type="textWrapping"/>
            </w:r>
            <w:r>
              <w:rPr>
                <w:rFonts w:hint="eastAsia" w:ascii="仿宋_GB2312" w:eastAsia="仿宋_GB2312"/>
                <w:color w:val="000000"/>
                <w:sz w:val="18"/>
                <w:szCs w:val="18"/>
              </w:rPr>
              <w:t>·中央及地方政府涉及扶贫领域的规章</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区民政局</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规范性文件</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·各级政府及部门涉及扶贫领域的规范性文件</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区民政局</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3</w:t>
            </w:r>
          </w:p>
        </w:tc>
        <w:tc>
          <w:tcPr>
            <w:tcW w:w="720" w:type="dxa"/>
            <w:vMerge w:val="continue"/>
            <w:tcBorders>
              <w:top w:val="single" w:color="auto" w:sz="4" w:space="0"/>
              <w:left w:val="single" w:color="auto" w:sz="4" w:space="0"/>
              <w:right w:val="single" w:color="auto" w:sz="4" w:space="0"/>
            </w:tcBorders>
            <w:vAlign w:val="center"/>
          </w:tcP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其他政策文件</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·涉及扶贫领域其他政策文件</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区民政局</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4</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扶贫资金</w:t>
            </w: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财政专项扶贫资金分配结果</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·资金名称</w:t>
            </w:r>
            <w:r>
              <w:rPr>
                <w:rFonts w:ascii="仿宋_GB2312" w:eastAsia="仿宋_GB2312"/>
                <w:color w:val="000000"/>
                <w:sz w:val="18"/>
                <w:szCs w:val="18"/>
              </w:rPr>
              <w:br w:type="textWrapping"/>
            </w:r>
            <w:r>
              <w:rPr>
                <w:rFonts w:hint="eastAsia" w:ascii="仿宋_GB2312" w:eastAsia="仿宋_GB2312"/>
                <w:color w:val="000000"/>
                <w:sz w:val="18"/>
                <w:szCs w:val="18"/>
              </w:rPr>
              <w:t>·分配结果</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资金分配结果下达</w:t>
            </w:r>
            <w:r>
              <w:rPr>
                <w:rFonts w:ascii="仿宋_GB2312" w:eastAsia="仿宋_GB2312"/>
                <w:color w:val="000000"/>
                <w:sz w:val="18"/>
                <w:szCs w:val="18"/>
              </w:rPr>
              <w:t>15</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5</w:t>
            </w:r>
          </w:p>
        </w:tc>
        <w:tc>
          <w:tcPr>
            <w:tcW w:w="720" w:type="dxa"/>
            <w:vMerge w:val="restart"/>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扶贫资金</w:t>
            </w: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年度计划</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·年度县级扶贫资金项目计划。</w:t>
            </w:r>
            <w:r>
              <w:rPr>
                <w:rFonts w:ascii="仿宋_GB2312" w:eastAsia="仿宋_GB2312"/>
                <w:color w:val="000000"/>
                <w:sz w:val="18"/>
                <w:szCs w:val="18"/>
              </w:rPr>
              <w:br w:type="textWrapping"/>
            </w:r>
            <w:r>
              <w:rPr>
                <w:rFonts w:hint="eastAsia" w:ascii="仿宋_GB2312" w:eastAsia="仿宋_GB2312"/>
                <w:color w:val="000000"/>
                <w:sz w:val="18"/>
                <w:szCs w:val="18"/>
              </w:rPr>
              <w:t>·计划安排情况（资金计划批复文件）</w:t>
            </w:r>
            <w:r>
              <w:rPr>
                <w:rFonts w:ascii="仿宋_GB2312" w:eastAsia="仿宋_GB2312"/>
                <w:color w:val="000000"/>
                <w:sz w:val="18"/>
                <w:szCs w:val="18"/>
              </w:rPr>
              <w:br w:type="textWrapping"/>
            </w:r>
            <w:r>
              <w:rPr>
                <w:rFonts w:hint="eastAsia" w:ascii="仿宋_GB2312" w:eastAsia="仿宋_GB2312"/>
                <w:color w:val="000000"/>
                <w:sz w:val="18"/>
                <w:szCs w:val="18"/>
              </w:rPr>
              <w:t>·计划完成情况（项目建设完成、资金使用、绩效目标和减贫机制实现情况等）</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6</w:t>
            </w:r>
          </w:p>
        </w:tc>
        <w:tc>
          <w:tcPr>
            <w:tcW w:w="720" w:type="dxa"/>
            <w:vMerge w:val="continue"/>
            <w:tcBorders>
              <w:top w:val="single" w:color="auto" w:sz="4" w:space="0"/>
              <w:left w:val="single" w:color="auto" w:sz="4" w:space="0"/>
              <w:right w:val="single" w:color="auto" w:sz="4" w:space="0"/>
            </w:tcBorders>
            <w:vAlign w:val="center"/>
          </w:tcP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精准扶贫贷款</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·扶贫小额信贷的贷款对象、用途、额度、期限、利率等情况</w:t>
            </w:r>
            <w:r>
              <w:rPr>
                <w:rFonts w:ascii="仿宋_GB2312" w:eastAsia="仿宋_GB2312"/>
                <w:color w:val="000000"/>
                <w:sz w:val="18"/>
                <w:szCs w:val="18"/>
              </w:rPr>
              <w:br w:type="textWrapping"/>
            </w:r>
            <w:r>
              <w:rPr>
                <w:rFonts w:hint="eastAsia" w:ascii="仿宋_GB2312" w:eastAsia="仿宋_GB2312"/>
                <w:color w:val="000000"/>
                <w:sz w:val="18"/>
                <w:szCs w:val="18"/>
              </w:rPr>
              <w:t>·享受扶贫贴息贷款的企业、专业合作社等经营主体的名称、贷款额度、期限、贴息规模和带贫减贫机制等情况</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每年底前集中公布</w:t>
            </w:r>
            <w:r>
              <w:rPr>
                <w:rFonts w:ascii="仿宋_GB2312" w:eastAsia="仿宋_GB2312"/>
                <w:color w:val="000000"/>
                <w:sz w:val="18"/>
                <w:szCs w:val="18"/>
              </w:rPr>
              <w:t>1</w:t>
            </w:r>
            <w:r>
              <w:rPr>
                <w:rFonts w:hint="eastAsia" w:ascii="仿宋_GB2312" w:eastAsia="仿宋_GB2312"/>
                <w:color w:val="000000"/>
                <w:sz w:val="18"/>
                <w:szCs w:val="18"/>
              </w:rPr>
              <w:t>次当年情况</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7</w:t>
            </w:r>
          </w:p>
        </w:tc>
        <w:tc>
          <w:tcPr>
            <w:tcW w:w="720" w:type="dxa"/>
            <w:vMerge w:val="restart"/>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扶贫项目</w:t>
            </w: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项目库建设</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·申报内容（含项目名称、项目类别、建设性质、实施地点、资金规模和筹资方式、受益对象、绩效目标、群众参与和带贫减贫机制等）</w:t>
            </w:r>
            <w:r>
              <w:rPr>
                <w:rFonts w:ascii="仿宋_GB2312" w:eastAsia="仿宋_GB2312"/>
                <w:color w:val="000000"/>
                <w:sz w:val="18"/>
                <w:szCs w:val="18"/>
              </w:rPr>
              <w:br w:type="textWrapping"/>
            </w:r>
            <w:r>
              <w:rPr>
                <w:rFonts w:hint="eastAsia" w:ascii="仿宋_GB2312" w:eastAsia="仿宋_GB2312"/>
                <w:color w:val="000000"/>
                <w:sz w:val="18"/>
                <w:szCs w:val="18"/>
              </w:rPr>
              <w:t>·申报流程（村申报、乡审核、</w:t>
            </w:r>
            <w:r>
              <w:rPr>
                <w:rFonts w:hint="eastAsia" w:ascii="仿宋_GB2312" w:eastAsia="仿宋_GB2312"/>
                <w:color w:val="000000"/>
                <w:sz w:val="18"/>
                <w:szCs w:val="18"/>
                <w:lang w:eastAsia="zh-CN"/>
              </w:rPr>
              <w:t>区</w:t>
            </w:r>
            <w:r>
              <w:rPr>
                <w:rFonts w:hint="eastAsia" w:ascii="仿宋_GB2312" w:eastAsia="仿宋_GB2312"/>
                <w:color w:val="000000"/>
                <w:sz w:val="18"/>
                <w:szCs w:val="18"/>
              </w:rPr>
              <w:t>审定）</w:t>
            </w:r>
            <w:r>
              <w:rPr>
                <w:rFonts w:ascii="仿宋_GB2312" w:eastAsia="仿宋_GB2312"/>
                <w:color w:val="000000"/>
                <w:sz w:val="18"/>
                <w:szCs w:val="18"/>
              </w:rPr>
              <w:br w:type="textWrapping"/>
            </w:r>
            <w:r>
              <w:rPr>
                <w:rFonts w:hint="eastAsia" w:ascii="仿宋_GB2312" w:eastAsia="仿宋_GB2312"/>
                <w:color w:val="000000"/>
                <w:sz w:val="18"/>
                <w:szCs w:val="18"/>
              </w:rPr>
              <w:t>·申报结果（项目库规模、项目名单）</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《国务院扶贫办、财政部关于完善扶贫资金项目公告公示制度的指导意见》《国务院扶贫办关于完善县级脱贫攻坚项目库建设的指导意见》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年度计划</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项目名称、实施地点、建设任务、补助标准、资金来源及规模、实施期限、实施单位、责任人、绩效目标、带贫减贫机制等</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扶贫项目</w:t>
            </w: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项目实施</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·扶贫项目实施前情况（包括项目名称、资金来源、实施期限、绩效目标、实施单位及责任人、受益对象和带贫减贫机制等）</w:t>
            </w:r>
            <w:r>
              <w:rPr>
                <w:rFonts w:ascii="仿宋_GB2312" w:eastAsia="仿宋_GB2312"/>
                <w:color w:val="000000"/>
                <w:sz w:val="18"/>
                <w:szCs w:val="18"/>
              </w:rPr>
              <w:br w:type="textWrapping"/>
            </w:r>
            <w:r>
              <w:rPr>
                <w:rFonts w:hint="eastAsia" w:ascii="仿宋_GB2312" w:eastAsia="仿宋_GB2312"/>
                <w:color w:val="000000"/>
                <w:sz w:val="18"/>
                <w:szCs w:val="18"/>
              </w:rPr>
              <w:t>·扶贫项目实施后情况（包括资金使用、项目实施结果、检查验收结果、绩效目标实现情况等）</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10</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监督管理</w:t>
            </w:r>
          </w:p>
        </w:tc>
        <w:tc>
          <w:tcPr>
            <w:tcW w:w="1096"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监督举报</w:t>
            </w:r>
          </w:p>
        </w:tc>
        <w:tc>
          <w:tcPr>
            <w:tcW w:w="273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监督电话（</w:t>
            </w:r>
            <w:r>
              <w:rPr>
                <w:rFonts w:ascii="仿宋_GB2312" w:eastAsia="仿宋_GB2312"/>
                <w:color w:val="000000"/>
                <w:sz w:val="18"/>
                <w:szCs w:val="18"/>
              </w:rPr>
              <w:t>12317</w:t>
            </w:r>
            <w:r>
              <w:rPr>
                <w:rFonts w:hint="eastAsia" w:ascii="仿宋_GB2312" w:eastAsia="仿宋_GB2312"/>
                <w:color w:val="000000"/>
                <w:sz w:val="18"/>
                <w:szCs w:val="18"/>
              </w:rPr>
              <w:t>）</w:t>
            </w:r>
          </w:p>
        </w:tc>
        <w:tc>
          <w:tcPr>
            <w:tcW w:w="157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区民政局</w:t>
            </w:r>
            <w:r>
              <w:rPr>
                <w:rFonts w:hint="eastAsia" w:ascii="仿宋_GB2312" w:eastAsia="仿宋_GB2312"/>
                <w:color w:val="000000"/>
                <w:sz w:val="18"/>
                <w:szCs w:val="18"/>
              </w:rPr>
              <w:t>、乡镇政府</w:t>
            </w:r>
          </w:p>
        </w:tc>
        <w:tc>
          <w:tcPr>
            <w:tcW w:w="1484" w:type="dxa"/>
            <w:tcBorders>
              <w:top w:val="single" w:color="auto" w:sz="4" w:space="0"/>
              <w:left w:val="single" w:color="auto" w:sz="4" w:space="0"/>
              <w:right w:val="single" w:color="auto" w:sz="4" w:space="0"/>
            </w:tcBorders>
            <w:vAlign w:val="center"/>
          </w:tcPr>
          <w:p>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bl>
    <w:p/>
    <w:bookmarkEnd w:id="0"/>
    <w:p/>
    <w:sectPr>
      <w:headerReference r:id="rId3" w:type="default"/>
      <w:footerReference r:id="rId4" w:type="default"/>
      <w:pgSz w:w="16783" w:h="11850" w:orient="landscape"/>
      <w:pgMar w:top="1701" w:right="1417" w:bottom="1417"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0000000000000000000"/>
    <w:charset w:val="86"/>
    <w:family w:val="auto"/>
    <w:pitch w:val="default"/>
    <w:sig w:usb0="00000000" w:usb1="00000000" w:usb2="00000010" w:usb3="00000000" w:csb0="00040000" w:csb1="00000000"/>
  </w:font>
  <w:font w:name="?????_GBK">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PMingLiU">
    <w:panose1 w:val="02020500000000000000"/>
    <w:charset w:val="88"/>
    <w:family w:val="auto"/>
    <w:pitch w:val="default"/>
    <w:sig w:usb0="A00002FF" w:usb1="28CFFCFA" w:usb2="00000016" w:usb3="00000000" w:csb0="0010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3665" distR="113665" simplePos="0" relativeHeight="251659264" behindDoc="0" locked="0" layoutInCell="1" allowOverlap="1">
              <wp:simplePos x="0" y="0"/>
              <wp:positionH relativeFrom="margin">
                <wp:posOffset>4309745</wp:posOffset>
              </wp:positionH>
              <wp:positionV relativeFrom="paragraph">
                <wp:posOffset>38100</wp:posOffset>
              </wp:positionV>
              <wp:extent cx="295275" cy="139700"/>
              <wp:effectExtent l="0" t="0" r="0" b="0"/>
              <wp:wrapNone/>
              <wp:docPr id="1" name="文本框 1"/>
              <wp:cNvGraphicFramePr/>
              <a:graphic xmlns:a="http://schemas.openxmlformats.org/drawingml/2006/main">
                <a:graphicData uri="http://schemas.microsoft.com/office/word/2010/wordprocessingShape">
                  <wps:wsp>
                    <wps:cNvSpPr/>
                    <wps:spPr>
                      <a:xfrm>
                        <a:off x="0" y="0"/>
                        <a:ext cx="295465" cy="139560"/>
                      </a:xfrm>
                      <a:prstGeom prst="rect">
                        <a:avLst/>
                      </a:prstGeom>
                      <a:noFill/>
                      <a:ln w="9525" cap="flat" cmpd="sng">
                        <a:noFill/>
                        <a:prstDash val="solid"/>
                        <a:round/>
                      </a:ln>
                    </wps:spPr>
                    <wps:txbx>
                      <w:txbxContent>
                        <w:p>
                          <w:pPr>
                            <w:snapToGrid w:val="0"/>
                            <w:rPr>
                              <w:sz w:val="18"/>
                            </w:rPr>
                          </w:pPr>
                          <w:r>
                            <w:fldChar w:fldCharType="begin"/>
                          </w:r>
                          <w:r>
                            <w:instrText xml:space="preserve"> PAGE  \* MERGEFORMAT </w:instrText>
                          </w:r>
                          <w:r>
                            <w:fldChar w:fldCharType="separate"/>
                          </w:r>
                          <w:r>
                            <w:rPr>
                              <w:sz w:val="18"/>
                            </w:rPr>
                            <w:t>-</w:t>
                          </w:r>
                          <w:r>
                            <w:t xml:space="preserve"> 1 -</w:t>
                          </w:r>
                          <w:r>
                            <w:fldChar w:fldCharType="end"/>
                          </w:r>
                        </w:p>
                      </w:txbxContent>
                    </wps:txbx>
                    <wps:bodyPr vert="horz" wrap="none" lIns="0" tIns="0" rIns="0" bIns="0" anchor="t" anchorCtr="0" upright="1">
                      <a:spAutoFit/>
                    </wps:bodyPr>
                  </wps:wsp>
                </a:graphicData>
              </a:graphic>
            </wp:anchor>
          </w:drawing>
        </mc:Choice>
        <mc:Fallback>
          <w:pict>
            <v:rect id="文本框 1" o:spid="_x0000_s1026" o:spt="1" style="position:absolute;left:0pt;margin-left:339.35pt;margin-top:3pt;height:11pt;width:23.25pt;mso-position-horizontal-relative:margin;mso-wrap-style:none;z-index:251659264;mso-width-relative:page;mso-height-relative:page;" filled="f" stroked="f" coordsize="21600,21600" o:gfxdata="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xpykYtUAAAAIAQAADwAAAAAAAAABACAAAAAiAAAAZHJzL2Rv&#10;d25yZXYueG1sUEsBAhQAFAAAAAgAh07iQJEoyMQEAgAA9AMAAA4AAAAAAAAAAQAgAAAAJAEAAGRy&#10;cy9lMm9Eb2MueG1sUEsFBgAAAAAGAAYAWQEAAJoFAAAAAA==&#10;">
              <v:fill on="f" focussize="0,0"/>
              <v:stroke on="f" joinstyle="round"/>
              <v:imagedata o:title=""/>
              <o:lock v:ext="edit" aspectratio="f"/>
              <v:textbox inset="0mm,0mm,0mm,0mm" style="mso-fit-shape-to-text:t;">
                <w:txbxContent>
                  <w:p>
                    <w:pPr>
                      <w:snapToGrid w:val="0"/>
                      <w:rPr>
                        <w:sz w:val="18"/>
                      </w:rPr>
                    </w:pPr>
                    <w:r>
                      <w:fldChar w:fldCharType="begin"/>
                    </w:r>
                    <w:r>
                      <w:instrText xml:space="preserve"> PAGE  \* MERGEFORMAT </w:instrText>
                    </w:r>
                    <w:r>
                      <w:fldChar w:fldCharType="separate"/>
                    </w:r>
                    <w:r>
                      <w:rPr>
                        <w:sz w:val="18"/>
                      </w:rPr>
                      <w:t>-</w:t>
                    </w:r>
                    <w:r>
                      <w:t xml:space="preserve"> 1 -</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C9364D"/>
    <w:multiLevelType w:val="singleLevel"/>
    <w:tmpl w:val="A0C9364D"/>
    <w:lvl w:ilvl="0" w:tentative="0">
      <w:start w:val="1"/>
      <w:numFmt w:val="decimal"/>
      <w:suff w:val="nothing"/>
      <w:lvlText w:val="%1、"/>
      <w:lvlJc w:val="left"/>
      <w:pPr>
        <w:ind w:left="0" w:firstLine="0"/>
      </w:pPr>
    </w:lvl>
  </w:abstractNum>
  <w:abstractNum w:abstractNumId="1">
    <w:nsid w:val="FF850CCB"/>
    <w:multiLevelType w:val="singleLevel"/>
    <w:tmpl w:val="FF850CCB"/>
    <w:lvl w:ilvl="0" w:tentative="0">
      <w:start w:val="1"/>
      <w:numFmt w:val="decimal"/>
      <w:lvlText w:val="%1."/>
      <w:lvlJc w:val="left"/>
      <w:pPr>
        <w:tabs>
          <w:tab w:val="left" w:pos="312"/>
        </w:tabs>
        <w:ind w:left="0" w:firstLine="0"/>
      </w:pPr>
    </w:lvl>
  </w:abstractNum>
  <w:abstractNum w:abstractNumId="2">
    <w:nsid w:val="0000000A"/>
    <w:multiLevelType w:val="singleLevel"/>
    <w:tmpl w:val="0000000A"/>
    <w:lvl w:ilvl="0" w:tentative="0">
      <w:start w:val="1"/>
      <w:numFmt w:val="decimal"/>
      <w:suff w:val="nothing"/>
      <w:lvlText w:val="%1、"/>
      <w:lvlJc w:val="left"/>
      <w:pPr>
        <w:ind w:left="0" w:firstLine="0"/>
      </w:pPr>
      <w:rPr>
        <w:rFonts w:cs="Times New Roman"/>
      </w:rPr>
    </w:lvl>
  </w:abstractNum>
  <w:abstractNum w:abstractNumId="3">
    <w:nsid w:val="0000000B"/>
    <w:multiLevelType w:val="singleLevel"/>
    <w:tmpl w:val="0000000B"/>
    <w:lvl w:ilvl="0" w:tentative="0">
      <w:start w:val="2"/>
      <w:numFmt w:val="decimal"/>
      <w:suff w:val="nothing"/>
      <w:lvlText w:val="%1、"/>
      <w:lvlJc w:val="left"/>
      <w:pPr>
        <w:ind w:left="0" w:firstLine="0"/>
      </w:pPr>
      <w:rPr>
        <w:rFonts w:cs="Times New Roman"/>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4"/>
  </w:compat>
  <w:docVars>
    <w:docVar w:name="commondata" w:val="eyJoZGlkIjoiNjI1MWE0ZWFjMWNmZGMzMDg2ZDMzMzQxMTdmMzgzYTEifQ=="/>
  </w:docVars>
  <w:rsids>
    <w:rsidRoot w:val="00000000"/>
    <w:rsid w:val="1E3E38F7"/>
    <w:rsid w:val="21B04A82"/>
    <w:rsid w:val="42DC2669"/>
    <w:rsid w:val="42DC702D"/>
    <w:rsid w:val="72B1108D"/>
    <w:rsid w:val="776706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autoRedefine/>
    <w:qFormat/>
    <w:uiPriority w:val="0"/>
    <w:pPr>
      <w:keepNext/>
      <w:keepLines/>
      <w:widowControl w:val="0"/>
      <w:spacing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10">
    <w:name w:val="Default Paragraph Font"/>
    <w:autoRedefine/>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footer"/>
    <w:basedOn w:val="1"/>
    <w:autoRedefine/>
    <w:qFormat/>
    <w:uiPriority w:val="0"/>
    <w:pPr>
      <w:tabs>
        <w:tab w:val="center" w:pos="4153"/>
        <w:tab w:val="right" w:pos="8306"/>
      </w:tabs>
      <w:snapToGrid w:val="0"/>
      <w:jc w:val="left"/>
    </w:pPr>
    <w:rPr>
      <w:sz w:val="18"/>
      <w:szCs w:val="18"/>
    </w:rPr>
  </w:style>
  <w:style w:type="paragraph" w:styleId="6">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7">
    <w:name w:val="toc 1"/>
    <w:basedOn w:val="1"/>
    <w:next w:val="1"/>
    <w:autoRedefine/>
    <w:qFormat/>
    <w:uiPriority w:val="0"/>
    <w:pPr>
      <w:tabs>
        <w:tab w:val="right" w:leader="dot" w:pos="14760"/>
      </w:tabs>
      <w:spacing w:line="700" w:lineRule="exact"/>
      <w:ind w:left="171" w:leftChars="171" w:right="158" w:rightChars="158"/>
    </w:pPr>
  </w:style>
  <w:style w:type="paragraph" w:styleId="8">
    <w:name w:val="Normal (Web)"/>
    <w:basedOn w:val="1"/>
    <w:autoRedefine/>
    <w:qFormat/>
    <w:uiPriority w:val="0"/>
    <w:pPr>
      <w:jc w:val="left"/>
    </w:pPr>
    <w:rPr>
      <w:kern w:val="0"/>
      <w:sz w:val="24"/>
    </w:rPr>
  </w:style>
  <w:style w:type="character" w:styleId="11">
    <w:name w:val="page number"/>
    <w:basedOn w:val="10"/>
    <w:autoRedefine/>
    <w:qFormat/>
    <w:uiPriority w:val="0"/>
  </w:style>
  <w:style w:type="character" w:styleId="12">
    <w:name w:val="Hyperlink"/>
    <w:basedOn w:val="10"/>
    <w:uiPriority w:val="0"/>
    <w:rPr>
      <w:rFonts w:cs="Times New Roman"/>
      <w:color w:val="0000FF"/>
      <w:u w:val="single"/>
    </w:rPr>
  </w:style>
  <w:style w:type="character" w:customStyle="1" w:styleId="13">
    <w:name w:val="font11"/>
    <w:uiPriority w:val="0"/>
    <w:rPr>
      <w:rFonts w:ascii="仿宋_GB2312" w:eastAsia="仿宋_GB2312"/>
      <w:color w:val="0000FF"/>
      <w:sz w:val="18"/>
      <w:u w:val="none"/>
    </w:rPr>
  </w:style>
  <w:style w:type="character" w:customStyle="1" w:styleId="14">
    <w:name w:val="font31"/>
    <w:uiPriority w:val="0"/>
    <w:rPr>
      <w:rFonts w:ascii="宋体" w:hAnsi="宋体" w:eastAsia="宋体"/>
      <w:color w:val="0000FF"/>
      <w:sz w:val="21"/>
      <w:u w:val="none"/>
    </w:rPr>
  </w:style>
  <w:style w:type="paragraph" w:customStyle="1" w:styleId="15">
    <w:name w:val="列出段落"/>
    <w:basedOn w:val="1"/>
    <w:uiPriority w:val="0"/>
    <w:pPr>
      <w:ind w:firstLine="200" w:firstLineChars="200"/>
    </w:pPr>
    <w:rPr>
      <w:rFonts w:ascii="等线" w:hAnsi="等线" w:eastAsia="等线"/>
    </w:rPr>
  </w:style>
  <w:style w:type="paragraph" w:customStyle="1" w:styleId="16">
    <w:name w:val="列出段落1"/>
    <w:uiPriority w:val="0"/>
    <w:pPr>
      <w:widowControl w:val="0"/>
      <w:ind w:firstLine="200" w:firstLineChars="200"/>
      <w:jc w:val="both"/>
    </w:pPr>
    <w:rPr>
      <w:rFonts w:ascii="Calibri" w:hAnsi="Calibri" w:eastAsia="宋体" w:cs="Times New Roman"/>
      <w:kern w:val="2"/>
      <w:sz w:val="21"/>
      <w:szCs w:val="22"/>
      <w:lang w:val="en-US" w:eastAsia="zh-CN" w:bidi="ar-SA"/>
    </w:rPr>
  </w:style>
  <w:style w:type="paragraph" w:customStyle="1" w:styleId="17">
    <w:name w:val="其他"/>
    <w:basedOn w:val="1"/>
    <w:uiPriority w:val="0"/>
    <w:pPr>
      <w:spacing w:line="320" w:lineRule="exact"/>
      <w:jc w:val="center"/>
    </w:pPr>
    <w:rPr>
      <w:rFonts w:ascii="宋体" w:hAnsi="宋体" w:cs="宋体"/>
    </w:rPr>
  </w:style>
  <w:style w:type="paragraph" w:customStyle="1" w:styleId="18">
    <w:name w:val="其他 (2)"/>
    <w:basedOn w:val="1"/>
    <w:uiPriority w:val="0"/>
    <w:pPr>
      <w:jc w:val="center"/>
    </w:pPr>
    <w:rPr>
      <w:rFonts w:ascii="宋体" w:hAnsi="宋体" w:cs="宋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27F9CF6-EBB1-41C5-9E30-C89861718947}">
  <ds:schemaRefs/>
</ds:datastoreItem>
</file>

<file path=docProps/app.xml><?xml version="1.0" encoding="utf-8"?>
<Properties xmlns="http://schemas.openxmlformats.org/officeDocument/2006/extended-properties" xmlns:vt="http://schemas.openxmlformats.org/officeDocument/2006/docPropsVTypes">
  <Template>Normal.eit</Template>
  <Pages>494</Pages>
  <Words>0</Words>
  <Characters>230629</Characters>
  <Lines>0</Lines>
  <Paragraphs>201</Paragraphs>
  <TotalTime>133</TotalTime>
  <ScaleCrop>false</ScaleCrop>
  <LinksUpToDate>false</LinksUpToDate>
  <CharactersWithSpaces>307506</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༄幸福会发芽</cp:lastModifiedBy>
  <cp:lastPrinted>2020-08-17T07:23:00Z</cp:lastPrinted>
  <dcterms:modified xsi:type="dcterms:W3CDTF">2024-01-16T03:44:21Z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17DE38FC68714256BE22B04C40A34CDD_12</vt:lpwstr>
  </property>
</Properties>
</file>