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val="0"/>
        <w:spacing w:line="560" w:lineRule="exact"/>
        <w:ind w:left="0" w:leftChars="0" w:right="0"/>
        <w:textAlignment w:val="auto"/>
        <w:outlineLvl w:val="9"/>
        <w:rPr>
          <w:rFonts w:ascii="仿宋_GB2312" w:eastAsia="仿宋_GB2312"/>
          <w:sz w:val="32"/>
          <w:szCs w:val="32"/>
        </w:rPr>
      </w:pPr>
      <w:r>
        <w:rPr>
          <w:rFonts w:hint="eastAsia" w:ascii="仿宋_GB2312" w:eastAsia="仿宋_GB2312"/>
          <w:sz w:val="32"/>
          <w:szCs w:val="32"/>
        </w:rPr>
        <w:t>附件</w:t>
      </w:r>
      <w:r>
        <w:rPr>
          <w:rFonts w:hint="eastAsia" w:ascii="仿宋_GB2312" w:eastAsia="仿宋_GB2312"/>
          <w:sz w:val="32"/>
          <w:szCs w:val="32"/>
          <w:lang w:val="en-US" w:eastAsia="zh-CN"/>
        </w:rPr>
        <w:t>3</w:t>
      </w:r>
    </w:p>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eastAsia="zh-CN"/>
        </w:rPr>
        <w:t>住建局部门</w:t>
      </w:r>
      <w:r>
        <w:rPr>
          <w:rFonts w:hint="eastAsia" w:ascii="宋体" w:hAnsi="宋体" w:cs="宋体"/>
          <w:b/>
          <w:bCs/>
          <w:sz w:val="44"/>
          <w:szCs w:val="44"/>
          <w:lang w:val="en-US" w:eastAsia="zh-CN"/>
        </w:rPr>
        <w:t>2022年度整体支出绩效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highlight w:val="green"/>
        </w:rPr>
      </w:pPr>
    </w:p>
    <w:p>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市委市政府《关于全面落实预算绩效管理的实施意见》（石发﹝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住建局部门</w:t>
      </w:r>
      <w:r>
        <w:rPr>
          <w:rFonts w:hint="eastAsia" w:ascii="仿宋" w:hAnsi="仿宋" w:eastAsia="仿宋"/>
          <w:sz w:val="32"/>
          <w:szCs w:val="32"/>
          <w:lang w:val="en-US" w:eastAsia="zh-CN"/>
        </w:rPr>
        <w:t>2022年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jc w:val="both"/>
        <w:textAlignment w:val="auto"/>
        <w:outlineLvl w:val="9"/>
        <w:rPr>
          <w:rFonts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sz w:val="32"/>
          <w:szCs w:val="32"/>
        </w:rPr>
        <w:t>根据《矿区住房和城乡建设局职能配置、内设机构和人员编制规定》， 矿区住房和城乡建设局的主要职责是：</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1、</w:t>
      </w:r>
      <w:r>
        <w:rPr>
          <w:rFonts w:ascii="仿宋" w:hAnsi="仿宋" w:eastAsia="仿宋"/>
          <w:sz w:val="32"/>
          <w:szCs w:val="32"/>
        </w:rPr>
        <w:t>贯彻执行国家和省、市住房城乡建设工作的方针、政策和法律、法规,起草住房城乡建设方面规范性文件；拟订全区城乡和建设发展规划并组织实施；研究提出住房和城乡建设领域重大问题的政策建议；负责住房和城乡建设行业安全生产监管。</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61" w:firstLineChars="113"/>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2、</w:t>
      </w:r>
      <w:r>
        <w:rPr>
          <w:rFonts w:ascii="仿宋" w:hAnsi="仿宋" w:eastAsia="仿宋"/>
          <w:sz w:val="32"/>
          <w:szCs w:val="32"/>
        </w:rPr>
        <w:t>拟订城镇住房保障相关规范性文件并组织实施；组织编制、实施城镇住房保障发展规划和年度计划；负责房改房、经济适用住房出售工作；会同有关部门做好中央和省、市、区保障性安居工程资金安排并监督实施。</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61" w:firstLineChars="113"/>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3、</w:t>
      </w:r>
      <w:r>
        <w:rPr>
          <w:rFonts w:ascii="仿宋" w:hAnsi="仿宋" w:eastAsia="仿宋"/>
          <w:sz w:val="32"/>
          <w:szCs w:val="32"/>
        </w:rPr>
        <w:t>负责推进住房制度改革。结合市住房政策拟订符合区情的住房政策，指导住房建设，推动住房制度改革；拟订住房建设发展规划并组织实施。</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61" w:firstLineChars="113"/>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4、</w:t>
      </w:r>
      <w:r>
        <w:rPr>
          <w:rFonts w:ascii="仿宋" w:hAnsi="仿宋" w:eastAsia="仿宋"/>
          <w:sz w:val="32"/>
          <w:szCs w:val="32"/>
        </w:rPr>
        <w:t>负责全区房地产市场的监督管理。会同有关部门拟订房地产市场调控规范性文件并监督执行；拟订房地产业行业发展规划、产业规范性文件，制定房地产开发、房屋交易、房屋租赁、房地产估价与经纪管理的规章制度并监督实施。</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61" w:firstLineChars="113"/>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5、</w:t>
      </w:r>
      <w:r>
        <w:rPr>
          <w:rFonts w:ascii="仿宋" w:hAnsi="仿宋" w:eastAsia="仿宋"/>
          <w:sz w:val="32"/>
          <w:szCs w:val="32"/>
        </w:rPr>
        <w:t>负责建筑市场的监督管理。拟订建筑市场发展规划和管理制度并监督实施；负责建筑劳务市场管理；负责建筑业企业、勘察设计企业、造价咨询企业、施工图设计文件审查机构、监理机构、检测机构和招投标代理机构的监督指导；负责施工图审查机构的监督管理；负责建设工程消防、人防设计相关工作的监督管理；参与编制地方建设工程量计量规范，收集发布工程材料、人工、机械设备使用等市场价格信息。</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61" w:firstLineChars="113"/>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6、</w:t>
      </w:r>
      <w:r>
        <w:rPr>
          <w:rFonts w:ascii="仿宋" w:hAnsi="仿宋" w:eastAsia="仿宋"/>
          <w:sz w:val="32"/>
          <w:szCs w:val="32"/>
        </w:rPr>
        <w:t>统筹编制城区市政基础设施建设中长期发展规划，会同有关部门拟订本级城建计划并组织实施；负责组织实施区政府安排的市政基础设施建设工作（包括城市路网的新建、改建、扩建工程）。</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61" w:firstLineChars="113"/>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7、</w:t>
      </w:r>
      <w:r>
        <w:rPr>
          <w:rFonts w:ascii="仿宋" w:hAnsi="仿宋" w:eastAsia="仿宋"/>
          <w:sz w:val="32"/>
          <w:szCs w:val="32"/>
        </w:rPr>
        <w:t>指导推进新型城镇化（国家新型城镇化综合试点）和县城建设工作。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61" w:firstLineChars="113"/>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8、</w:t>
      </w:r>
      <w:r>
        <w:rPr>
          <w:rFonts w:ascii="仿宋" w:hAnsi="仿宋" w:eastAsia="仿宋"/>
          <w:sz w:val="32"/>
          <w:szCs w:val="32"/>
        </w:rPr>
        <w:t>指导村镇建设工作。指导各乡镇和村庄建设，指导乡村建筑风貌管控；指导农村住房建设、住房安全及危房改造；指导重点镇和特色小城镇建设工作；指导历史文化名城（镇、村）保护工作。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61" w:firstLineChars="113"/>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9、</w:t>
      </w:r>
      <w:r>
        <w:rPr>
          <w:rFonts w:ascii="仿宋" w:hAnsi="仿宋" w:eastAsia="仿宋"/>
          <w:sz w:val="32"/>
          <w:szCs w:val="32"/>
        </w:rPr>
        <w:t>负责建筑工程质量安全监督。监督实施建筑工程质量、施工安全、竣工验收政策和规章制度；组织实施工程建设实施阶段的国家标准及国家统一的行业标准；组织或参与工程质量、安全事故的调查处理。</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61" w:firstLineChars="113"/>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10、</w:t>
      </w:r>
      <w:r>
        <w:rPr>
          <w:rFonts w:ascii="仿宋" w:hAnsi="仿宋" w:eastAsia="仿宋"/>
          <w:sz w:val="32"/>
          <w:szCs w:val="32"/>
        </w:rPr>
        <w:t>负责推进建筑节能工作。贯彻落实建设行业科技、装配式建筑、绿色建筑发展规划和建筑节能管理制度；负责全区建筑节能减排、绿色建筑发展、墙体材料革新、既有居住建筑节能改造、可再生能源利用等工作。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61" w:firstLineChars="113"/>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11、</w:t>
      </w:r>
      <w:r>
        <w:rPr>
          <w:rFonts w:ascii="仿宋" w:hAnsi="仿宋" w:eastAsia="仿宋"/>
          <w:sz w:val="32"/>
          <w:szCs w:val="32"/>
        </w:rPr>
        <w:t>拟订物业行业发展规划并组织实施;拟订物业行业管理办法，负责监督管理住宅专项维修资金的归集、使用工作；负责前期物业管理招投标备案及过程监管工作；负责全区老旧住宅小区整治工作和住宅室内装饰装修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61" w:firstLineChars="113"/>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12、</w:t>
      </w:r>
      <w:r>
        <w:rPr>
          <w:rFonts w:ascii="仿宋" w:hAnsi="仿宋" w:eastAsia="仿宋"/>
          <w:sz w:val="32"/>
          <w:szCs w:val="32"/>
        </w:rPr>
        <w:t>负责贯彻落实国有土地上房屋征收、城市危房管理政策并组织实施；拟订区国有土地上房屋征收计划，负责区级房屋征收工作；负责城市危房管理和城市危房鉴定工作；负责拟订区棚户区改造规划、年度计划，制定区棚户区改造方案并贯彻实施；完成区政府交办的“城中村”改造相关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61" w:firstLineChars="113"/>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13、</w:t>
      </w:r>
      <w:r>
        <w:rPr>
          <w:rFonts w:ascii="仿宋" w:hAnsi="仿宋" w:eastAsia="仿宋"/>
          <w:sz w:val="32"/>
          <w:szCs w:val="32"/>
        </w:rPr>
        <w:t>拟订地下综合管廊中长期建设计划，制定地下综合管廊运营、维护管理办法和配套政策；监督综合管廊运营和维护管理工作。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61" w:firstLineChars="113"/>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14、</w:t>
      </w:r>
      <w:r>
        <w:rPr>
          <w:rFonts w:ascii="仿宋" w:hAnsi="仿宋" w:eastAsia="仿宋"/>
          <w:sz w:val="32"/>
          <w:szCs w:val="32"/>
        </w:rPr>
        <w:t>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61" w:firstLineChars="113"/>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15、</w:t>
      </w:r>
      <w:r>
        <w:rPr>
          <w:rFonts w:ascii="仿宋" w:hAnsi="仿宋" w:eastAsia="仿宋"/>
          <w:sz w:val="32"/>
          <w:szCs w:val="32"/>
        </w:rPr>
        <w:t>负责住房和城乡建设行业人才队伍建设。</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61" w:firstLineChars="113"/>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16、</w:t>
      </w:r>
      <w:r>
        <w:rPr>
          <w:rFonts w:ascii="仿宋" w:hAnsi="仿宋" w:eastAsia="仿宋"/>
          <w:sz w:val="32"/>
          <w:szCs w:val="32"/>
        </w:rPr>
        <w:t>负责各类房屋建筑及其附属设施和城市市政设施建设工程的抗震设防监督管理。</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61" w:firstLineChars="113"/>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17、</w:t>
      </w:r>
      <w:r>
        <w:rPr>
          <w:rFonts w:ascii="仿宋" w:hAnsi="仿宋" w:eastAsia="仿宋"/>
          <w:sz w:val="32"/>
          <w:szCs w:val="32"/>
        </w:rPr>
        <w:t>负责城市建设档案监督管理工作。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61" w:firstLineChars="113"/>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18、</w:t>
      </w:r>
      <w:r>
        <w:rPr>
          <w:rFonts w:ascii="仿宋" w:hAnsi="仿宋" w:eastAsia="仿宋"/>
          <w:sz w:val="32"/>
          <w:szCs w:val="32"/>
        </w:rPr>
        <w:t>会同有关部门做好支油、支铁建设协调工作。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61" w:firstLineChars="113"/>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19、</w:t>
      </w:r>
      <w:r>
        <w:rPr>
          <w:rFonts w:ascii="仿宋" w:hAnsi="仿宋" w:eastAsia="仿宋"/>
          <w:sz w:val="32"/>
          <w:szCs w:val="32"/>
        </w:rPr>
        <w:t>负责直管公有住房的资产、售房款和售后维修资金的管理工作。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61" w:firstLineChars="113"/>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20、</w:t>
      </w:r>
      <w:r>
        <w:rPr>
          <w:rFonts w:ascii="仿宋" w:hAnsi="仿宋" w:eastAsia="仿宋"/>
          <w:sz w:val="32"/>
          <w:szCs w:val="32"/>
        </w:rPr>
        <w:t>会同有关部门，做好城市建设行业涉及本部门的相关专业规划的编制和实施工作。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61" w:firstLineChars="113"/>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21、</w:t>
      </w:r>
      <w:r>
        <w:rPr>
          <w:rFonts w:ascii="仿宋" w:hAnsi="仿宋" w:eastAsia="仿宋"/>
          <w:sz w:val="32"/>
          <w:szCs w:val="32"/>
        </w:rPr>
        <w:t>负责住房城乡建设行业信息采集、整理、统计、分析、发布等工作。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61" w:firstLineChars="113"/>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22、</w:t>
      </w:r>
      <w:r>
        <w:rPr>
          <w:rFonts w:ascii="仿宋" w:hAnsi="仿宋" w:eastAsia="仿宋"/>
          <w:sz w:val="32"/>
          <w:szCs w:val="32"/>
        </w:rPr>
        <w:t>完成区委、区政府交办的其他任务。</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r>
        <w:rPr>
          <w:rFonts w:hint="eastAsia" w:ascii="仿宋" w:hAnsi="仿宋" w:eastAsia="仿宋" w:cs="Times New Roman"/>
          <w:b/>
          <w:sz w:val="32"/>
          <w:szCs w:val="32"/>
          <w:lang w:eastAsia="zh-CN"/>
        </w:rPr>
        <w:t>及人员情况</w:t>
      </w:r>
      <w:r>
        <w:rPr>
          <w:rFonts w:hint="eastAsia" w:ascii="仿宋" w:hAnsi="仿宋" w:eastAsia="仿宋" w:cs="Times New Roman"/>
          <w:b/>
          <w:sz w:val="32"/>
          <w:szCs w:val="32"/>
        </w:rPr>
        <w:t>：</w:t>
      </w:r>
    </w:p>
    <w:tbl>
      <w:tblPr>
        <w:tblStyle w:val="8"/>
        <w:tblW w:w="930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8"/>
        <w:gridCol w:w="572"/>
        <w:gridCol w:w="1256"/>
        <w:gridCol w:w="1005"/>
        <w:gridCol w:w="874"/>
        <w:gridCol w:w="576"/>
        <w:gridCol w:w="552"/>
        <w:gridCol w:w="576"/>
        <w:gridCol w:w="636"/>
        <w:gridCol w:w="528"/>
        <w:gridCol w:w="672"/>
        <w:gridCol w:w="8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1258" w:type="dxa"/>
            <w:vMerge w:val="restart"/>
            <w:vAlign w:val="center"/>
          </w:tcPr>
          <w:p>
            <w:pPr>
              <w:pStyle w:val="9"/>
              <w:rPr>
                <w:rFonts w:cs="Times New Roman"/>
              </w:rPr>
            </w:pPr>
            <w:r>
              <w:rPr>
                <w:rFonts w:hint="eastAsia"/>
              </w:rPr>
              <w:t>单位名称</w:t>
            </w:r>
          </w:p>
        </w:tc>
        <w:tc>
          <w:tcPr>
            <w:tcW w:w="572" w:type="dxa"/>
            <w:vMerge w:val="restart"/>
            <w:vAlign w:val="center"/>
          </w:tcPr>
          <w:p>
            <w:pPr>
              <w:pStyle w:val="9"/>
              <w:rPr>
                <w:rFonts w:cs="Times New Roman"/>
              </w:rPr>
            </w:pPr>
            <w:r>
              <w:rPr>
                <w:rFonts w:hint="eastAsia"/>
              </w:rPr>
              <w:t>单位性质</w:t>
            </w:r>
          </w:p>
        </w:tc>
        <w:tc>
          <w:tcPr>
            <w:tcW w:w="1256" w:type="dxa"/>
            <w:vMerge w:val="restart"/>
            <w:vAlign w:val="center"/>
          </w:tcPr>
          <w:p>
            <w:pPr>
              <w:pStyle w:val="9"/>
              <w:rPr>
                <w:rFonts w:cs="Times New Roman"/>
              </w:rPr>
            </w:pPr>
            <w:r>
              <w:rPr>
                <w:rFonts w:hint="eastAsia"/>
              </w:rPr>
              <w:t>单位规格</w:t>
            </w:r>
          </w:p>
        </w:tc>
        <w:tc>
          <w:tcPr>
            <w:tcW w:w="1005" w:type="dxa"/>
            <w:vMerge w:val="restart"/>
            <w:vAlign w:val="center"/>
          </w:tcPr>
          <w:p>
            <w:pPr>
              <w:pStyle w:val="9"/>
              <w:rPr>
                <w:rFonts w:cs="Times New Roman"/>
              </w:rPr>
            </w:pPr>
            <w:r>
              <w:rPr>
                <w:rFonts w:hint="eastAsia"/>
              </w:rPr>
              <w:t>经费保障形式</w:t>
            </w:r>
          </w:p>
        </w:tc>
        <w:tc>
          <w:tcPr>
            <w:tcW w:w="874" w:type="dxa"/>
            <w:vMerge w:val="restart"/>
            <w:vAlign w:val="center"/>
          </w:tcPr>
          <w:p>
            <w:pPr>
              <w:pStyle w:val="9"/>
              <w:rPr>
                <w:rFonts w:cs="Times New Roman"/>
              </w:rPr>
            </w:pPr>
            <w:r>
              <w:rPr>
                <w:rFonts w:hint="eastAsia"/>
              </w:rPr>
              <w:t>车辆实有数</w:t>
            </w:r>
          </w:p>
        </w:tc>
        <w:tc>
          <w:tcPr>
            <w:tcW w:w="1128" w:type="dxa"/>
            <w:gridSpan w:val="2"/>
            <w:vAlign w:val="center"/>
          </w:tcPr>
          <w:p>
            <w:pPr>
              <w:pStyle w:val="9"/>
              <w:rPr>
                <w:rFonts w:cs="Times New Roman"/>
              </w:rPr>
            </w:pPr>
            <w:r>
              <w:rPr>
                <w:rFonts w:hint="eastAsia"/>
              </w:rPr>
              <w:t>编制人数</w:t>
            </w:r>
          </w:p>
        </w:tc>
        <w:tc>
          <w:tcPr>
            <w:tcW w:w="1212" w:type="dxa"/>
            <w:gridSpan w:val="2"/>
            <w:vAlign w:val="center"/>
          </w:tcPr>
          <w:p>
            <w:pPr>
              <w:pStyle w:val="9"/>
              <w:rPr>
                <w:rFonts w:cs="Times New Roman"/>
              </w:rPr>
            </w:pPr>
            <w:r>
              <w:rPr>
                <w:rFonts w:hint="eastAsia"/>
              </w:rPr>
              <w:t>在职人数</w:t>
            </w:r>
          </w:p>
        </w:tc>
        <w:tc>
          <w:tcPr>
            <w:tcW w:w="2000" w:type="dxa"/>
            <w:gridSpan w:val="3"/>
            <w:vAlign w:val="center"/>
          </w:tcPr>
          <w:p>
            <w:pPr>
              <w:pStyle w:val="9"/>
              <w:rPr>
                <w:rFonts w:cs="Times New Roman"/>
              </w:rPr>
            </w:pPr>
            <w:r>
              <w:rPr>
                <w:rFonts w:hint="eastAsia"/>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479" w:hRule="atLeast"/>
          <w:tblHeader/>
          <w:jc w:val="center"/>
        </w:trPr>
        <w:tc>
          <w:tcPr>
            <w:tcW w:w="1258" w:type="dxa"/>
            <w:vMerge w:val="continue"/>
          </w:tcPr>
          <w:p/>
        </w:tc>
        <w:tc>
          <w:tcPr>
            <w:tcW w:w="572" w:type="dxa"/>
            <w:vMerge w:val="continue"/>
          </w:tcPr>
          <w:p/>
        </w:tc>
        <w:tc>
          <w:tcPr>
            <w:tcW w:w="1256" w:type="dxa"/>
            <w:vMerge w:val="continue"/>
          </w:tcPr>
          <w:p/>
        </w:tc>
        <w:tc>
          <w:tcPr>
            <w:tcW w:w="1005" w:type="dxa"/>
            <w:vMerge w:val="continue"/>
          </w:tcPr>
          <w:p/>
        </w:tc>
        <w:tc>
          <w:tcPr>
            <w:tcW w:w="874" w:type="dxa"/>
            <w:vMerge w:val="continue"/>
          </w:tcPr>
          <w:p/>
        </w:tc>
        <w:tc>
          <w:tcPr>
            <w:tcW w:w="576" w:type="dxa"/>
            <w:vAlign w:val="center"/>
          </w:tcPr>
          <w:p>
            <w:pPr>
              <w:pStyle w:val="9"/>
              <w:rPr>
                <w:rFonts w:cs="Times New Roman"/>
              </w:rPr>
            </w:pPr>
            <w:r>
              <w:rPr>
                <w:rFonts w:hint="eastAsia"/>
              </w:rPr>
              <w:t>行政</w:t>
            </w:r>
          </w:p>
        </w:tc>
        <w:tc>
          <w:tcPr>
            <w:tcW w:w="552" w:type="dxa"/>
            <w:vAlign w:val="center"/>
          </w:tcPr>
          <w:p>
            <w:pPr>
              <w:pStyle w:val="9"/>
              <w:rPr>
                <w:rFonts w:cs="Times New Roman"/>
              </w:rPr>
            </w:pPr>
            <w:r>
              <w:rPr>
                <w:rFonts w:hint="eastAsia"/>
              </w:rPr>
              <w:t>事业</w:t>
            </w:r>
          </w:p>
        </w:tc>
        <w:tc>
          <w:tcPr>
            <w:tcW w:w="576" w:type="dxa"/>
            <w:vAlign w:val="center"/>
          </w:tcPr>
          <w:p>
            <w:pPr>
              <w:pStyle w:val="9"/>
              <w:rPr>
                <w:rFonts w:cs="Times New Roman"/>
              </w:rPr>
            </w:pPr>
            <w:r>
              <w:rPr>
                <w:rFonts w:hint="eastAsia"/>
              </w:rPr>
              <w:t>行政</w:t>
            </w:r>
          </w:p>
        </w:tc>
        <w:tc>
          <w:tcPr>
            <w:tcW w:w="636" w:type="dxa"/>
            <w:vAlign w:val="center"/>
          </w:tcPr>
          <w:p>
            <w:pPr>
              <w:pStyle w:val="9"/>
              <w:rPr>
                <w:rFonts w:cs="Times New Roman"/>
              </w:rPr>
            </w:pPr>
            <w:r>
              <w:rPr>
                <w:rFonts w:hint="eastAsia"/>
              </w:rPr>
              <w:t>事业</w:t>
            </w:r>
          </w:p>
        </w:tc>
        <w:tc>
          <w:tcPr>
            <w:tcW w:w="528" w:type="dxa"/>
            <w:vAlign w:val="center"/>
          </w:tcPr>
          <w:p>
            <w:pPr>
              <w:pStyle w:val="9"/>
              <w:rPr>
                <w:rFonts w:cs="Times New Roman"/>
              </w:rPr>
            </w:pPr>
            <w:r>
              <w:rPr>
                <w:rFonts w:hint="eastAsia"/>
              </w:rPr>
              <w:t>离休</w:t>
            </w:r>
          </w:p>
        </w:tc>
        <w:tc>
          <w:tcPr>
            <w:tcW w:w="672" w:type="dxa"/>
            <w:vAlign w:val="center"/>
          </w:tcPr>
          <w:p>
            <w:pPr>
              <w:pStyle w:val="9"/>
              <w:rPr>
                <w:rFonts w:cs="Times New Roman"/>
              </w:rPr>
            </w:pPr>
            <w:r>
              <w:rPr>
                <w:rFonts w:hint="eastAsia"/>
              </w:rPr>
              <w:t>退休</w:t>
            </w:r>
          </w:p>
        </w:tc>
        <w:tc>
          <w:tcPr>
            <w:tcW w:w="800" w:type="dxa"/>
            <w:vAlign w:val="center"/>
          </w:tcPr>
          <w:p>
            <w:pPr>
              <w:pStyle w:val="9"/>
              <w:rPr>
                <w:rFonts w:cs="Times New Roman"/>
              </w:rPr>
            </w:pPr>
            <w:r>
              <w:rPr>
                <w:rFonts w:hint="eastAsia"/>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1258" w:type="dxa"/>
            <w:vAlign w:val="center"/>
          </w:tcPr>
          <w:p>
            <w:pPr>
              <w:pStyle w:val="10"/>
              <w:rPr>
                <w:rFonts w:cs="Times New Roman"/>
              </w:rPr>
            </w:pPr>
            <w:r>
              <w:rPr>
                <w:rFonts w:hint="eastAsia"/>
              </w:rPr>
              <w:t>合</w:t>
            </w:r>
            <w:r>
              <w:t xml:space="preserve">    </w:t>
            </w:r>
            <w:r>
              <w:rPr>
                <w:rFonts w:hint="eastAsia"/>
              </w:rPr>
              <w:t>计</w:t>
            </w:r>
          </w:p>
        </w:tc>
        <w:tc>
          <w:tcPr>
            <w:tcW w:w="572" w:type="dxa"/>
            <w:vAlign w:val="center"/>
          </w:tcPr>
          <w:p>
            <w:pPr>
              <w:pStyle w:val="10"/>
              <w:rPr>
                <w:rFonts w:cs="Times New Roman"/>
              </w:rPr>
            </w:pPr>
          </w:p>
        </w:tc>
        <w:tc>
          <w:tcPr>
            <w:tcW w:w="1256" w:type="dxa"/>
            <w:vAlign w:val="center"/>
          </w:tcPr>
          <w:p>
            <w:pPr>
              <w:pStyle w:val="10"/>
              <w:rPr>
                <w:rFonts w:cs="Times New Roman"/>
              </w:rPr>
            </w:pPr>
          </w:p>
        </w:tc>
        <w:tc>
          <w:tcPr>
            <w:tcW w:w="1005" w:type="dxa"/>
            <w:vAlign w:val="center"/>
          </w:tcPr>
          <w:p>
            <w:pPr>
              <w:pStyle w:val="10"/>
              <w:rPr>
                <w:rFonts w:cs="Times New Roman"/>
              </w:rPr>
            </w:pPr>
          </w:p>
        </w:tc>
        <w:tc>
          <w:tcPr>
            <w:tcW w:w="874" w:type="dxa"/>
            <w:vAlign w:val="center"/>
          </w:tcPr>
          <w:p>
            <w:pPr>
              <w:pStyle w:val="10"/>
              <w:rPr>
                <w:rFonts w:hint="eastAsia" w:eastAsia="方正书宋_GBK" w:cs="Times New Roman"/>
                <w:lang w:val="en-US" w:eastAsia="zh-CN"/>
              </w:rPr>
            </w:pPr>
            <w:r>
              <w:rPr>
                <w:rFonts w:hint="eastAsia" w:cs="Times New Roman"/>
                <w:lang w:val="en-US" w:eastAsia="zh-CN"/>
              </w:rPr>
              <w:t>1</w:t>
            </w:r>
          </w:p>
        </w:tc>
        <w:tc>
          <w:tcPr>
            <w:tcW w:w="576" w:type="dxa"/>
            <w:vAlign w:val="center"/>
          </w:tcPr>
          <w:p>
            <w:pPr>
              <w:pStyle w:val="10"/>
              <w:rPr>
                <w:rFonts w:hint="eastAsia" w:eastAsia="方正书宋_GBK"/>
                <w:lang w:eastAsia="zh-CN"/>
              </w:rPr>
            </w:pPr>
            <w:r>
              <w:rPr>
                <w:rFonts w:hint="eastAsia"/>
                <w:lang w:val="en-US" w:eastAsia="zh-CN"/>
              </w:rPr>
              <w:t>4</w:t>
            </w:r>
          </w:p>
        </w:tc>
        <w:tc>
          <w:tcPr>
            <w:tcW w:w="552" w:type="dxa"/>
            <w:vAlign w:val="center"/>
          </w:tcPr>
          <w:p>
            <w:pPr>
              <w:pStyle w:val="10"/>
              <w:rPr>
                <w:rFonts w:hint="eastAsia" w:eastAsia="方正书宋_GBK"/>
                <w:lang w:eastAsia="zh-CN"/>
              </w:rPr>
            </w:pPr>
            <w:r>
              <w:rPr>
                <w:rFonts w:hint="eastAsia"/>
                <w:lang w:val="en-US" w:eastAsia="zh-CN"/>
              </w:rPr>
              <w:t>41</w:t>
            </w:r>
          </w:p>
        </w:tc>
        <w:tc>
          <w:tcPr>
            <w:tcW w:w="576" w:type="dxa"/>
            <w:vAlign w:val="center"/>
          </w:tcPr>
          <w:p>
            <w:pPr>
              <w:pStyle w:val="10"/>
              <w:rPr>
                <w:rFonts w:hint="eastAsia" w:eastAsia="方正书宋_GBK"/>
                <w:lang w:eastAsia="zh-CN"/>
              </w:rPr>
            </w:pPr>
            <w:r>
              <w:rPr>
                <w:rFonts w:hint="eastAsia"/>
                <w:lang w:val="en-US" w:eastAsia="zh-CN"/>
              </w:rPr>
              <w:t>4</w:t>
            </w:r>
          </w:p>
        </w:tc>
        <w:tc>
          <w:tcPr>
            <w:tcW w:w="636" w:type="dxa"/>
            <w:vAlign w:val="center"/>
          </w:tcPr>
          <w:p>
            <w:pPr>
              <w:pStyle w:val="10"/>
              <w:rPr>
                <w:rFonts w:hint="eastAsia" w:eastAsia="方正书宋_GBK"/>
                <w:lang w:eastAsia="zh-CN"/>
              </w:rPr>
            </w:pPr>
            <w:r>
              <w:rPr>
                <w:rFonts w:hint="eastAsia"/>
                <w:lang w:val="en-US" w:eastAsia="zh-CN"/>
              </w:rPr>
              <w:t>38</w:t>
            </w:r>
          </w:p>
        </w:tc>
        <w:tc>
          <w:tcPr>
            <w:tcW w:w="528" w:type="dxa"/>
            <w:vAlign w:val="center"/>
          </w:tcPr>
          <w:p>
            <w:pPr>
              <w:pStyle w:val="10"/>
            </w:pPr>
          </w:p>
        </w:tc>
        <w:tc>
          <w:tcPr>
            <w:tcW w:w="672" w:type="dxa"/>
            <w:vAlign w:val="center"/>
          </w:tcPr>
          <w:p>
            <w:pPr>
              <w:pStyle w:val="10"/>
            </w:pPr>
            <w:r>
              <w:t>61</w:t>
            </w:r>
          </w:p>
        </w:tc>
        <w:tc>
          <w:tcPr>
            <w:tcW w:w="800"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1258" w:type="dxa"/>
            <w:vAlign w:val="center"/>
          </w:tcPr>
          <w:p>
            <w:pPr>
              <w:pStyle w:val="11"/>
              <w:rPr>
                <w:rFonts w:cs="Times New Roman"/>
              </w:rPr>
            </w:pPr>
            <w:r>
              <w:rPr>
                <w:rFonts w:hint="eastAsia"/>
              </w:rPr>
              <w:t>矿区住建局本级</w:t>
            </w:r>
          </w:p>
        </w:tc>
        <w:tc>
          <w:tcPr>
            <w:tcW w:w="572" w:type="dxa"/>
            <w:vAlign w:val="center"/>
          </w:tcPr>
          <w:p>
            <w:pPr>
              <w:pStyle w:val="12"/>
              <w:rPr>
                <w:rFonts w:cs="Times New Roman"/>
              </w:rPr>
            </w:pPr>
            <w:r>
              <w:rPr>
                <w:rFonts w:hint="eastAsia"/>
              </w:rPr>
              <w:t>行政</w:t>
            </w:r>
          </w:p>
        </w:tc>
        <w:tc>
          <w:tcPr>
            <w:tcW w:w="1256" w:type="dxa"/>
            <w:vAlign w:val="center"/>
          </w:tcPr>
          <w:p>
            <w:pPr>
              <w:pStyle w:val="12"/>
              <w:rPr>
                <w:rFonts w:cs="Times New Roman"/>
              </w:rPr>
            </w:pPr>
            <w:r>
              <w:rPr>
                <w:rFonts w:hint="eastAsia"/>
              </w:rPr>
              <w:t>正科级</w:t>
            </w:r>
          </w:p>
        </w:tc>
        <w:tc>
          <w:tcPr>
            <w:tcW w:w="1005" w:type="dxa"/>
            <w:vAlign w:val="center"/>
          </w:tcPr>
          <w:p>
            <w:pPr>
              <w:pStyle w:val="12"/>
              <w:rPr>
                <w:rFonts w:cs="Times New Roman"/>
              </w:rPr>
            </w:pPr>
            <w:r>
              <w:rPr>
                <w:rFonts w:hint="eastAsia"/>
              </w:rPr>
              <w:t>财政拨款</w:t>
            </w:r>
          </w:p>
        </w:tc>
        <w:tc>
          <w:tcPr>
            <w:tcW w:w="874" w:type="dxa"/>
            <w:vAlign w:val="center"/>
          </w:tcPr>
          <w:p>
            <w:pPr>
              <w:pStyle w:val="12"/>
              <w:rPr>
                <w:rFonts w:hint="eastAsia" w:eastAsia="方正书宋_GBK" w:cs="Times New Roman"/>
                <w:lang w:val="en-US" w:eastAsia="zh-CN"/>
              </w:rPr>
            </w:pPr>
            <w:r>
              <w:rPr>
                <w:rFonts w:hint="eastAsia" w:cs="Times New Roman"/>
                <w:lang w:val="en-US" w:eastAsia="zh-CN"/>
              </w:rPr>
              <w:t>1</w:t>
            </w:r>
          </w:p>
        </w:tc>
        <w:tc>
          <w:tcPr>
            <w:tcW w:w="576" w:type="dxa"/>
            <w:vAlign w:val="center"/>
          </w:tcPr>
          <w:p>
            <w:pPr>
              <w:pStyle w:val="12"/>
              <w:rPr>
                <w:rFonts w:hint="eastAsia" w:eastAsia="方正书宋_GBK"/>
                <w:lang w:eastAsia="zh-CN"/>
              </w:rPr>
            </w:pPr>
            <w:r>
              <w:rPr>
                <w:rFonts w:hint="eastAsia"/>
                <w:lang w:val="en-US" w:eastAsia="zh-CN"/>
              </w:rPr>
              <w:t>4</w:t>
            </w:r>
          </w:p>
        </w:tc>
        <w:tc>
          <w:tcPr>
            <w:tcW w:w="552" w:type="dxa"/>
            <w:vAlign w:val="center"/>
          </w:tcPr>
          <w:p>
            <w:pPr>
              <w:pStyle w:val="12"/>
              <w:rPr>
                <w:rFonts w:hint="eastAsia" w:eastAsia="方正书宋_GBK"/>
                <w:lang w:val="en-US" w:eastAsia="zh-CN"/>
              </w:rPr>
            </w:pPr>
            <w:r>
              <w:rPr>
                <w:rFonts w:hint="eastAsia"/>
                <w:lang w:val="en-US" w:eastAsia="zh-CN"/>
              </w:rPr>
              <w:t>34</w:t>
            </w:r>
          </w:p>
        </w:tc>
        <w:tc>
          <w:tcPr>
            <w:tcW w:w="576" w:type="dxa"/>
            <w:vAlign w:val="center"/>
          </w:tcPr>
          <w:p>
            <w:pPr>
              <w:pStyle w:val="12"/>
              <w:rPr>
                <w:rFonts w:hint="eastAsia" w:eastAsia="方正书宋_GBK"/>
                <w:lang w:eastAsia="zh-CN"/>
              </w:rPr>
            </w:pPr>
            <w:r>
              <w:rPr>
                <w:rFonts w:hint="eastAsia"/>
                <w:lang w:val="en-US" w:eastAsia="zh-CN"/>
              </w:rPr>
              <w:t>4</w:t>
            </w:r>
          </w:p>
        </w:tc>
        <w:tc>
          <w:tcPr>
            <w:tcW w:w="636" w:type="dxa"/>
            <w:vAlign w:val="center"/>
          </w:tcPr>
          <w:p>
            <w:pPr>
              <w:pStyle w:val="12"/>
              <w:rPr>
                <w:rFonts w:hint="eastAsia" w:eastAsia="方正书宋_GBK"/>
                <w:lang w:val="en-US" w:eastAsia="zh-CN"/>
              </w:rPr>
            </w:pPr>
            <w:r>
              <w:rPr>
                <w:rFonts w:hint="eastAsia"/>
                <w:lang w:val="en-US" w:eastAsia="zh-CN"/>
              </w:rPr>
              <w:t>32</w:t>
            </w:r>
          </w:p>
        </w:tc>
        <w:tc>
          <w:tcPr>
            <w:tcW w:w="528" w:type="dxa"/>
            <w:vAlign w:val="center"/>
          </w:tcPr>
          <w:p>
            <w:pPr>
              <w:pStyle w:val="12"/>
            </w:pPr>
          </w:p>
        </w:tc>
        <w:tc>
          <w:tcPr>
            <w:tcW w:w="672" w:type="dxa"/>
            <w:vAlign w:val="center"/>
          </w:tcPr>
          <w:p>
            <w:pPr>
              <w:pStyle w:val="12"/>
            </w:pPr>
            <w:r>
              <w:t>58</w:t>
            </w:r>
          </w:p>
        </w:tc>
        <w:tc>
          <w:tcPr>
            <w:tcW w:w="80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1258" w:type="dxa"/>
            <w:vAlign w:val="center"/>
          </w:tcPr>
          <w:p>
            <w:pPr>
              <w:pStyle w:val="11"/>
              <w:rPr>
                <w:rFonts w:cs="Times New Roman"/>
              </w:rPr>
            </w:pPr>
            <w:r>
              <w:rPr>
                <w:rFonts w:hint="eastAsia"/>
              </w:rPr>
              <w:t>矿区房管所</w:t>
            </w:r>
          </w:p>
        </w:tc>
        <w:tc>
          <w:tcPr>
            <w:tcW w:w="572" w:type="dxa"/>
            <w:vAlign w:val="center"/>
          </w:tcPr>
          <w:p>
            <w:pPr>
              <w:pStyle w:val="12"/>
              <w:rPr>
                <w:rFonts w:cs="Times New Roman"/>
              </w:rPr>
            </w:pPr>
            <w:r>
              <w:rPr>
                <w:rFonts w:hint="eastAsia"/>
              </w:rPr>
              <w:t>事业</w:t>
            </w:r>
          </w:p>
        </w:tc>
        <w:tc>
          <w:tcPr>
            <w:tcW w:w="1256" w:type="dxa"/>
            <w:vAlign w:val="center"/>
          </w:tcPr>
          <w:p>
            <w:pPr>
              <w:pStyle w:val="12"/>
              <w:rPr>
                <w:rFonts w:cs="Times New Roman"/>
              </w:rPr>
            </w:pPr>
            <w:r>
              <w:rPr>
                <w:rFonts w:hint="eastAsia"/>
              </w:rPr>
              <w:t>股级</w:t>
            </w:r>
          </w:p>
        </w:tc>
        <w:tc>
          <w:tcPr>
            <w:tcW w:w="1005" w:type="dxa"/>
            <w:vAlign w:val="center"/>
          </w:tcPr>
          <w:p>
            <w:pPr>
              <w:pStyle w:val="12"/>
              <w:rPr>
                <w:rFonts w:cs="Times New Roman"/>
              </w:rPr>
            </w:pPr>
            <w:r>
              <w:rPr>
                <w:rFonts w:hint="eastAsia"/>
              </w:rPr>
              <w:t>财政性资金定额或定项补助</w:t>
            </w:r>
          </w:p>
        </w:tc>
        <w:tc>
          <w:tcPr>
            <w:tcW w:w="874" w:type="dxa"/>
            <w:vAlign w:val="center"/>
          </w:tcPr>
          <w:p>
            <w:pPr>
              <w:pStyle w:val="12"/>
              <w:rPr>
                <w:rFonts w:cs="Times New Roman"/>
              </w:rPr>
            </w:pPr>
          </w:p>
        </w:tc>
        <w:tc>
          <w:tcPr>
            <w:tcW w:w="576" w:type="dxa"/>
            <w:vAlign w:val="center"/>
          </w:tcPr>
          <w:p>
            <w:pPr>
              <w:pStyle w:val="12"/>
              <w:rPr>
                <w:rFonts w:cs="Times New Roman"/>
              </w:rPr>
            </w:pPr>
          </w:p>
        </w:tc>
        <w:tc>
          <w:tcPr>
            <w:tcW w:w="552" w:type="dxa"/>
            <w:vAlign w:val="center"/>
          </w:tcPr>
          <w:p>
            <w:pPr>
              <w:pStyle w:val="12"/>
            </w:pPr>
            <w:r>
              <w:t>7</w:t>
            </w:r>
          </w:p>
        </w:tc>
        <w:tc>
          <w:tcPr>
            <w:tcW w:w="576" w:type="dxa"/>
            <w:vAlign w:val="center"/>
          </w:tcPr>
          <w:p>
            <w:pPr>
              <w:pStyle w:val="12"/>
            </w:pPr>
          </w:p>
        </w:tc>
        <w:tc>
          <w:tcPr>
            <w:tcW w:w="636" w:type="dxa"/>
            <w:vAlign w:val="center"/>
          </w:tcPr>
          <w:p>
            <w:pPr>
              <w:pStyle w:val="12"/>
            </w:pPr>
            <w:r>
              <w:t>6</w:t>
            </w:r>
          </w:p>
        </w:tc>
        <w:tc>
          <w:tcPr>
            <w:tcW w:w="528" w:type="dxa"/>
            <w:vAlign w:val="center"/>
          </w:tcPr>
          <w:p>
            <w:pPr>
              <w:pStyle w:val="12"/>
            </w:pPr>
          </w:p>
        </w:tc>
        <w:tc>
          <w:tcPr>
            <w:tcW w:w="672" w:type="dxa"/>
            <w:vAlign w:val="center"/>
          </w:tcPr>
          <w:p>
            <w:pPr>
              <w:pStyle w:val="12"/>
            </w:pPr>
            <w:r>
              <w:t>3</w:t>
            </w:r>
          </w:p>
        </w:tc>
        <w:tc>
          <w:tcPr>
            <w:tcW w:w="80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1258" w:type="dxa"/>
            <w:vAlign w:val="center"/>
          </w:tcPr>
          <w:p>
            <w:pPr>
              <w:pStyle w:val="11"/>
              <w:rPr>
                <w:rFonts w:cs="Times New Roman"/>
              </w:rPr>
            </w:pPr>
            <w:r>
              <w:rPr>
                <w:rFonts w:hint="eastAsia"/>
              </w:rPr>
              <w:t>矿区建筑工程质量监督站</w:t>
            </w:r>
          </w:p>
        </w:tc>
        <w:tc>
          <w:tcPr>
            <w:tcW w:w="572" w:type="dxa"/>
            <w:vAlign w:val="center"/>
          </w:tcPr>
          <w:p>
            <w:pPr>
              <w:pStyle w:val="12"/>
              <w:rPr>
                <w:rFonts w:cs="Times New Roman"/>
              </w:rPr>
            </w:pPr>
            <w:r>
              <w:rPr>
                <w:rFonts w:hint="eastAsia"/>
              </w:rPr>
              <w:t>事业</w:t>
            </w:r>
          </w:p>
        </w:tc>
        <w:tc>
          <w:tcPr>
            <w:tcW w:w="1256" w:type="dxa"/>
            <w:vAlign w:val="center"/>
          </w:tcPr>
          <w:p>
            <w:pPr>
              <w:pStyle w:val="12"/>
              <w:rPr>
                <w:rFonts w:cs="Times New Roman"/>
              </w:rPr>
            </w:pPr>
            <w:r>
              <w:rPr>
                <w:rFonts w:hint="eastAsia"/>
              </w:rPr>
              <w:t>股级</w:t>
            </w:r>
          </w:p>
        </w:tc>
        <w:tc>
          <w:tcPr>
            <w:tcW w:w="1005" w:type="dxa"/>
            <w:vAlign w:val="center"/>
          </w:tcPr>
          <w:p>
            <w:pPr>
              <w:pStyle w:val="12"/>
              <w:rPr>
                <w:rFonts w:cs="Times New Roman"/>
              </w:rPr>
            </w:pPr>
            <w:r>
              <w:rPr>
                <w:rFonts w:hint="eastAsia"/>
              </w:rPr>
              <w:t>财政性资金基本保证</w:t>
            </w:r>
          </w:p>
        </w:tc>
        <w:tc>
          <w:tcPr>
            <w:tcW w:w="874" w:type="dxa"/>
            <w:vAlign w:val="center"/>
          </w:tcPr>
          <w:p>
            <w:pPr>
              <w:pStyle w:val="12"/>
              <w:rPr>
                <w:rFonts w:cs="Times New Roman"/>
              </w:rPr>
            </w:pPr>
          </w:p>
        </w:tc>
        <w:tc>
          <w:tcPr>
            <w:tcW w:w="576" w:type="dxa"/>
            <w:vAlign w:val="center"/>
          </w:tcPr>
          <w:p>
            <w:pPr>
              <w:pStyle w:val="12"/>
              <w:rPr>
                <w:rFonts w:cs="Times New Roman"/>
              </w:rPr>
            </w:pPr>
          </w:p>
        </w:tc>
        <w:tc>
          <w:tcPr>
            <w:tcW w:w="552" w:type="dxa"/>
            <w:vAlign w:val="center"/>
          </w:tcPr>
          <w:p>
            <w:pPr>
              <w:pStyle w:val="12"/>
            </w:pPr>
          </w:p>
        </w:tc>
        <w:tc>
          <w:tcPr>
            <w:tcW w:w="576" w:type="dxa"/>
            <w:vAlign w:val="center"/>
          </w:tcPr>
          <w:p>
            <w:pPr>
              <w:pStyle w:val="12"/>
            </w:pPr>
          </w:p>
        </w:tc>
        <w:tc>
          <w:tcPr>
            <w:tcW w:w="636" w:type="dxa"/>
            <w:vAlign w:val="center"/>
          </w:tcPr>
          <w:p>
            <w:pPr>
              <w:pStyle w:val="12"/>
            </w:pPr>
          </w:p>
        </w:tc>
        <w:tc>
          <w:tcPr>
            <w:tcW w:w="528" w:type="dxa"/>
            <w:vAlign w:val="center"/>
          </w:tcPr>
          <w:p>
            <w:pPr>
              <w:pStyle w:val="12"/>
            </w:pPr>
          </w:p>
        </w:tc>
        <w:tc>
          <w:tcPr>
            <w:tcW w:w="672" w:type="dxa"/>
            <w:vAlign w:val="center"/>
          </w:tcPr>
          <w:p>
            <w:pPr>
              <w:pStyle w:val="12"/>
            </w:pPr>
          </w:p>
        </w:tc>
        <w:tc>
          <w:tcPr>
            <w:tcW w:w="800" w:type="dxa"/>
            <w:vAlign w:val="center"/>
          </w:tcPr>
          <w:p>
            <w:pPr>
              <w:pStyle w:val="12"/>
            </w:pPr>
          </w:p>
        </w:tc>
      </w:tr>
    </w:tbl>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p>
    <w:p>
      <w:pPr>
        <w:widowControl w:val="0"/>
        <w:numPr>
          <w:ilvl w:val="0"/>
          <w:numId w:val="1"/>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pPr>
        <w:pStyle w:val="2"/>
        <w:rPr>
          <w:rFonts w:hint="default" w:ascii="仿宋" w:hAnsi="仿宋" w:eastAsia="仿宋" w:cs="黑体"/>
          <w:kern w:val="2"/>
          <w:sz w:val="32"/>
          <w:szCs w:val="32"/>
          <w:lang w:val="en-US" w:eastAsia="zh-CN" w:bidi="ar-SA"/>
        </w:rPr>
      </w:pPr>
      <w:r>
        <w:rPr>
          <w:rFonts w:hint="eastAsia"/>
          <w:lang w:val="en-US" w:eastAsia="zh-CN"/>
        </w:rPr>
        <w:t xml:space="preserve">    </w:t>
      </w:r>
      <w:r>
        <w:rPr>
          <w:rFonts w:hint="eastAsia" w:ascii="仿宋" w:hAnsi="仿宋" w:eastAsia="仿宋" w:cs="仿宋"/>
          <w:sz w:val="32"/>
          <w:szCs w:val="32"/>
          <w:lang w:val="en-US" w:eastAsia="zh-CN"/>
        </w:rPr>
        <w:t>2022年单位预算收入</w:t>
      </w:r>
      <w:r>
        <w:rPr>
          <w:rFonts w:hint="eastAsia" w:ascii="仿宋_GB2312" w:hAnsi="仿宋" w:eastAsia="仿宋_GB2312"/>
          <w:sz w:val="32"/>
          <w:szCs w:val="32"/>
          <w:lang w:val="en-US" w:eastAsia="zh-CN"/>
        </w:rPr>
        <w:t>10988.08</w:t>
      </w:r>
      <w:r>
        <w:rPr>
          <w:rFonts w:hint="eastAsia" w:ascii="仿宋" w:hAnsi="仿宋" w:eastAsia="仿宋" w:cs="仿宋"/>
          <w:sz w:val="32"/>
          <w:szCs w:val="32"/>
          <w:lang w:val="en-US" w:eastAsia="zh-CN"/>
        </w:rPr>
        <w:t>万元，</w:t>
      </w:r>
      <w:r>
        <w:rPr>
          <w:rFonts w:hint="eastAsia" w:ascii="仿宋" w:hAnsi="仿宋" w:eastAsia="仿宋" w:cs="仿宋"/>
          <w:sz w:val="32"/>
          <w:szCs w:val="32"/>
        </w:rPr>
        <w:t>其中：一般公共预算收入</w:t>
      </w:r>
      <w:r>
        <w:rPr>
          <w:rFonts w:hint="eastAsia" w:ascii="仿宋" w:hAnsi="仿宋" w:eastAsia="仿宋" w:cs="仿宋"/>
          <w:sz w:val="32"/>
          <w:szCs w:val="32"/>
          <w:lang w:val="en-US" w:eastAsia="zh-CN"/>
        </w:rPr>
        <w:t>3648.08</w:t>
      </w:r>
      <w:r>
        <w:rPr>
          <w:rFonts w:hint="eastAsia" w:ascii="仿宋" w:hAnsi="仿宋" w:eastAsia="仿宋" w:cs="仿宋"/>
          <w:sz w:val="32"/>
          <w:szCs w:val="32"/>
        </w:rPr>
        <w:t>万元，基金预算收入</w:t>
      </w:r>
      <w:r>
        <w:rPr>
          <w:rFonts w:hint="eastAsia" w:ascii="仿宋" w:hAnsi="仿宋" w:eastAsia="仿宋" w:cs="仿宋"/>
          <w:sz w:val="32"/>
          <w:szCs w:val="32"/>
          <w:lang w:val="en-US" w:eastAsia="zh-CN"/>
        </w:rPr>
        <w:t>7340</w:t>
      </w:r>
      <w:r>
        <w:rPr>
          <w:rFonts w:hint="eastAsia" w:ascii="仿宋" w:hAnsi="仿宋" w:eastAsia="仿宋" w:cs="仿宋"/>
          <w:sz w:val="32"/>
          <w:szCs w:val="32"/>
        </w:rPr>
        <w:t>万元。</w:t>
      </w:r>
      <w:r>
        <w:rPr>
          <w:rFonts w:hint="eastAsia" w:ascii="仿宋" w:hAnsi="仿宋" w:eastAsia="仿宋" w:cs="仿宋"/>
          <w:sz w:val="32"/>
          <w:szCs w:val="32"/>
          <w:lang w:val="en-US" w:eastAsia="zh-CN"/>
        </w:rPr>
        <w:t>2022年实际支出11743.72万元，比年初预算增加</w:t>
      </w:r>
      <w:r>
        <w:rPr>
          <w:rFonts w:hint="eastAsia" w:ascii="仿宋_GB2312" w:hAnsi="仿宋" w:eastAsia="仿宋_GB2312"/>
          <w:sz w:val="32"/>
          <w:szCs w:val="32"/>
          <w:lang w:val="en-US" w:eastAsia="zh-CN"/>
        </w:rPr>
        <w:t>755.64</w:t>
      </w:r>
      <w:r>
        <w:rPr>
          <w:rFonts w:hint="eastAsia" w:ascii="仿宋" w:hAnsi="仿宋" w:eastAsia="仿宋" w:cs="仿宋"/>
          <w:sz w:val="32"/>
          <w:szCs w:val="32"/>
          <w:lang w:val="en-US" w:eastAsia="zh-CN"/>
        </w:rPr>
        <w:t>万元。收支情况较年初预算增加的主要原因为：</w:t>
      </w:r>
      <w:r>
        <w:rPr>
          <w:rFonts w:hint="eastAsia" w:ascii="仿宋_GB2312" w:hAnsi="仿宋" w:eastAsia="仿宋_GB2312"/>
          <w:sz w:val="32"/>
          <w:szCs w:val="32"/>
          <w:lang w:val="en-US" w:eastAsia="zh-CN"/>
        </w:rPr>
        <w:t>增加了老旧小区改造项目资金。</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sz w:val="32"/>
          <w:szCs w:val="32"/>
          <w:highlight w:val="green"/>
          <w:lang w:eastAsia="zh-CN"/>
        </w:rPr>
      </w:pPr>
      <w:r>
        <w:rPr>
          <w:rFonts w:hint="eastAsia" w:ascii="仿宋" w:hAnsi="仿宋" w:eastAsia="仿宋" w:cs="楷体_GB2312"/>
          <w:b/>
          <w:bCs/>
          <w:sz w:val="32"/>
          <w:szCs w:val="32"/>
          <w:lang w:eastAsia="zh-CN"/>
        </w:rPr>
        <w:t>（三）部门整体支出绩效目标、指标</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outlineLvl w:val="9"/>
        <w:rPr>
          <w:rFonts w:hint="eastAsia" w:ascii="仿宋" w:hAnsi="仿宋" w:eastAsia="仿宋" w:cs="仿宋"/>
          <w:b w:val="0"/>
          <w:bCs w:val="0"/>
          <w:color w:val="auto"/>
          <w:spacing w:val="0"/>
          <w:sz w:val="32"/>
          <w:szCs w:val="32"/>
          <w:lang w:val="en-US" w:eastAsia="zh-CN"/>
        </w:rPr>
      </w:pPr>
      <w:r>
        <w:rPr>
          <w:rFonts w:hint="eastAsia" w:ascii="仿宋" w:hAnsi="仿宋" w:eastAsia="仿宋" w:cs="仿宋"/>
          <w:b w:val="0"/>
          <w:bCs w:val="0"/>
          <w:sz w:val="32"/>
          <w:szCs w:val="32"/>
          <w:lang w:val="en-US" w:eastAsia="zh-CN"/>
        </w:rPr>
        <w:t>2022年，</w:t>
      </w:r>
      <w:r>
        <w:rPr>
          <w:rFonts w:hint="eastAsia" w:ascii="仿宋" w:hAnsi="仿宋" w:eastAsia="仿宋" w:cs="仿宋"/>
          <w:b w:val="0"/>
          <w:bCs w:val="0"/>
          <w:color w:val="000000"/>
          <w:spacing w:val="0"/>
          <w:sz w:val="32"/>
          <w:szCs w:val="32"/>
          <w:lang w:val="en-US" w:eastAsia="zh-CN"/>
        </w:rPr>
        <w:t>在区委区政府坚强领导下，按照打造省会城市美丽“后花园”的标准定位，我局</w:t>
      </w:r>
      <w:r>
        <w:rPr>
          <w:rFonts w:hint="eastAsia" w:ascii="仿宋" w:hAnsi="仿宋" w:eastAsia="仿宋" w:cs="仿宋"/>
          <w:b w:val="0"/>
          <w:bCs w:val="0"/>
          <w:color w:val="auto"/>
          <w:spacing w:val="0"/>
          <w:sz w:val="32"/>
          <w:szCs w:val="32"/>
          <w:lang w:val="en-US" w:eastAsia="zh-CN"/>
        </w:rPr>
        <w:t>深入开展“三统筹三扩大四创建”活动，围绕“五大行动</w:t>
      </w:r>
      <w:r>
        <w:rPr>
          <w:rFonts w:hint="eastAsia" w:ascii="仿宋" w:hAnsi="仿宋" w:eastAsia="仿宋" w:cs="仿宋"/>
          <w:b w:val="0"/>
          <w:bCs w:val="0"/>
          <w:color w:val="auto"/>
          <w:spacing w:val="0"/>
          <w:sz w:val="32"/>
          <w:szCs w:val="32"/>
          <w:highlight w:val="none"/>
          <w:u w:val="none"/>
          <w:lang w:val="en-US" w:eastAsia="zh-CN"/>
        </w:rPr>
        <w:t>，22项工程”，提振精神，攻坚克难，务实苦干，凝心聚力</w:t>
      </w:r>
      <w:r>
        <w:rPr>
          <w:rFonts w:hint="eastAsia" w:ascii="仿宋" w:hAnsi="仿宋" w:eastAsia="仿宋" w:cs="仿宋"/>
          <w:b w:val="0"/>
          <w:bCs w:val="0"/>
          <w:color w:val="auto"/>
          <w:spacing w:val="0"/>
          <w:sz w:val="32"/>
          <w:szCs w:val="32"/>
          <w:lang w:val="en-US" w:eastAsia="zh-CN"/>
        </w:rPr>
        <w:t>，扎实推进县城建设各项重点工程。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w:t>
      </w:r>
      <w:r>
        <w:rPr>
          <w:rFonts w:hint="eastAsia" w:ascii="仿宋" w:hAnsi="仿宋" w:eastAsia="仿宋" w:cs="仿宋"/>
          <w:b w:val="0"/>
          <w:bCs w:val="0"/>
          <w:color w:val="auto"/>
          <w:sz w:val="32"/>
          <w:szCs w:val="32"/>
          <w:highlight w:val="none"/>
          <w:shd w:val="clear" w:color="auto" w:fill="auto"/>
          <w:lang w:eastAsia="zh-CN"/>
        </w:rPr>
        <w:t>老旧小区改造工程</w:t>
      </w:r>
      <w:r>
        <w:rPr>
          <w:rFonts w:hint="eastAsia" w:ascii="仿宋" w:hAnsi="仿宋" w:eastAsia="仿宋" w:cs="仿宋"/>
          <w:b w:val="0"/>
          <w:bCs w:val="0"/>
          <w:color w:val="auto"/>
          <w:sz w:val="32"/>
          <w:szCs w:val="32"/>
          <w:highlight w:val="none"/>
          <w:shd w:val="clear" w:color="auto" w:fill="auto"/>
          <w:lang w:val="en-US" w:eastAsia="zh-CN"/>
        </w:rPr>
        <w:t>。</w:t>
      </w:r>
      <w:r>
        <w:rPr>
          <w:rFonts w:hint="eastAsia" w:ascii="仿宋" w:hAnsi="仿宋" w:eastAsia="仿宋" w:cs="仿宋"/>
          <w:b w:val="0"/>
          <w:bCs w:val="0"/>
          <w:sz w:val="32"/>
          <w:szCs w:val="32"/>
          <w:lang w:val="en-US" w:eastAsia="zh-CN"/>
        </w:rPr>
        <w:t>2022年我区共改造老旧小区11个，52栋楼，涉及居民1660户，总投资3458万元。改造共分为4个片区（岗头路片区、建桥街片区、段家楼片区、五号楼片区），截至目前，已全部完成改造任务。</w:t>
      </w:r>
    </w:p>
    <w:p>
      <w:pPr>
        <w:pStyle w:val="2"/>
        <w:rPr>
          <w:rFonts w:hint="eastAsia" w:ascii="仿宋" w:hAnsi="仿宋" w:eastAsia="仿宋" w:cs="仿宋"/>
          <w:b w:val="0"/>
          <w:bCs w:val="0"/>
          <w:kern w:val="2"/>
          <w:sz w:val="32"/>
          <w:szCs w:val="32"/>
          <w:highlight w:val="none"/>
          <w:lang w:val="en-US" w:eastAsia="zh-CN" w:bidi="ar-SA"/>
        </w:rPr>
      </w:pPr>
      <w:r>
        <w:rPr>
          <w:rFonts w:hint="eastAsia" w:ascii="仿宋" w:hAnsi="仿宋" w:eastAsia="仿宋" w:cs="仿宋"/>
          <w:b w:val="0"/>
          <w:bCs w:val="0"/>
          <w:color w:val="auto"/>
          <w:sz w:val="32"/>
          <w:szCs w:val="32"/>
          <w:highlight w:val="none"/>
          <w:lang w:val="en-US" w:eastAsia="zh-CN"/>
        </w:rPr>
        <w:t>2.</w:t>
      </w:r>
      <w:r>
        <w:rPr>
          <w:rFonts w:hint="eastAsia" w:ascii="仿宋" w:hAnsi="仿宋" w:eastAsia="仿宋" w:cs="仿宋"/>
          <w:b w:val="0"/>
          <w:bCs w:val="0"/>
          <w:color w:val="auto"/>
          <w:spacing w:val="0"/>
          <w:kern w:val="2"/>
          <w:sz w:val="32"/>
          <w:szCs w:val="32"/>
          <w:highlight w:val="none"/>
          <w:u w:val="none"/>
          <w:lang w:val="en-US" w:eastAsia="zh-CN" w:bidi="ar-SA"/>
        </w:rPr>
        <w:t>市政类项目提升改造工程。</w:t>
      </w:r>
      <w:r>
        <w:rPr>
          <w:rFonts w:hint="eastAsia" w:ascii="仿宋" w:hAnsi="仿宋" w:eastAsia="仿宋" w:cs="仿宋"/>
          <w:b w:val="0"/>
          <w:bCs w:val="0"/>
          <w:kern w:val="2"/>
          <w:sz w:val="32"/>
          <w:szCs w:val="32"/>
          <w:highlight w:val="none"/>
          <w:lang w:val="en-US" w:eastAsia="zh-CN" w:bidi="ar-SA"/>
        </w:rPr>
        <w:t>市政排涝提升改造共分为三段（平涉路及沿线排水北段、横南段、贾庄段），截至目前，所有工程已都接近收尾阶段。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color w:val="auto"/>
          <w:sz w:val="32"/>
          <w:szCs w:val="32"/>
          <w:highlight w:val="none"/>
          <w:lang w:val="en-US" w:eastAsia="zh-CN"/>
        </w:rPr>
        <w:t>3.棚户区改造工程。一是横北棚户区改造工程。主要建设国有土地上建设３栋（国有１#－３#）安置楼，集体土地上建</w:t>
      </w:r>
      <w:r>
        <w:rPr>
          <w:rFonts w:hint="eastAsia" w:ascii="仿宋" w:hAnsi="仿宋" w:eastAsia="仿宋" w:cs="仿宋"/>
          <w:b w:val="0"/>
          <w:bCs w:val="0"/>
          <w:color w:val="auto"/>
          <w:spacing w:val="0"/>
          <w:kern w:val="2"/>
          <w:sz w:val="32"/>
          <w:szCs w:val="32"/>
          <w:highlight w:val="none"/>
          <w:u w:val="none"/>
          <w:lang w:val="en-US" w:eastAsia="zh-CN" w:bidi="ar-SA"/>
        </w:rPr>
        <w:t>设７栋（集体1# ～7#楼）安置楼。现10栋回迁楼中，现</w:t>
      </w:r>
      <w:bookmarkStart w:id="0" w:name="_GoBack"/>
      <w:bookmarkEnd w:id="0"/>
      <w:r>
        <w:rPr>
          <w:rFonts w:hint="eastAsia" w:ascii="仿宋" w:hAnsi="仿宋" w:eastAsia="仿宋" w:cs="仿宋"/>
          <w:b w:val="0"/>
          <w:bCs w:val="0"/>
          <w:sz w:val="32"/>
          <w:szCs w:val="32"/>
          <w:lang w:val="en-US" w:eastAsia="zh-CN"/>
        </w:rPr>
        <w:t>十栋楼主体封顶，截至目前室内外装饰装修完成98%，外墙粉刷已全部完成。</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b w:val="0"/>
          <w:bCs w:val="0"/>
          <w:kern w:val="2"/>
          <w:sz w:val="32"/>
          <w:szCs w:val="32"/>
          <w:highlight w:val="none"/>
          <w:lang w:val="en-US" w:eastAsia="zh-CN" w:bidi="ar-SA"/>
        </w:rPr>
      </w:pPr>
      <w:r>
        <w:rPr>
          <w:rFonts w:hint="eastAsia" w:ascii="仿宋" w:hAnsi="仿宋" w:eastAsia="仿宋" w:cs="仿宋"/>
          <w:b w:val="0"/>
          <w:bCs w:val="0"/>
          <w:kern w:val="2"/>
          <w:sz w:val="32"/>
          <w:szCs w:val="32"/>
          <w:highlight w:val="none"/>
          <w:lang w:val="en-US" w:eastAsia="zh-CN" w:bidi="ar-SA"/>
        </w:rPr>
        <w:t>4.加强房地产开发项目清理规范。</w:t>
      </w:r>
      <w:r>
        <w:rPr>
          <w:rFonts w:hint="eastAsia" w:ascii="仿宋" w:hAnsi="仿宋" w:eastAsia="仿宋" w:cs="仿宋"/>
          <w:b w:val="0"/>
          <w:bCs w:val="0"/>
          <w:sz w:val="32"/>
          <w:szCs w:val="32"/>
          <w:lang w:val="en-US" w:eastAsia="zh-CN"/>
        </w:rPr>
        <w:t>根据区“三场硬仗”纪检专班和政法专班有关要求和《持续整治房地产市场秩序专项行动方案》、《河北省住房和城乡建设厅等六部门关于进一步加强房地产开发项目全流程监管的若干措施》和市住建局房地产市场秩序专项整治、持续开展房地产秩序专项整治，巩固房地产项目清理专项整治要求，</w:t>
      </w:r>
      <w:r>
        <w:rPr>
          <w:rFonts w:hint="eastAsia" w:ascii="仿宋" w:hAnsi="仿宋" w:eastAsia="仿宋" w:cs="仿宋"/>
          <w:b w:val="0"/>
          <w:bCs w:val="0"/>
          <w:sz w:val="32"/>
          <w:szCs w:val="32"/>
          <w:lang w:eastAsia="zh-CN"/>
        </w:rPr>
        <w:t>加强对房地产的项目监管力度，严厉打击各类违规销售、虚假广告、以“养老”名义虚假宣传商品房行为，</w:t>
      </w:r>
      <w:r>
        <w:rPr>
          <w:rFonts w:hint="eastAsia" w:ascii="仿宋" w:hAnsi="仿宋" w:eastAsia="仿宋" w:cs="仿宋"/>
          <w:b w:val="0"/>
          <w:bCs w:val="0"/>
          <w:sz w:val="32"/>
          <w:szCs w:val="32"/>
          <w:lang w:val="en-US" w:eastAsia="zh-CN"/>
        </w:rPr>
        <w:t>聚焦房地产领域：房地产开发、物业管理、房产经纪机构三个重点行业，加强巡查检查（确保每周1次以上），向区政法专班移交房地产企业挪用资金项目2个，均已立案。我区房地产违法违规问题得到了有效遏制，起到了一定震慑作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b w:val="0"/>
          <w:bCs w:val="0"/>
          <w:sz w:val="32"/>
          <w:szCs w:val="32"/>
          <w:highlight w:val="none"/>
          <w:lang w:val="en-US" w:eastAsia="zh-CN"/>
        </w:rPr>
      </w:pPr>
      <w:r>
        <w:rPr>
          <w:rFonts w:hint="eastAsia" w:ascii="仿宋" w:hAnsi="仿宋" w:eastAsia="仿宋" w:cs="仿宋"/>
          <w:b w:val="0"/>
          <w:bCs w:val="0"/>
          <w:sz w:val="32"/>
          <w:szCs w:val="32"/>
          <w:highlight w:val="none"/>
          <w:lang w:val="en-US" w:eastAsia="zh-CN"/>
        </w:rPr>
        <w:t>5.加强住房租赁市场管理。</w:t>
      </w:r>
      <w:r>
        <w:rPr>
          <w:rFonts w:hint="eastAsia" w:ascii="仿宋" w:hAnsi="仿宋" w:eastAsia="仿宋" w:cs="仿宋"/>
          <w:b w:val="0"/>
          <w:bCs w:val="0"/>
          <w:sz w:val="32"/>
          <w:szCs w:val="32"/>
          <w:lang w:val="en-US" w:eastAsia="zh-CN"/>
        </w:rPr>
        <w:t>2022年分配我区筹集租赁住房510套（间），其中：新建、改建租赁住房210套（间），盘活存量房源300套（间）。加快推进住房租赁市场试点工作，落实市下达的住房租赁房源筹集任务。</w:t>
      </w:r>
    </w:p>
    <w:p>
      <w:pPr>
        <w:keepNext w:val="0"/>
        <w:keepLines w:val="0"/>
        <w:pageBreakBefore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highlight w:val="none"/>
          <w:lang w:val="en-US" w:eastAsia="zh-CN"/>
        </w:rPr>
        <w:t>6.加强物业企业管理。一是</w:t>
      </w:r>
      <w:r>
        <w:rPr>
          <w:rFonts w:hint="eastAsia" w:ascii="仿宋" w:hAnsi="仿宋" w:eastAsia="仿宋" w:cs="仿宋"/>
          <w:b w:val="0"/>
          <w:bCs w:val="0"/>
          <w:kern w:val="2"/>
          <w:sz w:val="32"/>
          <w:szCs w:val="32"/>
          <w:lang w:val="en-US" w:eastAsia="zh-CN" w:bidi="ar-SA"/>
        </w:rPr>
        <w:t>持续开展物业管理和物业服务收费问题排查整治工作，组织物业企业召开专题会议，部署住宅物业开展自查自纠，确保每月日常巡查不少于4次；</w:t>
      </w:r>
      <w:r>
        <w:rPr>
          <w:rFonts w:hint="eastAsia" w:ascii="仿宋" w:hAnsi="仿宋" w:eastAsia="仿宋" w:cs="仿宋"/>
          <w:b w:val="0"/>
          <w:bCs w:val="0"/>
          <w:sz w:val="32"/>
          <w:szCs w:val="32"/>
          <w:highlight w:val="none"/>
          <w:lang w:val="en-US" w:eastAsia="zh-CN"/>
        </w:rPr>
        <w:t>二</w:t>
      </w:r>
      <w:r>
        <w:rPr>
          <w:rFonts w:hint="eastAsia" w:ascii="仿宋" w:hAnsi="仿宋" w:eastAsia="仿宋" w:cs="仿宋"/>
          <w:b w:val="0"/>
          <w:bCs w:val="0"/>
          <w:sz w:val="32"/>
          <w:szCs w:val="32"/>
          <w:highlight w:val="none"/>
          <w:lang w:eastAsia="zh-CN"/>
        </w:rPr>
        <w:t>是督促各物业公司</w:t>
      </w:r>
      <w:r>
        <w:rPr>
          <w:rFonts w:hint="eastAsia" w:ascii="仿宋" w:hAnsi="仿宋" w:eastAsia="仿宋" w:cs="仿宋"/>
          <w:b w:val="0"/>
          <w:bCs w:val="0"/>
          <w:sz w:val="32"/>
          <w:szCs w:val="32"/>
          <w:highlight w:val="none"/>
        </w:rPr>
        <w:t>按照服务合同监管物业公司提供服务，不得随意降低服务标准，不得随意提高服务价格，不得捆绑收费。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highlight w:val="none"/>
          <w:lang w:val="en-US" w:eastAsia="zh-CN"/>
        </w:rPr>
        <w:t>7.着力推进</w:t>
      </w:r>
      <w:r>
        <w:rPr>
          <w:rFonts w:hint="eastAsia" w:ascii="仿宋" w:hAnsi="仿宋" w:eastAsia="仿宋" w:cs="仿宋"/>
          <w:b w:val="0"/>
          <w:bCs w:val="0"/>
          <w:sz w:val="32"/>
          <w:szCs w:val="32"/>
          <w:highlight w:val="none"/>
        </w:rPr>
        <w:t>大气污染防治工作</w:t>
      </w:r>
      <w:r>
        <w:rPr>
          <w:rFonts w:hint="eastAsia" w:ascii="仿宋" w:hAnsi="仿宋" w:eastAsia="仿宋" w:cs="仿宋"/>
          <w:b w:val="0"/>
          <w:bCs w:val="0"/>
          <w:sz w:val="32"/>
          <w:szCs w:val="32"/>
          <w:highlight w:val="none"/>
          <w:lang w:eastAsia="zh-CN"/>
        </w:rPr>
        <w:t>。</w:t>
      </w:r>
      <w:r>
        <w:rPr>
          <w:rFonts w:hint="eastAsia" w:ascii="仿宋" w:hAnsi="仿宋" w:eastAsia="仿宋" w:cs="仿宋"/>
          <w:b w:val="0"/>
          <w:bCs w:val="0"/>
          <w:sz w:val="32"/>
          <w:szCs w:val="32"/>
          <w:highlight w:val="none"/>
        </w:rPr>
        <w:t>严格执行省、市</w:t>
      </w:r>
      <w:r>
        <w:rPr>
          <w:rFonts w:hint="eastAsia" w:ascii="仿宋" w:hAnsi="仿宋" w:eastAsia="仿宋" w:cs="仿宋"/>
          <w:b w:val="0"/>
          <w:bCs w:val="0"/>
          <w:sz w:val="32"/>
          <w:szCs w:val="32"/>
          <w:highlight w:val="none"/>
          <w:lang w:eastAsia="zh-CN"/>
        </w:rPr>
        <w:t>、区</w:t>
      </w:r>
      <w:r>
        <w:rPr>
          <w:rFonts w:hint="eastAsia" w:ascii="仿宋" w:hAnsi="仿宋" w:eastAsia="仿宋" w:cs="仿宋"/>
          <w:b w:val="0"/>
          <w:bCs w:val="0"/>
          <w:sz w:val="32"/>
          <w:szCs w:val="32"/>
          <w:highlight w:val="none"/>
        </w:rPr>
        <w:t>施工扬尘治理标准要求，</w:t>
      </w:r>
      <w:r>
        <w:rPr>
          <w:rFonts w:hint="eastAsia" w:ascii="仿宋" w:hAnsi="仿宋" w:eastAsia="仿宋" w:cs="仿宋"/>
          <w:b w:val="0"/>
          <w:bCs w:val="0"/>
          <w:sz w:val="32"/>
          <w:szCs w:val="32"/>
          <w:highlight w:val="none"/>
          <w:lang w:eastAsia="zh-CN"/>
        </w:rPr>
        <w:t>按照</w:t>
      </w:r>
      <w:r>
        <w:rPr>
          <w:rFonts w:hint="eastAsia" w:ascii="仿宋" w:hAnsi="仿宋" w:eastAsia="仿宋" w:cs="仿宋"/>
          <w:b w:val="0"/>
          <w:bCs w:val="0"/>
          <w:sz w:val="32"/>
          <w:szCs w:val="32"/>
          <w:highlight w:val="none"/>
        </w:rPr>
        <w:t>石家庄市建筑施工十二条标准”和</w:t>
      </w:r>
      <w:r>
        <w:rPr>
          <w:rFonts w:hint="eastAsia" w:ascii="仿宋" w:hAnsi="仿宋" w:eastAsia="仿宋" w:cs="仿宋"/>
          <w:b w:val="0"/>
          <w:bCs w:val="0"/>
          <w:sz w:val="32"/>
          <w:szCs w:val="32"/>
          <w:highlight w:val="none"/>
          <w:lang w:eastAsia="zh-CN"/>
        </w:rPr>
        <w:t>六</w:t>
      </w:r>
      <w:r>
        <w:rPr>
          <w:rFonts w:hint="eastAsia" w:ascii="仿宋" w:hAnsi="仿宋" w:eastAsia="仿宋" w:cs="仿宋"/>
          <w:b w:val="0"/>
          <w:bCs w:val="0"/>
          <w:sz w:val="32"/>
          <w:szCs w:val="32"/>
          <w:highlight w:val="none"/>
        </w:rPr>
        <w:t>个100%为标准，每月巡查不少于4次，</w:t>
      </w:r>
      <w:r>
        <w:rPr>
          <w:rFonts w:hint="eastAsia" w:ascii="仿宋" w:hAnsi="仿宋" w:eastAsia="仿宋" w:cs="仿宋"/>
          <w:b w:val="0"/>
          <w:bCs w:val="0"/>
          <w:sz w:val="32"/>
          <w:szCs w:val="32"/>
          <w:highlight w:val="none"/>
          <w:lang w:eastAsia="zh-CN"/>
        </w:rPr>
        <w:t>对扬尘治理不达标的施工单位，根据有关条例进行了处罚。</w:t>
      </w:r>
      <w:r>
        <w:rPr>
          <w:rFonts w:hint="eastAsia" w:ascii="仿宋" w:hAnsi="仿宋" w:eastAsia="仿宋" w:cs="仿宋"/>
          <w:b w:val="0"/>
          <w:bCs w:val="0"/>
          <w:color w:val="auto"/>
          <w:sz w:val="32"/>
          <w:szCs w:val="32"/>
          <w:highlight w:val="none"/>
        </w:rPr>
        <w:t>截至目前，</w:t>
      </w:r>
      <w:r>
        <w:rPr>
          <w:rFonts w:hint="eastAsia" w:ascii="仿宋" w:hAnsi="仿宋" w:eastAsia="仿宋" w:cs="仿宋"/>
          <w:b w:val="0"/>
          <w:bCs w:val="0"/>
          <w:kern w:val="2"/>
          <w:sz w:val="32"/>
          <w:szCs w:val="32"/>
          <w:highlight w:val="none"/>
          <w:lang w:val="en-US" w:eastAsia="zh-CN" w:bidi="ar-SA"/>
        </w:rPr>
        <w:t>累计派出检查130人次，检查工程项100家次，下发限期整改通知书90余份，移交综合执法局扬尘处罚函4份。</w:t>
      </w:r>
    </w:p>
    <w:p>
      <w:pPr>
        <w:pStyle w:val="6"/>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kern w:val="2"/>
          <w:sz w:val="32"/>
          <w:szCs w:val="32"/>
          <w:highlight w:val="none"/>
          <w:lang w:val="en-US" w:eastAsia="zh-CN" w:bidi="ar-SA"/>
        </w:rPr>
        <w:t>8.</w:t>
      </w:r>
      <w:r>
        <w:rPr>
          <w:rFonts w:hint="eastAsia" w:ascii="仿宋" w:hAnsi="仿宋" w:eastAsia="仿宋" w:cs="仿宋"/>
          <w:b w:val="0"/>
          <w:bCs w:val="0"/>
          <w:color w:val="auto"/>
          <w:sz w:val="32"/>
          <w:szCs w:val="32"/>
          <w:highlight w:val="none"/>
          <w:shd w:val="clear" w:color="auto" w:fill="auto"/>
          <w:lang w:val="en-US" w:eastAsia="zh-CN"/>
        </w:rPr>
        <w:t>建筑市场监督管理工作。深入开展了建筑市场秩序专项整治、工程建设领域专项整治、“三包一靠”等违法行为专项整治及打非治违“回头看”等专项整治行动5次，起草并下发《井陉矿区2022年度建筑市场秩序集中整治工作实施方案》、《房屋建筑和市政基础建设领域违法发包、转包、违法分包、挂靠等违法行为专项整治工作方案》及《矿区建筑市场秩序监管常态长效机制》等文件60余份，对全区工程项目开展专项巡查20余次，共检查12个项目，下发限期整改通知书31份，停工通知书9份，约谈单位2家，正在整理并移交行政处罚案卷3起。</w:t>
      </w:r>
    </w:p>
    <w:p>
      <w:pPr>
        <w:widowControl w:val="0"/>
        <w:wordWrap/>
        <w:adjustRightInd w:val="0"/>
        <w:snapToGrid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widowControl w:val="0"/>
        <w:wordWrap/>
        <w:spacing w:line="560" w:lineRule="exact"/>
        <w:ind w:left="0" w:leftChars="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pPr>
      <w:r>
        <w:rPr>
          <w:rFonts w:hint="eastAsia" w:ascii="仿宋_GB2312" w:hAnsi="Times New Roman" w:eastAsia="仿宋" w:cs="仿宋"/>
          <w:kern w:val="2"/>
          <w:sz w:val="32"/>
          <w:szCs w:val="32"/>
          <w:lang w:val="en-US" w:eastAsia="zh-CN" w:bidi="ar"/>
        </w:rPr>
        <w:t>为确保2022年区级部门项目绩效自评工作的顺利开展，财务审计股、城市建设股、住房保障股、老旧小区专班等组成联合小组，自行开展部门自评工作，全面负责部门自评工作，具体包括制定工作方案、进行任务布置及辅导、收集分析相关资料、审核项目支出绩效自评表、撰写绩效评价报告等。</w:t>
      </w:r>
    </w:p>
    <w:p>
      <w:pPr>
        <w:widowControl w:val="0"/>
        <w:numPr>
          <w:ilvl w:val="0"/>
          <w:numId w:val="2"/>
        </w:numPr>
        <w:wordWrap/>
        <w:spacing w:line="560" w:lineRule="exact"/>
        <w:ind w:left="642" w:leftChars="0" w:right="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 w:cs="仿宋"/>
          <w:sz w:val="32"/>
          <w:szCs w:val="32"/>
          <w:lang w:eastAsia="zh-CN"/>
        </w:rPr>
      </w:pPr>
      <w:r>
        <w:rPr>
          <w:rFonts w:hint="eastAsia" w:ascii="仿宋_GB2312" w:hAnsi="仿宋_GB2312" w:eastAsia="仿宋" w:cs="仿宋"/>
          <w:sz w:val="32"/>
          <w:szCs w:val="32"/>
          <w:lang w:val="en-US" w:eastAsia="zh-CN"/>
        </w:rPr>
        <w:t>1.</w:t>
      </w:r>
      <w:r>
        <w:rPr>
          <w:rFonts w:hint="eastAsia" w:ascii="仿宋_GB2312" w:hAnsi="仿宋_GB2312" w:eastAsia="仿宋" w:cs="仿宋"/>
          <w:sz w:val="32"/>
          <w:szCs w:val="32"/>
          <w:lang w:eastAsia="zh-CN"/>
        </w:rPr>
        <w:t>制定自评工作方案</w:t>
      </w:r>
    </w:p>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outlineLvl w:val="9"/>
        <w:rPr>
          <w:rFonts w:hint="eastAsia" w:ascii="仿宋_GB2312" w:hAnsi="Times New Roman" w:eastAsia="仿宋" w:cs="仿宋"/>
          <w:kern w:val="2"/>
          <w:sz w:val="32"/>
          <w:szCs w:val="32"/>
          <w:lang w:val="en-US" w:eastAsia="zh-CN" w:bidi="ar"/>
        </w:rPr>
      </w:pPr>
      <w:r>
        <w:rPr>
          <w:rFonts w:hint="eastAsia" w:ascii="仿宋_GB2312" w:hAnsi="Times New Roman" w:eastAsia="仿宋" w:cs="仿宋"/>
          <w:kern w:val="2"/>
          <w:sz w:val="32"/>
          <w:szCs w:val="32"/>
          <w:lang w:val="en-US" w:eastAsia="zh-CN" w:bidi="ar"/>
        </w:rPr>
        <w:t>为确保部门自评工作的顺利完成，根据《石家庄市井陉矿区区级部门项目绩效自评管理办法》工作要求，自评工作小组拟定了部门自评工作方案，全面部署自评工作开展。</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outlineLvl w:val="9"/>
        <w:rPr>
          <w:rFonts w:hint="eastAsia" w:ascii="仿宋_GB2312" w:hAnsi="仿宋_GB2312" w:eastAsia="仿宋" w:cs="仿宋"/>
          <w:sz w:val="32"/>
          <w:szCs w:val="32"/>
          <w:lang w:eastAsia="zh-CN"/>
        </w:rPr>
      </w:pPr>
      <w:r>
        <w:rPr>
          <w:rFonts w:hint="eastAsia" w:ascii="仿宋_GB2312" w:hAnsi="仿宋_GB2312" w:eastAsia="仿宋" w:cs="仿宋"/>
          <w:sz w:val="32"/>
          <w:szCs w:val="32"/>
          <w:lang w:val="en-US" w:eastAsia="zh-CN"/>
        </w:rPr>
        <w:t>2.</w:t>
      </w:r>
      <w:r>
        <w:rPr>
          <w:rFonts w:hint="eastAsia" w:ascii="仿宋_GB2312" w:hAnsi="仿宋_GB2312" w:eastAsia="仿宋" w:cs="仿宋"/>
          <w:sz w:val="32"/>
          <w:szCs w:val="32"/>
          <w:lang w:eastAsia="zh-CN"/>
        </w:rPr>
        <w:t>开展自评培训</w:t>
      </w:r>
    </w:p>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outlineLvl w:val="9"/>
        <w:rPr>
          <w:rFonts w:hint="eastAsia" w:ascii="仿宋_GB2312" w:hAnsi="仿宋_GB2312" w:eastAsia="仿宋" w:cs="仿宋"/>
          <w:sz w:val="32"/>
          <w:szCs w:val="32"/>
          <w:lang w:eastAsia="zh-CN"/>
        </w:rPr>
      </w:pPr>
      <w:r>
        <w:rPr>
          <w:rFonts w:hint="eastAsia" w:ascii="仿宋_GB2312" w:hAnsi="Times New Roman" w:eastAsia="仿宋" w:cs="仿宋"/>
          <w:kern w:val="2"/>
          <w:sz w:val="32"/>
          <w:szCs w:val="32"/>
          <w:lang w:val="en-US" w:eastAsia="zh-CN" w:bidi="ar"/>
        </w:rPr>
        <w:t>3月15日，自评工作小组组织召开了自评工作培训会，对绩效评价的目的、自评工作要求、绩效自评表填写、自评工作程序及资料准备等进行培训，制定资料清单，建立自评工作微信群及时沟通部门自评工作的进展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 w:cs="仿宋"/>
          <w:sz w:val="32"/>
          <w:szCs w:val="32"/>
          <w:lang w:val="en-US" w:eastAsia="zh-CN"/>
        </w:rPr>
      </w:pPr>
      <w:r>
        <w:rPr>
          <w:rFonts w:hint="eastAsia" w:ascii="仿宋_GB2312" w:hAnsi="仿宋_GB2312" w:eastAsia="仿宋" w:cs="仿宋"/>
          <w:sz w:val="32"/>
          <w:szCs w:val="32"/>
          <w:lang w:val="en-US" w:eastAsia="zh-CN"/>
        </w:rPr>
        <w:t>3.开展资料收集、分析与评论</w:t>
      </w:r>
    </w:p>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outlineLvl w:val="9"/>
        <w:rPr>
          <w:rFonts w:hint="default" w:eastAsia="仿宋"/>
          <w:lang w:val="en-US" w:eastAsia="zh-CN"/>
        </w:rPr>
      </w:pPr>
      <w:r>
        <w:rPr>
          <w:rFonts w:hint="eastAsia" w:ascii="仿宋_GB2312" w:hAnsi="Times New Roman" w:eastAsia="仿宋" w:cs="仿宋"/>
          <w:kern w:val="2"/>
          <w:sz w:val="32"/>
          <w:szCs w:val="32"/>
          <w:lang w:val="en-US" w:eastAsia="zh-CN" w:bidi="ar"/>
        </w:rPr>
        <w:t>3月28日-4月8日，自评工作小组对30个项目提交的《部门专项项目绩效自评表》逐一进行了审核，将填报的问题向业务处室反馈并要求修改完善，直至符合填报要求，具备评价基础。其后，自评工作组按照绩效自评管理办法的工作要求，根据各项目实际情况，逐一对各项目预算执行、绩效指标等赋予分值及权重，并根据项目各项指标年初指标值与实际完成值的对比结果给予各项指标评分，汇总形成各项目绩效自评总得分。对于自评中发现的问题，自评工作小组予以全面记录，反馈业务处室。根据分析结果，全面总结项目决策、管理、绩效情况，撰写项目绩效评价报告。</w:t>
      </w:r>
    </w:p>
    <w:p>
      <w:pPr>
        <w:widowControl w:val="0"/>
        <w:wordWrap/>
        <w:spacing w:line="56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widowControl w:val="0"/>
        <w:numPr>
          <w:ilvl w:val="0"/>
          <w:numId w:val="3"/>
        </w:numPr>
        <w:wordWrap/>
        <w:spacing w:line="560" w:lineRule="exact"/>
        <w:ind w:left="0" w:leftChars="0" w:right="0" w:firstLine="643" w:firstLineChars="200"/>
        <w:textAlignment w:val="auto"/>
        <w:outlineLvl w:val="9"/>
        <w:rPr>
          <w:rFonts w:hint="eastAsia" w:ascii="仿宋" w:hAnsi="仿宋" w:eastAsia="仿宋"/>
          <w:sz w:val="32"/>
          <w:szCs w:val="32"/>
          <w:highlight w:val="none"/>
          <w:lang w:eastAsia="zh-CN"/>
        </w:rPr>
      </w:pPr>
      <w:r>
        <w:rPr>
          <w:rFonts w:hint="eastAsia" w:ascii="仿宋" w:hAnsi="仿宋" w:eastAsia="仿宋" w:cs="楷体_GB2312"/>
          <w:b/>
          <w:bCs/>
          <w:sz w:val="32"/>
          <w:szCs w:val="32"/>
          <w:highlight w:val="none"/>
          <w:lang w:eastAsia="zh-CN"/>
        </w:rPr>
        <w:t>总体绩效目标实现情况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pPr>
      <w:r>
        <w:rPr>
          <w:rFonts w:hint="eastAsia" w:ascii="仿宋" w:hAnsi="仿宋" w:eastAsia="仿宋" w:cs="仿宋"/>
          <w:sz w:val="32"/>
          <w:szCs w:val="32"/>
          <w:lang w:val="en-US" w:eastAsia="zh-CN"/>
        </w:rPr>
        <w:t>2022年，我局全力开展好</w:t>
      </w:r>
      <w:r>
        <w:rPr>
          <w:rFonts w:hint="eastAsia" w:ascii="仿宋" w:hAnsi="仿宋" w:eastAsia="仿宋" w:cs="仿宋"/>
          <w:color w:val="auto"/>
          <w:spacing w:val="0"/>
          <w:sz w:val="32"/>
          <w:szCs w:val="32"/>
          <w:lang w:val="en-US" w:eastAsia="zh-CN"/>
        </w:rPr>
        <w:t>“三统筹三扩大四创建”活动</w:t>
      </w:r>
      <w:r>
        <w:rPr>
          <w:rFonts w:hint="eastAsia" w:ascii="仿宋" w:hAnsi="仿宋" w:eastAsia="仿宋" w:cs="仿宋"/>
          <w:sz w:val="32"/>
          <w:szCs w:val="32"/>
          <w:lang w:eastAsia="zh-CN"/>
        </w:rPr>
        <w:t>，积极向上问计，切实做好既定项目的推动跟进，</w:t>
      </w:r>
      <w:r>
        <w:rPr>
          <w:rFonts w:hint="eastAsia" w:ascii="仿宋" w:hAnsi="仿宋" w:eastAsia="仿宋" w:cs="仿宋"/>
          <w:sz w:val="32"/>
          <w:szCs w:val="32"/>
          <w:lang w:val="en-US" w:eastAsia="zh-CN"/>
        </w:rPr>
        <w:t>申请上级资金保障性安居工程、棚户区改造、老旧小区改造等改造工程</w:t>
      </w:r>
      <w:r>
        <w:rPr>
          <w:rFonts w:hint="eastAsia" w:ascii="仿宋" w:hAnsi="仿宋" w:eastAsia="仿宋" w:cs="仿宋"/>
          <w:b w:val="0"/>
          <w:bCs w:val="0"/>
          <w:sz w:val="32"/>
          <w:szCs w:val="32"/>
          <w:highlight w:val="none"/>
          <w:lang w:val="en-US" w:eastAsia="zh-CN"/>
        </w:rPr>
        <w:t>，为我区城市建设工作提供资金保障</w:t>
      </w:r>
      <w:r>
        <w:rPr>
          <w:rFonts w:hint="eastAsia" w:ascii="仿宋" w:hAnsi="仿宋" w:eastAsia="仿宋" w:cs="仿宋"/>
          <w:sz w:val="32"/>
          <w:szCs w:val="32"/>
          <w:lang w:eastAsia="zh-CN"/>
        </w:rPr>
        <w:t>。</w:t>
      </w:r>
    </w:p>
    <w:p>
      <w:pPr>
        <w:widowControl w:val="0"/>
        <w:wordWrap/>
        <w:spacing w:line="560" w:lineRule="exact"/>
        <w:ind w:left="0" w:leftChars="0" w:right="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pPr>
      <w:r>
        <w:rPr>
          <w:rFonts w:hint="eastAsia" w:ascii="仿宋" w:hAnsi="仿宋" w:eastAsia="仿宋" w:cs="仿宋"/>
          <w:kern w:val="2"/>
          <w:sz w:val="32"/>
          <w:szCs w:val="32"/>
          <w:lang w:val="en-US" w:eastAsia="zh-CN" w:bidi="ar"/>
        </w:rPr>
        <w:t>自评工作组对2022年30个预算项目开展了绩效自评工作，从项目的预算执行、目标的完成情况、产出指标、效益指标及受益群体满意度等方面进行评价，30个预算项目均已完成绩效目标。</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黑体" w:hAnsi="黑体" w:eastAsia="黑体"/>
          <w:sz w:val="32"/>
          <w:szCs w:val="32"/>
        </w:rPr>
        <w:t>四、评价结论和评价等级</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pPr>
      <w:r>
        <w:rPr>
          <w:rFonts w:hint="eastAsia" w:ascii="仿宋_GB2312" w:hAnsi="Times New Roman" w:eastAsia="仿宋" w:cs="仿宋"/>
          <w:kern w:val="2"/>
          <w:sz w:val="32"/>
          <w:szCs w:val="32"/>
          <w:lang w:val="en-US" w:eastAsia="zh-CN" w:bidi="ar"/>
        </w:rPr>
        <w:t>自评工作组</w:t>
      </w: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w:t>
      </w:r>
      <w:r>
        <w:rPr>
          <w:rFonts w:hint="eastAsia" w:ascii="仿宋_GB2312" w:hAnsi="Times New Roman" w:eastAsia="仿宋" w:cs="仿宋"/>
          <w:kern w:val="2"/>
          <w:sz w:val="32"/>
          <w:szCs w:val="32"/>
          <w:lang w:val="en-US" w:eastAsia="zh-CN" w:bidi="ar"/>
        </w:rPr>
        <w:t>对2022年30个预算项目</w:t>
      </w:r>
      <w:r>
        <w:rPr>
          <w:rFonts w:hint="eastAsia" w:ascii="仿宋" w:hAnsi="仿宋" w:eastAsia="仿宋"/>
          <w:sz w:val="32"/>
          <w:szCs w:val="32"/>
          <w:lang w:eastAsia="zh-CN"/>
        </w:rPr>
        <w:t>进行了综合评价</w:t>
      </w:r>
      <w:r>
        <w:rPr>
          <w:rFonts w:hint="eastAsia" w:ascii="仿宋" w:hAnsi="仿宋" w:eastAsia="仿宋"/>
          <w:sz w:val="32"/>
          <w:szCs w:val="32"/>
        </w:rPr>
        <w:t>，给出总得分，得出综合绩效评价等级。</w:t>
      </w:r>
      <w:r>
        <w:rPr>
          <w:rFonts w:hint="eastAsia" w:ascii="仿宋" w:hAnsi="仿宋" w:eastAsia="仿宋"/>
          <w:sz w:val="32"/>
          <w:szCs w:val="32"/>
          <w:lang w:val="en-US" w:eastAsia="zh-CN"/>
        </w:rPr>
        <w:t>2022年30个预算项目均实现了绩效目标指标，评</w:t>
      </w:r>
      <w:r>
        <w:rPr>
          <w:rFonts w:hint="eastAsia" w:ascii="仿宋" w:hAnsi="仿宋" w:eastAsia="仿宋"/>
          <w:sz w:val="32"/>
          <w:szCs w:val="32"/>
        </w:rPr>
        <w:t>为优秀</w:t>
      </w:r>
      <w:r>
        <w:rPr>
          <w:rFonts w:hint="eastAsia" w:ascii="仿宋" w:hAnsi="仿宋" w:eastAsia="仿宋"/>
          <w:sz w:val="32"/>
          <w:szCs w:val="32"/>
          <w:lang w:eastAsia="zh-CN"/>
        </w:rPr>
        <w:t>等级</w:t>
      </w:r>
      <w:r>
        <w:rPr>
          <w:rFonts w:hint="eastAsia" w:ascii="仿宋" w:hAnsi="仿宋" w:eastAsia="仿宋"/>
          <w:sz w:val="32"/>
          <w:szCs w:val="32"/>
        </w:rPr>
        <w:t>。</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leftChars="0" w:right="0" w:rightChars="0" w:firstLine="420" w:firstLineChars="200"/>
        <w:jc w:val="both"/>
        <w:textAlignment w:val="auto"/>
        <w:outlineLvl w:val="9"/>
      </w:pPr>
      <w:r>
        <w:rPr>
          <w:rFonts w:hint="eastAsia"/>
          <w:b w:val="0"/>
          <w:bCs w:val="0"/>
          <w:lang w:val="en-US" w:eastAsia="zh-CN"/>
        </w:rPr>
        <w:t xml:space="preserve"> </w:t>
      </w:r>
      <w:r>
        <w:rPr>
          <w:rFonts w:hint="eastAsia" w:ascii="仿宋_GB2312" w:hAnsi="Times New Roman" w:eastAsia="仿宋" w:cs="仿宋"/>
          <w:kern w:val="2"/>
          <w:sz w:val="32"/>
          <w:szCs w:val="32"/>
          <w:lang w:val="en-US" w:eastAsia="zh-CN" w:bidi="ar"/>
        </w:rPr>
        <w:t>通过绩效自评，发现我局项目绩效管理存在的主要问题为：一是绩效目标设置科学性有待提高。部分绩效指标设置不够全面</w:t>
      </w:r>
      <w:r>
        <w:rPr>
          <w:rFonts w:hint="eastAsia" w:ascii="仿宋" w:hAnsi="仿宋" w:eastAsia="仿宋"/>
          <w:sz w:val="32"/>
          <w:szCs w:val="32"/>
          <w:lang w:val="en-US" w:eastAsia="zh-CN"/>
        </w:rPr>
        <w:t>，</w:t>
      </w:r>
      <w:r>
        <w:rPr>
          <w:rFonts w:hint="eastAsia" w:ascii="仿宋" w:hAnsi="仿宋" w:eastAsia="仿宋" w:cs="仿宋"/>
          <w:b w:val="0"/>
          <w:bCs w:val="0"/>
          <w:sz w:val="32"/>
          <w:szCs w:val="32"/>
          <w:lang w:val="en-US" w:eastAsia="zh-CN"/>
        </w:rPr>
        <w:t>绩</w:t>
      </w:r>
      <w:r>
        <w:rPr>
          <w:rFonts w:hint="eastAsia" w:ascii="仿宋_GB2312" w:hAnsi="Times New Roman" w:eastAsia="仿宋" w:cs="仿宋"/>
          <w:kern w:val="2"/>
          <w:sz w:val="32"/>
          <w:szCs w:val="32"/>
          <w:lang w:val="en-US" w:eastAsia="zh-CN" w:bidi="ar"/>
        </w:rPr>
        <w:t>效指标设置的科学性、准确性有待提升。二是预算系统内绩效指标与实际项目支出绩效指标匹配性不足。预算系统在预算申报结束后关闭，后期工作出现调整，不能同步在系统中变更，造成预算系统内数据与实际评价有差异。三是项目过程管理水平有待提升，项目过程监管力度有待加强。业务科室需负担起所监管项目的工程质量、内容的管控，在各自的权限内严格把关。</w:t>
      </w:r>
    </w:p>
    <w:p>
      <w:pPr>
        <w:widowControl w:val="0"/>
        <w:numPr>
          <w:ilvl w:val="0"/>
          <w:numId w:val="3"/>
        </w:numPr>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针对问题提出具体的改进措施或建议</w:t>
      </w:r>
    </w:p>
    <w:p>
      <w:pPr>
        <w:pStyle w:val="3"/>
        <w:keepNext w:val="0"/>
        <w:keepLines w:val="0"/>
        <w:pageBreakBefore w:val="0"/>
        <w:widowControl w:val="0"/>
        <w:kinsoku/>
        <w:wordWrap/>
        <w:overflowPunct/>
        <w:topLinePunct w:val="0"/>
        <w:autoSpaceDE/>
        <w:autoSpaceDN/>
        <w:bidi w:val="0"/>
        <w:adjustRightInd/>
        <w:snapToGrid/>
        <w:spacing w:before="0" w:line="560" w:lineRule="exact"/>
        <w:ind w:left="0" w:leftChars="0" w:right="0" w:rightChars="0" w:firstLine="640"/>
        <w:jc w:val="both"/>
        <w:textAlignment w:val="auto"/>
        <w:outlineLvl w:val="9"/>
        <w:rPr>
          <w:rFonts w:hint="eastAsia" w:ascii="仿宋_GB2312" w:hAnsi="仿宋_GB2312" w:eastAsia="仿宋" w:cs="仿宋"/>
          <w:bCs w:val="0"/>
          <w:kern w:val="2"/>
          <w:sz w:val="32"/>
          <w:szCs w:val="32"/>
          <w:lang w:val="en-US" w:eastAsia="zh-CN" w:bidi="ar"/>
        </w:rPr>
      </w:pPr>
      <w:r>
        <w:rPr>
          <w:rFonts w:hint="eastAsia" w:ascii="仿宋_GB2312" w:hAnsi="仿宋_GB2312" w:eastAsia="仿宋" w:cs="仿宋"/>
          <w:bCs w:val="0"/>
          <w:kern w:val="2"/>
          <w:sz w:val="32"/>
          <w:szCs w:val="32"/>
          <w:lang w:val="en-US" w:eastAsia="zh-CN" w:bidi="ar"/>
        </w:rPr>
        <w:t>针对自评发现的问题，我局积极采取措施，分别从以下几个方面改进：</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jc w:val="both"/>
        <w:textAlignment w:val="auto"/>
        <w:outlineLvl w:val="9"/>
        <w:rPr>
          <w:rFonts w:hint="eastAsia" w:ascii="仿宋_GB2312" w:hAnsi="Times New Roman" w:eastAsia="仿宋" w:cs="仿宋"/>
          <w:kern w:val="2"/>
          <w:sz w:val="32"/>
          <w:szCs w:val="32"/>
          <w:lang w:val="en-US" w:eastAsia="zh-CN" w:bidi="ar"/>
        </w:rPr>
      </w:pPr>
      <w:r>
        <w:rPr>
          <w:rFonts w:hint="eastAsia" w:ascii="仿宋_GB2312" w:hAnsi="仿宋_GB2312" w:eastAsia="仿宋" w:cs="仿宋"/>
          <w:bCs w:val="0"/>
          <w:kern w:val="2"/>
          <w:sz w:val="32"/>
          <w:szCs w:val="32"/>
          <w:lang w:val="en-US" w:eastAsia="zh-CN" w:bidi="ar"/>
        </w:rPr>
        <w:t>一是多措并举，提高绩效管理水平。我局意识到绩效管理的重要性，通过设立预算绩效管理</w:t>
      </w:r>
      <w:r>
        <w:rPr>
          <w:rFonts w:hint="eastAsia" w:ascii="仿宋_GB2312" w:hAnsi="Times New Roman" w:eastAsia="仿宋" w:cs="仿宋"/>
          <w:kern w:val="2"/>
          <w:sz w:val="32"/>
          <w:szCs w:val="32"/>
          <w:lang w:val="en-US" w:eastAsia="zh-CN" w:bidi="ar"/>
        </w:rPr>
        <w:t>领导小组，指定专人负责，在加强学习的同时积极参加相关培训，绩效管理认识及能力水平得以进一步提高。</w:t>
      </w:r>
    </w:p>
    <w:p>
      <w:pPr>
        <w:pStyle w:val="3"/>
        <w:keepNext w:val="0"/>
        <w:keepLines w:val="0"/>
        <w:pageBreakBefore w:val="0"/>
        <w:widowControl w:val="0"/>
        <w:kinsoku/>
        <w:wordWrap/>
        <w:overflowPunct/>
        <w:topLinePunct w:val="0"/>
        <w:autoSpaceDE/>
        <w:autoSpaceDN/>
        <w:bidi w:val="0"/>
        <w:adjustRightInd/>
        <w:snapToGrid/>
        <w:spacing w:before="0" w:line="560" w:lineRule="exact"/>
        <w:ind w:left="0" w:leftChars="0" w:right="0" w:rightChars="0"/>
        <w:jc w:val="both"/>
        <w:textAlignment w:val="auto"/>
        <w:outlineLvl w:val="9"/>
      </w:pPr>
      <w:r>
        <w:rPr>
          <w:rFonts w:hint="eastAsia" w:ascii="仿宋_GB2312" w:hAnsi="Times New Roman" w:eastAsia="仿宋" w:cs="仿宋"/>
          <w:kern w:val="2"/>
          <w:sz w:val="32"/>
          <w:szCs w:val="32"/>
          <w:lang w:val="en-US" w:eastAsia="zh-CN" w:bidi="ar"/>
        </w:rPr>
        <w:t xml:space="preserve">    二是加强预算编制。我局在编制项目预算时，充分借鉴以往经验，进一步完善、细化预算科目，强化预算编制的准确性、科学性。督促业务科室加快项目实施进度，并在日常工作中收集项目绩效管理相关资料。</w:t>
      </w:r>
    </w:p>
    <w:p>
      <w:pPr>
        <w:widowControl w:val="0"/>
        <w:numPr>
          <w:ilvl w:val="0"/>
          <w:numId w:val="4"/>
        </w:numPr>
        <w:wordWrap/>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评价工作组人员名单及签字（姓名、工作单位、职务、职称）</w:t>
      </w:r>
    </w:p>
    <w:p>
      <w:pPr>
        <w:pStyle w:val="3"/>
        <w:keepNext w:val="0"/>
        <w:keepLines w:val="0"/>
        <w:pageBreakBefore w:val="0"/>
        <w:widowControl w:val="0"/>
        <w:numPr>
          <w:ilvl w:val="0"/>
          <w:numId w:val="0"/>
        </w:numPr>
        <w:kinsoku/>
        <w:wordWrap/>
        <w:overflowPunct/>
        <w:topLinePunct w:val="0"/>
        <w:autoSpaceDE/>
        <w:autoSpaceDN/>
        <w:bidi w:val="0"/>
        <w:adjustRightInd/>
        <w:snapToGrid/>
        <w:spacing w:before="0" w:line="240" w:lineRule="auto"/>
        <w:ind w:right="0" w:rightChars="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自评工作小组成员名单</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组  长：    张振华    住建局副局长</w:t>
      </w:r>
    </w:p>
    <w:p>
      <w:pPr>
        <w:pStyle w:val="3"/>
        <w:keepNext w:val="0"/>
        <w:keepLines w:val="0"/>
        <w:pageBreakBefore w:val="0"/>
        <w:widowControl w:val="0"/>
        <w:kinsoku/>
        <w:wordWrap/>
        <w:overflowPunct/>
        <w:topLinePunct w:val="0"/>
        <w:autoSpaceDE/>
        <w:autoSpaceDN/>
        <w:bidi w:val="0"/>
        <w:adjustRightInd/>
        <w:snapToGrid/>
        <w:spacing w:before="0" w:line="560" w:lineRule="exact"/>
        <w:ind w:left="0" w:leftChars="0" w:right="0" w:rightChars="0" w:firstLine="64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副组长：    许育红    住建局财务审计股负责人</w:t>
      </w:r>
    </w:p>
    <w:p>
      <w:pPr>
        <w:pStyle w:val="3"/>
        <w:keepNext w:val="0"/>
        <w:keepLines w:val="0"/>
        <w:pageBreakBefore w:val="0"/>
        <w:widowControl w:val="0"/>
        <w:kinsoku/>
        <w:wordWrap/>
        <w:overflowPunct/>
        <w:topLinePunct w:val="0"/>
        <w:autoSpaceDE/>
        <w:autoSpaceDN/>
        <w:bidi w:val="0"/>
        <w:adjustRightInd/>
        <w:snapToGrid/>
        <w:spacing w:before="0" w:line="560" w:lineRule="exact"/>
        <w:ind w:left="0" w:leftChars="0" w:right="0" w:rightChars="0" w:firstLine="64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成  员：    刘  帅    住建局办公室负责人</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lang w:val="en-US" w:eastAsia="zh-CN"/>
        </w:rPr>
      </w:pPr>
      <w:r>
        <w:rPr>
          <w:rFonts w:hint="eastAsia" w:ascii="仿宋" w:hAnsi="仿宋" w:eastAsia="仿宋" w:cs="仿宋"/>
          <w:b w:val="0"/>
          <w:bCs w:val="0"/>
          <w:sz w:val="32"/>
          <w:szCs w:val="32"/>
          <w:lang w:val="en-US" w:eastAsia="zh-CN"/>
        </w:rPr>
        <w:t xml:space="preserve">                程冬勇    住建局政策法规股负责人</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崔俊国    住建局城市建设股负责人</w:t>
      </w:r>
    </w:p>
    <w:p>
      <w:pPr>
        <w:pStyle w:val="3"/>
        <w:keepNext w:val="0"/>
        <w:keepLines w:val="0"/>
        <w:pageBreakBefore w:val="0"/>
        <w:widowControl w:val="0"/>
        <w:kinsoku/>
        <w:wordWrap/>
        <w:overflowPunct/>
        <w:topLinePunct w:val="0"/>
        <w:autoSpaceDE/>
        <w:autoSpaceDN/>
        <w:bidi w:val="0"/>
        <w:adjustRightInd/>
        <w:snapToGrid/>
        <w:spacing w:before="0" w:line="560" w:lineRule="exact"/>
        <w:ind w:left="0" w:leftChars="0" w:right="0" w:rightChars="0"/>
        <w:jc w:val="both"/>
        <w:textAlignment w:val="auto"/>
        <w:outlineLvl w:val="9"/>
        <w:rPr>
          <w:rFonts w:hint="eastAsia"/>
          <w:lang w:val="en-US" w:eastAsia="zh-CN"/>
        </w:rPr>
      </w:pPr>
      <w:r>
        <w:rPr>
          <w:rFonts w:hint="eastAsia" w:ascii="仿宋" w:hAnsi="仿宋" w:eastAsia="仿宋" w:cs="仿宋"/>
          <w:b w:val="0"/>
          <w:bCs w:val="0"/>
          <w:sz w:val="32"/>
          <w:szCs w:val="32"/>
          <w:lang w:val="en-US" w:eastAsia="zh-CN"/>
        </w:rPr>
        <w:t xml:space="preserve">                张小红    住建局住房保障股负责人</w:t>
      </w:r>
    </w:p>
    <w:p>
      <w:pPr>
        <w:pStyle w:val="3"/>
        <w:keepNext w:val="0"/>
        <w:keepLines w:val="0"/>
        <w:pageBreakBefore w:val="0"/>
        <w:widowControl w:val="0"/>
        <w:kinsoku/>
        <w:wordWrap/>
        <w:overflowPunct/>
        <w:topLinePunct w:val="0"/>
        <w:autoSpaceDE/>
        <w:autoSpaceDN/>
        <w:bidi w:val="0"/>
        <w:adjustRightInd/>
        <w:snapToGrid/>
        <w:spacing w:before="0"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胡建生    住建局老旧小区专班负责人</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张  寅    住建局财务审计股会计</w:t>
      </w:r>
    </w:p>
    <w:p>
      <w:pPr>
        <w:pStyle w:val="3"/>
        <w:rPr>
          <w:rFonts w:hint="eastAsia" w:ascii="仿宋" w:hAnsi="仿宋" w:eastAsia="仿宋" w:cs="仿宋"/>
          <w:b w:val="0"/>
          <w:bCs w:val="0"/>
          <w:sz w:val="32"/>
          <w:szCs w:val="32"/>
          <w:lang w:val="en-US" w:eastAsia="zh-CN"/>
        </w:rPr>
      </w:pPr>
    </w:p>
    <w:p>
      <w:pPr>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w:t>
      </w:r>
    </w:p>
    <w:p>
      <w:pPr>
        <w:pStyle w:val="3"/>
        <w:rPr>
          <w:rFonts w:hint="eastAsia"/>
          <w:lang w:val="en-US" w:eastAsia="zh-CN"/>
        </w:rPr>
      </w:pPr>
    </w:p>
    <w:p>
      <w:pPr>
        <w:pStyle w:val="3"/>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矿区住建局</w:t>
      </w:r>
    </w:p>
    <w:p>
      <w:pPr>
        <w:rPr>
          <w:rFonts w:hint="eastAsia"/>
          <w:lang w:val="en-US"/>
        </w:rPr>
      </w:pPr>
      <w:r>
        <w:rPr>
          <w:rFonts w:hint="eastAsia" w:ascii="仿宋" w:hAnsi="仿宋" w:eastAsia="仿宋" w:cs="仿宋"/>
          <w:b w:val="0"/>
          <w:bCs w:val="0"/>
          <w:sz w:val="32"/>
          <w:szCs w:val="32"/>
          <w:lang w:val="en-US" w:eastAsia="zh-CN"/>
        </w:rPr>
        <w:t xml:space="preserve">                                   2023年5月23日</w:t>
      </w:r>
    </w:p>
    <w:p>
      <w:pPr>
        <w:pStyle w:val="3"/>
        <w:numPr>
          <w:ilvl w:val="0"/>
          <w:numId w:val="0"/>
        </w:numPr>
        <w:rPr>
          <w:rFonts w:hint="default" w:eastAsia="宋体"/>
          <w:lang w:val="en-US" w:eastAsia="zh-CN"/>
        </w:rPr>
      </w:pPr>
    </w:p>
    <w:p>
      <w:pPr>
        <w:widowControl w:val="0"/>
        <w:wordWrap/>
        <w:spacing w:line="560" w:lineRule="exact"/>
        <w:ind w:left="0" w:leftChars="0" w:right="0"/>
        <w:textAlignment w:val="auto"/>
        <w:outlineLvl w:val="9"/>
        <w:rPr>
          <w:rFonts w:ascii="仿宋" w:hAnsi="仿宋" w:eastAsia="仿宋"/>
        </w:rPr>
      </w:pP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书宋_GBK">
    <w:altName w:val="微软雅黑"/>
    <w:panose1 w:val="00000000000000000000"/>
    <w:charset w:val="86"/>
    <w:family w:val="script"/>
    <w:pitch w:val="default"/>
    <w:sig w:usb0="00000000" w:usb1="00000000" w:usb2="00000010" w:usb3="00000000" w:csb0="00040000" w:csb1="00000000"/>
  </w:font>
  <w:font w:name="仿宋_GB2312">
    <w:panose1 w:val="02010609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4C67002"/>
    <w:multiLevelType w:val="singleLevel"/>
    <w:tmpl w:val="E4C67002"/>
    <w:lvl w:ilvl="0" w:tentative="0">
      <w:start w:val="6"/>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2">
    <w:nsid w:val="584F1589"/>
    <w:multiLevelType w:val="singleLevel"/>
    <w:tmpl w:val="584F1589"/>
    <w:lvl w:ilvl="0" w:tentative="0">
      <w:start w:val="2"/>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7E6C1F"/>
    <w:rsid w:val="00AF566A"/>
    <w:rsid w:val="00B6553A"/>
    <w:rsid w:val="01B104CA"/>
    <w:rsid w:val="02106AB0"/>
    <w:rsid w:val="02B43A28"/>
    <w:rsid w:val="046F331E"/>
    <w:rsid w:val="07956271"/>
    <w:rsid w:val="09721397"/>
    <w:rsid w:val="0BB63BED"/>
    <w:rsid w:val="0EB97A43"/>
    <w:rsid w:val="0EBD2122"/>
    <w:rsid w:val="0F214EAE"/>
    <w:rsid w:val="11B71E6A"/>
    <w:rsid w:val="1AAF0063"/>
    <w:rsid w:val="1BE140DE"/>
    <w:rsid w:val="218860F4"/>
    <w:rsid w:val="248C197D"/>
    <w:rsid w:val="252959AF"/>
    <w:rsid w:val="26C15D91"/>
    <w:rsid w:val="277A6671"/>
    <w:rsid w:val="28C133BE"/>
    <w:rsid w:val="292D35B7"/>
    <w:rsid w:val="29FB0AA5"/>
    <w:rsid w:val="307C2B67"/>
    <w:rsid w:val="33EB6CFF"/>
    <w:rsid w:val="35A12947"/>
    <w:rsid w:val="37387040"/>
    <w:rsid w:val="37471123"/>
    <w:rsid w:val="3B625C0A"/>
    <w:rsid w:val="3CEE1963"/>
    <w:rsid w:val="3DE335EF"/>
    <w:rsid w:val="3E602FD2"/>
    <w:rsid w:val="3F255F77"/>
    <w:rsid w:val="4C595828"/>
    <w:rsid w:val="4C9C27FE"/>
    <w:rsid w:val="512260B4"/>
    <w:rsid w:val="5294544C"/>
    <w:rsid w:val="52BD6ACB"/>
    <w:rsid w:val="55537534"/>
    <w:rsid w:val="561A74F1"/>
    <w:rsid w:val="57B40E6D"/>
    <w:rsid w:val="59295ADF"/>
    <w:rsid w:val="597244E8"/>
    <w:rsid w:val="5EB71C30"/>
    <w:rsid w:val="63094C5A"/>
    <w:rsid w:val="66AF0CE5"/>
    <w:rsid w:val="66D21E0C"/>
    <w:rsid w:val="6AC537CF"/>
    <w:rsid w:val="6DC33DE5"/>
    <w:rsid w:val="6E5B14A6"/>
    <w:rsid w:val="711B255E"/>
    <w:rsid w:val="7BB51E06"/>
    <w:rsid w:val="7C387F7C"/>
    <w:rsid w:val="7F411A00"/>
    <w:rsid w:val="7FE83423"/>
    <w:rsid w:val="7FFD3275"/>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unhideWhenUsed/>
    <w:qFormat/>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Normal Indent"/>
    <w:basedOn w:val="1"/>
    <w:next w:val="1"/>
    <w:unhideWhenUsed/>
    <w:qFormat/>
    <w:uiPriority w:val="0"/>
    <w:pPr>
      <w:ind w:firstLine="420" w:firstLineChars="200"/>
    </w:pPr>
  </w:style>
  <w:style w:type="paragraph" w:styleId="3">
    <w:name w:val="toa heading"/>
    <w:basedOn w:val="1"/>
    <w:next w:val="1"/>
    <w:qFormat/>
    <w:uiPriority w:val="0"/>
    <w:pPr>
      <w:spacing w:before="120"/>
    </w:pPr>
    <w:rPr>
      <w:rFonts w:ascii="Arial" w:hAnsi="Arial"/>
      <w:sz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toc 2"/>
    <w:basedOn w:val="1"/>
    <w:next w:val="1"/>
    <w:unhideWhenUsed/>
    <w:qFormat/>
    <w:uiPriority w:val="39"/>
    <w:pPr>
      <w:ind w:left="420" w:leftChars="200"/>
    </w:pPr>
    <w:rPr>
      <w:rFonts w:ascii="Calibri" w:hAnsi="Calibri"/>
    </w:rPr>
  </w:style>
  <w:style w:type="paragraph" w:customStyle="1" w:styleId="9">
    <w:name w:val="单元格样式1"/>
    <w:basedOn w:val="1"/>
    <w:qFormat/>
    <w:uiPriority w:val="99"/>
    <w:pPr>
      <w:jc w:val="center"/>
    </w:pPr>
    <w:rPr>
      <w:rFonts w:ascii="方正书宋_GBK" w:hAnsi="方正书宋_GBK" w:eastAsia="方正书宋_GBK" w:cs="方正书宋_GBK"/>
      <w:b/>
      <w:bCs/>
      <w:sz w:val="21"/>
      <w:szCs w:val="21"/>
    </w:rPr>
  </w:style>
  <w:style w:type="paragraph" w:customStyle="1" w:styleId="10">
    <w:name w:val="单元格样式6"/>
    <w:basedOn w:val="1"/>
    <w:qFormat/>
    <w:uiPriority w:val="99"/>
    <w:pPr>
      <w:jc w:val="center"/>
    </w:pPr>
    <w:rPr>
      <w:rFonts w:ascii="方正书宋_GBK" w:hAnsi="方正书宋_GBK" w:eastAsia="方正书宋_GBK" w:cs="方正书宋_GBK"/>
      <w:b/>
      <w:bCs/>
      <w:sz w:val="21"/>
      <w:szCs w:val="21"/>
    </w:rPr>
  </w:style>
  <w:style w:type="paragraph" w:customStyle="1" w:styleId="11">
    <w:name w:val="单元格样式2"/>
    <w:basedOn w:val="1"/>
    <w:qFormat/>
    <w:uiPriority w:val="99"/>
    <w:rPr>
      <w:rFonts w:ascii="方正书宋_GBK" w:hAnsi="方正书宋_GBK" w:eastAsia="方正书宋_GBK" w:cs="方正书宋_GBK"/>
      <w:sz w:val="21"/>
      <w:szCs w:val="21"/>
    </w:rPr>
  </w:style>
  <w:style w:type="paragraph" w:customStyle="1" w:styleId="12">
    <w:name w:val="单元格样式3"/>
    <w:basedOn w:val="1"/>
    <w:qFormat/>
    <w:uiPriority w:val="99"/>
    <w:pPr>
      <w:jc w:val="center"/>
    </w:pPr>
    <w:rPr>
      <w:rFonts w:ascii="方正书宋_GBK" w:hAnsi="方正书宋_GBK" w:eastAsia="方正书宋_GBK" w:cs="方正书宋_GBK"/>
      <w:sz w:val="21"/>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3</TotalTime>
  <ScaleCrop>false</ScaleCrop>
  <LinksUpToDate>false</LinksUpToDate>
  <CharactersWithSpaces>0</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给你惊喜</cp:lastModifiedBy>
  <cp:lastPrinted>2022-01-19T07:24:00Z</cp:lastPrinted>
  <dcterms:modified xsi:type="dcterms:W3CDTF">2024-06-20T08:25:18Z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14C5DA8972104B84949AD7A7467302EC</vt:lpwstr>
  </property>
</Properties>
</file>