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井陉矿区大气和水污染防治指挥部办公室202</w:t>
      </w:r>
      <w:r>
        <w:rPr>
          <w:rFonts w:hint="eastAsia" w:ascii="宋体" w:hAnsi="宋体" w:cs="宋体"/>
          <w:b/>
          <w:bCs/>
          <w:sz w:val="44"/>
          <w:szCs w:val="44"/>
          <w:lang w:val="en-US" w:eastAsia="zh-CN"/>
        </w:rPr>
        <w:t>2</w:t>
      </w:r>
      <w:r>
        <w:rPr>
          <w:rFonts w:hint="eastAsia" w:ascii="宋体" w:hAnsi="宋体" w:cs="宋体"/>
          <w:b/>
          <w:bCs/>
          <w:sz w:val="44"/>
          <w:szCs w:val="44"/>
        </w:rPr>
        <w:t>年度整体支出绩效自评报告</w:t>
      </w:r>
    </w:p>
    <w:p>
      <w:pPr>
        <w:widowControl w:val="0"/>
        <w:wordWrap/>
        <w:spacing w:line="560" w:lineRule="exact"/>
        <w:ind w:left="0" w:leftChars="0" w:right="0"/>
        <w:jc w:val="both"/>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井陉矿区大气和水污染防治指挥部办公室部门2022年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adjustRightInd w:val="0"/>
        <w:snapToGrid w:val="0"/>
        <w:spacing w:line="600" w:lineRule="exact"/>
        <w:ind w:firstLine="640" w:firstLineChars="200"/>
        <w:rPr>
          <w:rFonts w:ascii="仿宋_GB2312" w:hAnsi="仿宋" w:eastAsia="仿宋_GB2312" w:cs="楷体_GB2312"/>
          <w:bCs/>
          <w:sz w:val="32"/>
          <w:szCs w:val="32"/>
        </w:rPr>
      </w:pPr>
      <w:r>
        <w:rPr>
          <w:rFonts w:hint="eastAsia" w:ascii="仿宋_GB2312" w:hAnsi="仿宋" w:eastAsia="仿宋_GB2312" w:cs="楷体_GB2312"/>
          <w:bCs/>
          <w:sz w:val="32"/>
          <w:szCs w:val="32"/>
        </w:rPr>
        <w:t>1.部门职能</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（1）大气环境综合检查与督察</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组织对全区大气防治工作进行综合检查。对道路、工地、矿山、农村面源污染进行督导检查，稳控扬尘污染。对全区重点排污企业环保设施运行、无组织排放、主要道路扬尘控制等进行远程视频和在线监控，督促其加强操作管理，减少污染物排放。建立健全全区重污染天气应急预警体系，督促各级各部门落实应急预警措施。</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（2）大气污染考核工作</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负责与大气污染防治成员单位签订环保目标责任书，落实各级各部门责任。制定考核办法，定期将考核结果进行公布。牵头开展市政府对我区大气污染综合治理考核工作，力争考核名次位列全市中上游。组织相关部门开展大气污染综合治理联合执法工作。</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（3）做好各级环保督察工作</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积极做好生态环境部、省环保厅、省大气办、市气水办等各级环保督察工作。</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（4）大气污染防治宣传教育工作</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组织全区各级各部门和重点企业开展大气污染防治有关工作的宣传报道和舆论监督工作；组织大气污染成员单位进行培训，增强执法监督能力，营造全社会关心环保、支持环保、参与环保的浓厚氛围。</w:t>
      </w:r>
    </w:p>
    <w:p>
      <w:pPr>
        <w:spacing w:line="600" w:lineRule="exact"/>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（5）日常政务管理</w:t>
      </w:r>
    </w:p>
    <w:p>
      <w:pPr>
        <w:widowControl/>
        <w:spacing w:line="600" w:lineRule="exact"/>
        <w:ind w:firstLine="480"/>
        <w:rPr>
          <w:rFonts w:ascii="仿宋_GB2312" w:eastAsia="仿宋_GB2312" w:cs="Calibri"/>
          <w:color w:val="000000"/>
          <w:kern w:val="0"/>
          <w:sz w:val="32"/>
          <w:szCs w:val="32"/>
        </w:rPr>
      </w:pPr>
      <w:r>
        <w:rPr>
          <w:rFonts w:hint="eastAsia" w:ascii="仿宋_GB2312" w:hAnsi="仿宋_GB2312" w:eastAsia="仿宋_GB2312" w:cs="仿宋_GB2312"/>
          <w:sz w:val="32"/>
          <w:szCs w:val="32"/>
        </w:rPr>
        <w:t>负责大气污染防治综合业务管理和机关综合事务管理。</w:t>
      </w:r>
    </w:p>
    <w:p>
      <w:pPr>
        <w:adjustRightInd w:val="0"/>
        <w:snapToGrid w:val="0"/>
        <w:spacing w:line="600" w:lineRule="exact"/>
        <w:ind w:firstLine="640" w:firstLineChars="200"/>
        <w:rPr>
          <w:rFonts w:ascii="仿宋_GB2312" w:hAnsi="仿宋" w:eastAsia="仿宋_GB2312" w:cs="楷体_GB2312"/>
          <w:bCs/>
          <w:sz w:val="32"/>
          <w:szCs w:val="32"/>
        </w:rPr>
      </w:pPr>
      <w:r>
        <w:rPr>
          <w:rFonts w:hint="eastAsia" w:ascii="仿宋_GB2312" w:hAnsi="仿宋" w:eastAsia="仿宋_GB2312" w:cs="楷体_GB2312"/>
          <w:bCs/>
          <w:sz w:val="32"/>
          <w:szCs w:val="32"/>
        </w:rPr>
        <w:t>2.组织机构及人员</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单位名称：井陉矿区大气和水污染防治指挥部办公室</w:t>
      </w:r>
    </w:p>
    <w:p>
      <w:pPr>
        <w:adjustRightInd w:val="0"/>
        <w:snapToGrid w:val="0"/>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单位性质：行政单位</w:t>
      </w:r>
    </w:p>
    <w:p>
      <w:pPr>
        <w:snapToGrid w:val="0"/>
        <w:spacing w:line="600" w:lineRule="exact"/>
        <w:rPr>
          <w:rFonts w:ascii="仿宋_GB2312" w:hAnsi="仿宋" w:eastAsia="仿宋_GB2312"/>
          <w:sz w:val="32"/>
          <w:szCs w:val="32"/>
        </w:rPr>
      </w:pPr>
      <w:r>
        <w:rPr>
          <w:rFonts w:hint="eastAsia" w:ascii="仿宋_GB2312" w:hAnsi="仿宋" w:eastAsia="仿宋_GB2312"/>
          <w:sz w:val="32"/>
          <w:szCs w:val="32"/>
        </w:rPr>
        <w:t xml:space="preserve">    独立编制机构数：1个</w:t>
      </w:r>
    </w:p>
    <w:p>
      <w:pPr>
        <w:snapToGrid w:val="0"/>
        <w:spacing w:line="600" w:lineRule="exact"/>
        <w:rPr>
          <w:rFonts w:ascii="仿宋_GB2312" w:hAnsi="仿宋" w:eastAsia="仿宋_GB2312"/>
          <w:sz w:val="32"/>
          <w:szCs w:val="32"/>
        </w:rPr>
      </w:pPr>
      <w:r>
        <w:rPr>
          <w:rFonts w:hint="eastAsia" w:ascii="仿宋_GB2312" w:hAnsi="仿宋" w:eastAsia="仿宋_GB2312"/>
          <w:sz w:val="32"/>
          <w:szCs w:val="32"/>
        </w:rPr>
        <w:t xml:space="preserve">    资金来源：财政拨款</w:t>
      </w:r>
    </w:p>
    <w:p>
      <w:pPr>
        <w:widowControl/>
        <w:spacing w:line="600" w:lineRule="exact"/>
        <w:ind w:firstLine="480"/>
        <w:rPr>
          <w:rFonts w:ascii="仿宋_GB2312" w:eastAsia="仿宋_GB2312" w:cs="Calibri"/>
          <w:color w:val="000000"/>
          <w:kern w:val="0"/>
          <w:sz w:val="32"/>
          <w:szCs w:val="32"/>
        </w:rPr>
      </w:pPr>
      <w:r>
        <w:rPr>
          <w:rFonts w:hint="eastAsia" w:ascii="仿宋_GB2312" w:eastAsia="仿宋_GB2312" w:cs="Calibri"/>
          <w:color w:val="000000"/>
          <w:kern w:val="0"/>
          <w:sz w:val="32"/>
          <w:szCs w:val="32"/>
        </w:rPr>
        <w:t>人员情况：我单位人员均为借调人员及劳务派遣人员。</w:t>
      </w:r>
    </w:p>
    <w:p>
      <w:pPr>
        <w:widowControl/>
        <w:spacing w:line="600" w:lineRule="exact"/>
        <w:ind w:firstLine="480"/>
        <w:rPr>
          <w:rFonts w:ascii="仿宋_GB2312" w:eastAsia="仿宋_GB2312" w:cs="Calibri"/>
          <w:color w:val="000000"/>
          <w:kern w:val="0"/>
          <w:sz w:val="32"/>
          <w:szCs w:val="32"/>
        </w:rPr>
      </w:pPr>
      <w:r>
        <w:rPr>
          <w:rFonts w:hint="eastAsia" w:ascii="仿宋_GB2312" w:eastAsia="仿宋_GB2312" w:cs="Calibri"/>
          <w:color w:val="000000"/>
          <w:kern w:val="0"/>
          <w:sz w:val="32"/>
          <w:szCs w:val="32"/>
        </w:rPr>
        <w:t>3.资产情况</w:t>
      </w:r>
    </w:p>
    <w:p>
      <w:pPr>
        <w:widowControl/>
        <w:spacing w:line="600" w:lineRule="exact"/>
        <w:ind w:firstLine="480"/>
        <w:rPr>
          <w:rFonts w:ascii="仿宋_GB2312" w:eastAsia="仿宋_GB2312" w:cs="Calibri"/>
          <w:color w:val="000000"/>
          <w:kern w:val="0"/>
          <w:sz w:val="32"/>
          <w:szCs w:val="32"/>
        </w:rPr>
      </w:pPr>
      <w:r>
        <w:rPr>
          <w:rFonts w:hint="eastAsia" w:ascii="仿宋_GB2312" w:eastAsia="仿宋_GB2312" w:cs="Calibri"/>
          <w:color w:val="000000"/>
          <w:kern w:val="0"/>
          <w:sz w:val="32"/>
          <w:szCs w:val="32"/>
        </w:rPr>
        <w:t>截</w:t>
      </w:r>
      <w:r>
        <w:rPr>
          <w:rFonts w:hint="eastAsia" w:ascii="仿宋_GB2312" w:eastAsia="仿宋_GB2312" w:cs="Calibri"/>
          <w:color w:val="000000"/>
          <w:kern w:val="0"/>
          <w:sz w:val="32"/>
          <w:szCs w:val="32"/>
          <w:lang w:eastAsia="zh-CN"/>
        </w:rPr>
        <w:t>至</w:t>
      </w:r>
      <w:bookmarkStart w:id="0" w:name="_GoBack"/>
      <w:bookmarkEnd w:id="0"/>
      <w:r>
        <w:rPr>
          <w:rFonts w:hint="eastAsia" w:ascii="仿宋_GB2312" w:eastAsia="仿宋_GB2312" w:cs="Calibri"/>
          <w:color w:val="000000"/>
          <w:kern w:val="0"/>
          <w:sz w:val="32"/>
          <w:szCs w:val="32"/>
        </w:rPr>
        <w:t>202</w:t>
      </w:r>
      <w:r>
        <w:rPr>
          <w:rFonts w:hint="eastAsia" w:ascii="仿宋_GB2312" w:eastAsia="仿宋_GB2312" w:cs="Calibri"/>
          <w:color w:val="000000"/>
          <w:kern w:val="0"/>
          <w:sz w:val="32"/>
          <w:szCs w:val="32"/>
          <w:lang w:val="en-US" w:eastAsia="zh-CN"/>
        </w:rPr>
        <w:t>2</w:t>
      </w:r>
      <w:r>
        <w:rPr>
          <w:rFonts w:hint="eastAsia" w:ascii="仿宋_GB2312" w:eastAsia="仿宋_GB2312" w:cs="Calibri"/>
          <w:color w:val="000000"/>
          <w:kern w:val="0"/>
          <w:sz w:val="32"/>
          <w:szCs w:val="32"/>
        </w:rPr>
        <w:t>年12月，我单位固定资产共</w:t>
      </w:r>
      <w:r>
        <w:rPr>
          <w:rFonts w:hint="eastAsia" w:ascii="仿宋_GB2312" w:eastAsia="仿宋_GB2312" w:cs="Calibri"/>
          <w:color w:val="000000"/>
          <w:kern w:val="0"/>
          <w:sz w:val="32"/>
          <w:szCs w:val="32"/>
          <w:lang w:val="en-US" w:eastAsia="zh-CN"/>
        </w:rPr>
        <w:t>1677.53</w:t>
      </w:r>
      <w:r>
        <w:rPr>
          <w:rFonts w:hint="eastAsia" w:ascii="仿宋_GB2312" w:eastAsia="仿宋_GB2312" w:cs="Calibri"/>
          <w:color w:val="000000"/>
          <w:kern w:val="0"/>
          <w:sz w:val="32"/>
          <w:szCs w:val="32"/>
        </w:rPr>
        <w:t>万元，其中，构筑物71.61万元、通用设备344.7万元、专用设备</w:t>
      </w:r>
      <w:r>
        <w:rPr>
          <w:rFonts w:hint="eastAsia" w:ascii="仿宋_GB2312" w:eastAsia="仿宋_GB2312" w:cs="Calibri"/>
          <w:color w:val="000000"/>
          <w:kern w:val="0"/>
          <w:sz w:val="32"/>
          <w:szCs w:val="32"/>
          <w:lang w:val="en-US" w:eastAsia="zh-CN"/>
        </w:rPr>
        <w:t>1251.51</w:t>
      </w:r>
      <w:r>
        <w:rPr>
          <w:rFonts w:hint="eastAsia" w:ascii="仿宋_GB2312" w:eastAsia="仿宋_GB2312" w:cs="Calibri"/>
          <w:color w:val="000000"/>
          <w:kern w:val="0"/>
          <w:sz w:val="32"/>
          <w:szCs w:val="32"/>
        </w:rPr>
        <w:t>万元、家具用具9.71万元。</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2</w:t>
      </w:r>
      <w:r>
        <w:rPr>
          <w:rFonts w:hint="eastAsia" w:ascii="仿宋_GB2312" w:hAnsi="仿宋" w:eastAsia="仿宋_GB2312"/>
          <w:sz w:val="32"/>
          <w:szCs w:val="32"/>
        </w:rPr>
        <w:t>年我单位调整一般公共预算数为</w:t>
      </w:r>
      <w:r>
        <w:rPr>
          <w:rFonts w:hint="eastAsia" w:ascii="仿宋_GB2312" w:hAnsi="仿宋" w:eastAsia="仿宋_GB2312"/>
          <w:sz w:val="32"/>
          <w:szCs w:val="32"/>
          <w:lang w:val="en-US" w:eastAsia="zh-CN"/>
        </w:rPr>
        <w:t>294.21</w:t>
      </w:r>
      <w:r>
        <w:rPr>
          <w:rFonts w:hint="eastAsia" w:ascii="仿宋_GB2312" w:hAnsi="仿宋" w:eastAsia="仿宋_GB2312"/>
          <w:sz w:val="32"/>
          <w:szCs w:val="32"/>
        </w:rPr>
        <w:t>万元，比上年减少</w:t>
      </w:r>
      <w:r>
        <w:rPr>
          <w:rFonts w:hint="eastAsia" w:ascii="仿宋_GB2312" w:hAnsi="仿宋" w:eastAsia="仿宋_GB2312"/>
          <w:sz w:val="32"/>
          <w:szCs w:val="32"/>
          <w:lang w:val="en-US" w:eastAsia="zh-CN"/>
        </w:rPr>
        <w:t>72.9</w:t>
      </w:r>
      <w:r>
        <w:rPr>
          <w:rFonts w:hint="eastAsia" w:ascii="仿宋_GB2312" w:hAnsi="仿宋" w:eastAsia="仿宋_GB2312"/>
          <w:sz w:val="32"/>
          <w:szCs w:val="32"/>
        </w:rPr>
        <w:t>万元，原因是今年项目支出资金较少；政府性基金</w:t>
      </w:r>
      <w:r>
        <w:rPr>
          <w:rFonts w:hint="eastAsia" w:ascii="仿宋_GB2312" w:hAnsi="仿宋" w:eastAsia="仿宋_GB2312"/>
          <w:sz w:val="32"/>
          <w:szCs w:val="32"/>
          <w:lang w:val="en-US" w:eastAsia="zh-CN"/>
        </w:rPr>
        <w:t>30</w:t>
      </w:r>
      <w:r>
        <w:rPr>
          <w:rFonts w:hint="eastAsia" w:ascii="仿宋_GB2312" w:hAnsi="仿宋" w:eastAsia="仿宋_GB2312"/>
          <w:sz w:val="32"/>
          <w:szCs w:val="32"/>
        </w:rPr>
        <w:t>元，比上年</w:t>
      </w:r>
      <w:r>
        <w:rPr>
          <w:rFonts w:hint="eastAsia" w:ascii="仿宋_GB2312" w:hAnsi="仿宋" w:eastAsia="仿宋_GB2312"/>
          <w:sz w:val="32"/>
          <w:szCs w:val="32"/>
          <w:lang w:val="en-US" w:eastAsia="zh-CN"/>
        </w:rPr>
        <w:t>增加30</w:t>
      </w:r>
      <w:r>
        <w:rPr>
          <w:rFonts w:hint="eastAsia" w:ascii="仿宋_GB2312" w:hAnsi="仿宋" w:eastAsia="仿宋_GB2312"/>
          <w:sz w:val="32"/>
          <w:szCs w:val="32"/>
        </w:rPr>
        <w:t>万元，原因是</w:t>
      </w:r>
      <w:r>
        <w:rPr>
          <w:rFonts w:hint="eastAsia" w:ascii="仿宋_GB2312" w:hAnsi="仿宋" w:eastAsia="仿宋_GB2312"/>
          <w:sz w:val="32"/>
          <w:szCs w:val="32"/>
          <w:lang w:val="en-US" w:eastAsia="zh-CN"/>
        </w:rPr>
        <w:t>去年</w:t>
      </w:r>
      <w:r>
        <w:rPr>
          <w:rFonts w:hint="eastAsia" w:ascii="仿宋_GB2312" w:hAnsi="仿宋" w:eastAsia="仿宋_GB2312"/>
          <w:sz w:val="32"/>
          <w:szCs w:val="32"/>
        </w:rPr>
        <w:t>我单位无政府性基金。</w:t>
      </w:r>
    </w:p>
    <w:p>
      <w:pPr>
        <w:adjustRightInd w:val="0"/>
        <w:snapToGrid w:val="0"/>
        <w:spacing w:line="600" w:lineRule="exact"/>
        <w:ind w:firstLine="627" w:firstLineChars="196"/>
        <w:rPr>
          <w:rFonts w:hint="eastAsia" w:ascii="仿宋" w:hAnsi="仿宋" w:eastAsia="仿宋_GB2312" w:cs="楷体_GB2312"/>
          <w:b/>
          <w:bCs/>
          <w:sz w:val="32"/>
          <w:szCs w:val="32"/>
          <w:lang w:val="en-US" w:eastAsia="zh-CN"/>
        </w:rPr>
      </w:pPr>
      <w:r>
        <w:rPr>
          <w:rFonts w:hint="eastAsia" w:ascii="仿宋_GB2312" w:hAnsi="仿宋" w:eastAsia="仿宋_GB2312" w:cs="楷体_GB2312"/>
          <w:bCs/>
          <w:sz w:val="32"/>
          <w:szCs w:val="32"/>
        </w:rPr>
        <w:t>202</w:t>
      </w:r>
      <w:r>
        <w:rPr>
          <w:rFonts w:hint="eastAsia" w:ascii="仿宋_GB2312" w:hAnsi="仿宋" w:eastAsia="仿宋_GB2312" w:cs="楷体_GB2312"/>
          <w:bCs/>
          <w:sz w:val="32"/>
          <w:szCs w:val="32"/>
          <w:lang w:val="en-US" w:eastAsia="zh-CN"/>
        </w:rPr>
        <w:t>2</w:t>
      </w:r>
      <w:r>
        <w:rPr>
          <w:rFonts w:hint="eastAsia" w:ascii="仿宋_GB2312" w:hAnsi="仿宋" w:eastAsia="仿宋_GB2312" w:cs="楷体_GB2312"/>
          <w:bCs/>
          <w:sz w:val="32"/>
          <w:szCs w:val="32"/>
        </w:rPr>
        <w:t>年我单位决算支出</w:t>
      </w:r>
      <w:r>
        <w:rPr>
          <w:rFonts w:hint="eastAsia" w:ascii="仿宋_GB2312" w:hAnsi="仿宋" w:eastAsia="仿宋_GB2312" w:cs="楷体_GB2312"/>
          <w:bCs/>
          <w:sz w:val="32"/>
          <w:szCs w:val="32"/>
          <w:lang w:val="en-US" w:eastAsia="zh-CN"/>
        </w:rPr>
        <w:t>324.21</w:t>
      </w:r>
      <w:r>
        <w:rPr>
          <w:rFonts w:hint="eastAsia" w:ascii="仿宋_GB2312" w:hAnsi="仿宋" w:eastAsia="仿宋_GB2312" w:cs="楷体_GB2312"/>
          <w:bCs/>
          <w:sz w:val="32"/>
          <w:szCs w:val="32"/>
        </w:rPr>
        <w:t>万元，其中一般行政事务类支出</w:t>
      </w:r>
      <w:r>
        <w:rPr>
          <w:rFonts w:hint="eastAsia" w:ascii="仿宋_GB2312" w:hAnsi="仿宋" w:eastAsia="仿宋_GB2312" w:cs="楷体_GB2312"/>
          <w:bCs/>
          <w:sz w:val="32"/>
          <w:szCs w:val="32"/>
          <w:lang w:val="en-US" w:eastAsia="zh-CN"/>
        </w:rPr>
        <w:t>227.71</w:t>
      </w:r>
      <w:r>
        <w:rPr>
          <w:rFonts w:hint="eastAsia" w:ascii="仿宋_GB2312" w:hAnsi="仿宋" w:eastAsia="仿宋_GB2312" w:cs="楷体_GB2312"/>
          <w:bCs/>
          <w:sz w:val="32"/>
          <w:szCs w:val="32"/>
        </w:rPr>
        <w:t>万元、大气类支出</w:t>
      </w:r>
      <w:r>
        <w:rPr>
          <w:rFonts w:hint="eastAsia" w:ascii="仿宋_GB2312" w:hAnsi="仿宋" w:eastAsia="仿宋_GB2312" w:cs="楷体_GB2312"/>
          <w:bCs/>
          <w:sz w:val="32"/>
          <w:szCs w:val="32"/>
          <w:lang w:val="en-US" w:eastAsia="zh-CN"/>
        </w:rPr>
        <w:t>66.5</w:t>
      </w:r>
      <w:r>
        <w:rPr>
          <w:rFonts w:hint="eastAsia" w:ascii="仿宋_GB2312" w:hAnsi="仿宋" w:eastAsia="仿宋_GB2312" w:cs="楷体_GB2312"/>
          <w:bCs/>
          <w:sz w:val="32"/>
          <w:szCs w:val="32"/>
        </w:rPr>
        <w:t>万</w:t>
      </w:r>
      <w:r>
        <w:rPr>
          <w:rFonts w:hint="eastAsia" w:ascii="仿宋_GB2312" w:hAnsi="仿宋" w:eastAsia="仿宋_GB2312" w:cs="楷体_GB2312"/>
          <w:bCs/>
          <w:sz w:val="32"/>
          <w:szCs w:val="32"/>
          <w:lang w:val="en-US" w:eastAsia="zh-CN"/>
        </w:rPr>
        <w:t>元、其他城市基础设施配套费安排的支出30万元。</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spacing w:line="600" w:lineRule="exact"/>
        <w:ind w:firstLine="964" w:firstLineChars="300"/>
        <w:jc w:val="left"/>
        <w:rPr>
          <w:rFonts w:ascii="仿宋_GB2312" w:hAnsi="宋体" w:eastAsia="仿宋_GB2312"/>
          <w:b/>
          <w:sz w:val="32"/>
          <w:szCs w:val="32"/>
        </w:rPr>
      </w:pPr>
      <w:r>
        <w:rPr>
          <w:rFonts w:hint="eastAsia" w:ascii="仿宋_GB2312" w:eastAsia="仿宋_GB2312"/>
          <w:b/>
          <w:sz w:val="32"/>
          <w:szCs w:val="32"/>
        </w:rPr>
        <w:t>总体绩效目标</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 （一）大气环境综合检查与督察</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成环境数据的综合分析、数据发布，环境质量预警等多项工作，预报污染事故，保证政府及时采取对策，降低或减少环境灾害。加大对重点案件的现场调查处理。完成本区环境保护督查工作。建立健全应急救援体系，有效控制、减轻环境风险，最大程度避免突发环境事件对环境造成的损失和危害。</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（二）大气污染考核工作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完成目标责任书的签订，推动大气各项工作的落实。通过开展各项联合执法、半年考核等，推动市政府下达目标任务完成。完成煤炭经营企业综合考核工作。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（三）做好各级环保督察工作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实现污染减排目标。研究新型清洁生产技术，提高清洁生产管理水平。</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（四）大气污染防治宣传教育工作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加大大气和水环境治理效果新闻发布力度、组织企业开展宣传入企等活动，提升企业环保意识，凝聚社会上下共同治污合力。</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（五）日常政务管理</w:t>
      </w:r>
    </w:p>
    <w:p>
      <w:pPr>
        <w:spacing w:line="600" w:lineRule="exact"/>
        <w:ind w:firstLine="640" w:firstLineChars="200"/>
        <w:jc w:val="left"/>
        <w:rPr>
          <w:rFonts w:hint="eastAsia" w:ascii="仿宋_GB2312" w:eastAsia="仿宋_GB2312"/>
          <w:sz w:val="32"/>
          <w:szCs w:val="32"/>
        </w:rPr>
      </w:pPr>
      <w:r>
        <w:rPr>
          <w:rFonts w:hint="eastAsia" w:ascii="仿宋_GB2312" w:eastAsia="仿宋_GB2312"/>
          <w:sz w:val="32"/>
          <w:szCs w:val="32"/>
        </w:rPr>
        <w:t>加强大气污染防治管理工作。</w:t>
      </w:r>
    </w:p>
    <w:p>
      <w:pPr>
        <w:spacing w:line="600" w:lineRule="exact"/>
        <w:ind w:firstLine="964" w:firstLineChars="300"/>
        <w:jc w:val="left"/>
        <w:rPr>
          <w:rFonts w:ascii="仿宋_GB2312" w:hAnsi="宋体" w:eastAsia="仿宋_GB2312"/>
          <w:b/>
          <w:sz w:val="32"/>
          <w:szCs w:val="32"/>
        </w:rPr>
      </w:pPr>
      <w:r>
        <w:rPr>
          <w:rFonts w:hint="eastAsia" w:ascii="仿宋_GB2312" w:eastAsia="仿宋_GB2312"/>
          <w:b/>
          <w:sz w:val="32"/>
          <w:szCs w:val="32"/>
        </w:rPr>
        <w:t>分项绩效目标</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 （一）空气质量预警预报指挥中心</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指挥中心正常稳定运转，全天24小时值守，对道路，企业进行视频和在线监控。对存在问题的路段和企业及时向责任部门进行交办。定期进行数据分析，完成空气质量分析报告，为环境质量管控提供技术和指导。</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绩效指标：提交空气质量分析报告、下达任务交办单、PM10和PM2.5监测企业、道路、工地数量</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（二）大气环境综合检查与督察</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驻厂、单位人员学习培训，切实提高工作人员的素质。做好省控监测点周边道路扬尘、工地、农村面源污染管控工作。督促相关单位和部门落实好分管领域大气污染防治工作。对发现的大气污染方面问题及时交办查处，限期整改到位。对达到复工要求企业组织联合验收。</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绩效指标：督导各部门工作完成率、下达督改通知单数量、企业复工验收、扬尘污染控制率、省控监测点周边环境问题完成率、组织工作人员培训人数</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（三）重污染天气应急预警体系运行</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绩效目标：制定全区重污染天气应急预警预案，及时发布预警通知，建立区政府牵头，各部门、乡镇、企业协调联动应急预警体系，最大程度减少对环境影响。牵头完成应急减排清单的制定工作。相关部门完成制定各自应急预案制定和措施落实。 </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绩效指标：相关部门和企业应急响应措施落实、督导检查频次、相关部门应急预案制定、区重污染天气应急预案、应急减排清单制定、重污染天气应急预警通知发布</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（四）网格化环境监管工作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绩效目标：制定全区网格化环境监管工作方案，按照一级网格月调度、二级网格周汇总、三级网格日巡查的网格化监管要求，督促其建立工作台账和巡查记录，组织开展大气和水污染防治巡查工作。 </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绩效指标：网格化责任落实情况、网格化体系建设情况</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（五）日常考核</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绩效目标：完成环保目标责任书签订工作，层层传递压力，落实工作任务。年初，制定考核办法，每半年对各成员单位进行考核，奖优罚劣。</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绩效指标：考核结果完成情况、考核办法制定出台、环保目标责任书签订完成</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（六）市政府对我区考核工作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绩效目标：完成市政府下达的PM2.5指标下降任务。对照每年大气污染综合治理任务清单，分解到各责任单位，确保按期完成。</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绩效指标：大气污染综合治理任务完成情况、PM2.5指标完成情况</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（七）联合执法工作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解决散乱污企业、施工道路扬尘反复问题。</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绩效指标：施工、道路扬尘治理落实到位、散乱污企业两断三清</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（八）中央环保督察“回头看”工作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 xml:space="preserve">绩效目标：制定整改方案，成立领导小组，落实各级各部门责任。对交办的问题建立四个清单，责任到人，确保按时保质整改到位。完成整改后，建立销号台账，及时销号。 </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绩效指标：建立四个清单和销号台账、交办问题整改工作、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（九）生态环境部蓝天保卫战强化督查工作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牵头对交办的各轮次问题确保按时高标准整改到位，并做好后督察工作，防止反弹；涉及问责的及时移交监察委处理。</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绩效指标：整改工作及时公开、交办问题整改工作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（十）省环保厅、省大气办、市气水办各类督查工作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牵头对交办的整改问题确保按时高标准整改到位，并做好后督察工作，防止反弹；涉及问责的及时移交监察委处理。</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绩效指标：整改报告上报、交办问题整改工作</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（十一）大气污染防治社会宣传</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普及环保政策法规和知识，规范企业经营行为，引导环境保护公众参与，提高环保意识和参与能力，为推进全区大气污染防治工作营造良好的社会氛围和舆论环境。</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绩效指标：社会主题宣传活动次数、餐饮油烟、治污减排明白纸、环保法律法规宣传册编印次数、宣传活动覆盖人次、公众满意度</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（十二）大气污染防治新闻宣传</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通过全方位、多角度的宣传，积极弘扬工作正能量，引导群众参与、支持大气和水环境治理工作；为全面转型、绿色发展奠定基础。</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绩效指标：媒体刊稿篇和环保网站发布信息数、全区大气和水环境治理相关会议、环境保护新闻宣传活动覆盖人次（万）</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（十三）组织开展宣传教育相关培训</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 通过开展培训活动，提高执法监管人员业务素质，进一步提升执法水平，促进依法行政能力。</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绩效指标：开展环保教育和培训次数、受教育公众满意度</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（十四）综合业务管理</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绩效目标：完成全区大气治理各项工作任务。保障各项业务工作畅通。</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绩效指标： 各项综合业务管理工作完成率</w:t>
      </w:r>
    </w:p>
    <w:p>
      <w:pPr>
        <w:spacing w:line="600" w:lineRule="exact"/>
        <w:ind w:firstLine="643" w:firstLineChars="200"/>
        <w:jc w:val="left"/>
        <w:rPr>
          <w:rFonts w:ascii="仿宋_GB2312" w:hAnsi="宋体" w:eastAsia="仿宋_GB2312"/>
          <w:b/>
          <w:sz w:val="32"/>
          <w:szCs w:val="32"/>
        </w:rPr>
      </w:pPr>
      <w:r>
        <w:rPr>
          <w:rFonts w:hint="eastAsia" w:ascii="仿宋_GB2312" w:eastAsia="仿宋_GB2312"/>
          <w:b/>
          <w:sz w:val="32"/>
          <w:szCs w:val="32"/>
        </w:rPr>
        <w:t>工作保障措施</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完善制度建设。制定完善预算绩效管理制度、资金管理办法、工作保障制度等，为全年预算绩效目标的实现奠定制度基础。</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加强支出管理。通过优化支出结构、编细编实预算、加快履行政府采购手续、尽快启动项目、及时支付资金、细化代编预算、按规定及时下达资金等多种措施，确保支出进度达标。</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加强绩效运行监控。按要求开展绩效运行监控，发现问题及时采取措施，确保绩效目标如期保质实现。</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做好绩效自评。按要求开展上年度部门预算绩效自评和重点评价工作，对评价中发现的问题及时整改，调整优化支出结构，提高财政资金使用效益。</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规范财务资产管理。完善财务管理制度，严格审批程序，加强固定资产登记、使用和报废处置管理，做到支出合理，物尽其用。</w:t>
      </w:r>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600" w:lineRule="exact"/>
        <w:ind w:firstLine="640" w:firstLineChars="200"/>
        <w:jc w:val="left"/>
        <w:rPr>
          <w:rFonts w:hint="eastAsia" w:ascii="仿宋_GB2312" w:eastAsia="仿宋_GB2312"/>
          <w:sz w:val="32"/>
          <w:szCs w:val="32"/>
        </w:rPr>
      </w:pPr>
      <w:r>
        <w:rPr>
          <w:rFonts w:hint="eastAsia" w:ascii="仿宋_GB2312" w:eastAsia="仿宋_GB2312"/>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adjustRightInd w:val="0"/>
        <w:snapToGrid w:val="0"/>
        <w:spacing w:line="600" w:lineRule="exact"/>
        <w:ind w:firstLine="640" w:firstLineChars="200"/>
        <w:rPr>
          <w:rFonts w:ascii="仿宋_GB2312" w:eastAsia="仿宋_GB2312"/>
          <w:sz w:val="32"/>
          <w:szCs w:val="32"/>
        </w:rPr>
      </w:pPr>
      <w:r>
        <w:rPr>
          <w:rFonts w:hint="eastAsia" w:ascii="仿宋" w:hAnsi="仿宋" w:eastAsia="仿宋"/>
          <w:sz w:val="32"/>
          <w:szCs w:val="32"/>
        </w:rPr>
        <w:t xml:space="preserve"> </w:t>
      </w:r>
      <w:r>
        <w:rPr>
          <w:rFonts w:hint="eastAsia" w:ascii="仿宋_GB2312" w:eastAsia="仿宋_GB2312"/>
          <w:sz w:val="32"/>
          <w:szCs w:val="32"/>
        </w:rPr>
        <w:t>为确保202</w:t>
      </w:r>
      <w:r>
        <w:rPr>
          <w:rFonts w:hint="eastAsia" w:ascii="仿宋_GB2312" w:eastAsia="仿宋_GB2312"/>
          <w:sz w:val="32"/>
          <w:szCs w:val="32"/>
          <w:lang w:val="en-US" w:eastAsia="zh-CN"/>
        </w:rPr>
        <w:t>2</w:t>
      </w:r>
      <w:r>
        <w:rPr>
          <w:rFonts w:hint="eastAsia" w:ascii="仿宋_GB2312" w:eastAsia="仿宋_GB2312"/>
          <w:sz w:val="32"/>
          <w:szCs w:val="32"/>
        </w:rPr>
        <w:t>年度财政支出项目部门绩效自评工作（以下简称“部门自评”）的顺利开展，办公室、财务室等组成联合小组，自行开展部门自评工作，全面负责部门自评工作，具体包括制定工作方案、进行任务布置及辅导、收集分析相关资料、审核项目支出绩效自评表、撰写绩效评价报告等。</w:t>
      </w:r>
    </w:p>
    <w:p>
      <w:pPr>
        <w:widowControl w:val="0"/>
        <w:wordWrap/>
        <w:spacing w:line="560" w:lineRule="exact"/>
        <w:ind w:left="0" w:leftChars="0" w:right="0"/>
        <w:textAlignment w:val="auto"/>
        <w:outlineLvl w:val="9"/>
        <w:rPr>
          <w:rFonts w:ascii="仿宋" w:hAnsi="仿宋" w:eastAsia="仿宋"/>
          <w:sz w:val="32"/>
          <w:szCs w:val="32"/>
        </w:rPr>
      </w:pP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1.制定自评工作方案</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为确保部门自评工作的顺利完成，依据《实施意见》的要求，自评工作小组拟定了部门自评工作方案，全面部署自评工作开展。</w:t>
      </w:r>
    </w:p>
    <w:p>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2.开展自评培训</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日，自评工作小组组织召开了自评工作培训会，对绩效评价的目的、自评工作要求、绩效自评表填写、自评工作程序及资料准备等进行培训，制定资料清单，建立自评工作微信群及时沟通部门自评工作的进展情况。</w:t>
      </w:r>
    </w:p>
    <w:p>
      <w:pPr>
        <w:adjustRightInd w:val="0"/>
        <w:snapToGrid w:val="0"/>
        <w:spacing w:line="600" w:lineRule="exact"/>
        <w:ind w:firstLine="643" w:firstLineChars="200"/>
        <w:rPr>
          <w:rFonts w:ascii="仿宋_GB2312" w:eastAsia="仿宋_GB2312"/>
          <w:sz w:val="32"/>
          <w:szCs w:val="32"/>
        </w:rPr>
      </w:pPr>
      <w:r>
        <w:rPr>
          <w:rFonts w:hint="eastAsia" w:ascii="仿宋_GB2312" w:eastAsia="仿宋_GB2312"/>
          <w:b/>
          <w:sz w:val="32"/>
          <w:szCs w:val="32"/>
        </w:rPr>
        <w:t>3.开展资料收集、分析与评价</w:t>
      </w:r>
    </w:p>
    <w:p>
      <w:pPr>
        <w:adjustRightInd w:val="0"/>
        <w:snapToGrid w:val="0"/>
        <w:spacing w:line="600" w:lineRule="exact"/>
        <w:ind w:firstLine="640" w:firstLineChars="200"/>
        <w:rPr>
          <w:rFonts w:hint="eastAsia" w:ascii="仿宋" w:hAnsi="仿宋" w:eastAsia="仿宋" w:cs="楷体_GB2312"/>
          <w:b/>
          <w:bCs/>
          <w:sz w:val="32"/>
          <w:szCs w:val="32"/>
        </w:rPr>
      </w:pPr>
      <w:r>
        <w:rPr>
          <w:rFonts w:hint="eastAsia" w:ascii="仿宋_GB2312" w:eastAsia="仿宋_GB2312"/>
          <w:sz w:val="32"/>
          <w:szCs w:val="32"/>
        </w:rPr>
        <w:t>自评工作小组对</w:t>
      </w:r>
      <w:r>
        <w:rPr>
          <w:rFonts w:hint="eastAsia" w:ascii="仿宋_GB2312" w:eastAsia="仿宋_GB2312"/>
          <w:sz w:val="32"/>
          <w:szCs w:val="32"/>
          <w:lang w:val="en-US" w:eastAsia="zh-CN"/>
        </w:rPr>
        <w:t>12</w:t>
      </w:r>
      <w:r>
        <w:rPr>
          <w:rFonts w:hint="eastAsia" w:ascii="仿宋_GB2312" w:eastAsia="仿宋_GB2312"/>
          <w:sz w:val="32"/>
          <w:szCs w:val="32"/>
        </w:rPr>
        <w:t>个项目提交的《绩效自评表》逐一进行了审核，将填报的问题向业务处室反馈并要求修改完善，直至符合填报要求，具备评价基础。其后，自评工作组按照《实施意见》的要求，根据各项目实际情况，逐一对各项目预算执行、绩效指标等赋予分值及权重，并根据项目各项指标年初指标值与实际完成值的对比结果给予各项指标评分，汇总形成各项目绩效自评总得分。对于自评中发现的问题，自评工作小组予以全面记录，反馈业务处室。根据分析结果，全面总结项目决策、管理、绩效情况，撰写项目绩效评价报告。</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cs="仿宋"/>
          <w:sz w:val="32"/>
          <w:szCs w:val="32"/>
          <w:lang w:val="en-US" w:eastAsia="zh-CN"/>
        </w:rPr>
        <w:t>我部门2022年共涉及12个预算项目，其中11个预算项目均全部支出，完成年初预算计划100%，1个项目（14楼监控中心维护运行费）因相关手续滞后未能按时完成支出，完成预算支出的70.94%。</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参照预算绩效文本中分项绩效目标、指标，从完成数量、质量、时效、成本效益</w:t>
      </w:r>
      <w:r>
        <w:rPr>
          <w:rFonts w:hint="eastAsia" w:ascii="仿宋" w:hAnsi="仿宋" w:eastAsia="仿宋"/>
          <w:sz w:val="32"/>
          <w:szCs w:val="32"/>
        </w:rPr>
        <w:t>等</w:t>
      </w:r>
      <w:r>
        <w:rPr>
          <w:rFonts w:hint="eastAsia" w:ascii="仿宋" w:hAnsi="仿宋" w:eastAsia="仿宋"/>
          <w:sz w:val="32"/>
          <w:szCs w:val="32"/>
          <w:lang w:eastAsia="zh-CN"/>
        </w:rPr>
        <w:t>方面</w:t>
      </w:r>
      <w:r>
        <w:rPr>
          <w:rFonts w:hint="eastAsia" w:ascii="仿宋" w:hAnsi="仿宋" w:eastAsia="仿宋"/>
          <w:sz w:val="32"/>
          <w:szCs w:val="32"/>
        </w:rPr>
        <w:t>，对</w:t>
      </w:r>
      <w:r>
        <w:rPr>
          <w:rFonts w:hint="eastAsia" w:ascii="仿宋" w:hAnsi="仿宋" w:eastAsia="仿宋"/>
          <w:sz w:val="32"/>
          <w:szCs w:val="32"/>
          <w:lang w:eastAsia="zh-CN"/>
        </w:rPr>
        <w:t>分项目标指标完成情况进行评价，指标要细化、量化，得分依据要充分</w:t>
      </w:r>
      <w:r>
        <w:rPr>
          <w:rFonts w:hint="eastAsia" w:ascii="仿宋" w:hAnsi="仿宋" w:eastAsia="仿宋"/>
          <w:sz w:val="32"/>
          <w:szCs w:val="32"/>
        </w:rPr>
        <w:t>。</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spacing w:line="600" w:lineRule="exact"/>
        <w:ind w:firstLine="640" w:firstLineChars="200"/>
        <w:rPr>
          <w:rFonts w:ascii="仿宋" w:hAnsi="仿宋" w:eastAsia="仿宋"/>
          <w:sz w:val="32"/>
          <w:szCs w:val="32"/>
        </w:rPr>
      </w:pPr>
      <w:r>
        <w:rPr>
          <w:rFonts w:hint="eastAsia" w:ascii="仿宋_GB2312" w:hAnsi="仿宋" w:eastAsia="仿宋_GB2312"/>
          <w:sz w:val="32"/>
          <w:szCs w:val="32"/>
        </w:rPr>
        <w:t>经过此次自评工作，共</w:t>
      </w:r>
      <w:r>
        <w:rPr>
          <w:rFonts w:hint="eastAsia" w:ascii="仿宋_GB2312" w:hAnsi="仿宋" w:eastAsia="仿宋_GB2312"/>
          <w:sz w:val="32"/>
          <w:szCs w:val="32"/>
          <w:lang w:val="en-US" w:eastAsia="zh-CN"/>
        </w:rPr>
        <w:t>12</w:t>
      </w:r>
      <w:r>
        <w:rPr>
          <w:rFonts w:hint="eastAsia" w:ascii="仿宋_GB2312" w:hAnsi="仿宋" w:eastAsia="仿宋_GB2312"/>
          <w:sz w:val="32"/>
          <w:szCs w:val="32"/>
        </w:rPr>
        <w:t>个预算项目，其中等级优秀（≥85分）项目11个，良好（</w:t>
      </w:r>
      <w:r>
        <w:rPr>
          <w:rFonts w:hint="eastAsia" w:ascii="仿宋" w:hAnsi="仿宋" w:eastAsia="仿宋"/>
          <w:sz w:val="32"/>
          <w:szCs w:val="32"/>
        </w:rPr>
        <w:t>75</w:t>
      </w:r>
      <w:r>
        <w:rPr>
          <w:rFonts w:ascii="仿宋" w:hAnsi="仿宋" w:eastAsia="仿宋" w:cs="Arial"/>
          <w:sz w:val="32"/>
          <w:szCs w:val="32"/>
        </w:rPr>
        <w:t>≤</w:t>
      </w:r>
      <w:r>
        <w:rPr>
          <w:rFonts w:hint="eastAsia" w:ascii="仿宋" w:hAnsi="仿宋" w:eastAsia="仿宋"/>
          <w:sz w:val="32"/>
          <w:szCs w:val="32"/>
        </w:rPr>
        <w:t>得分＜85</w:t>
      </w:r>
      <w:r>
        <w:rPr>
          <w:rFonts w:hint="eastAsia" w:ascii="仿宋_GB2312" w:hAnsi="仿宋" w:eastAsia="仿宋_GB2312"/>
          <w:sz w:val="32"/>
          <w:szCs w:val="32"/>
        </w:rPr>
        <w:t>）</w:t>
      </w:r>
      <w:r>
        <w:rPr>
          <w:rFonts w:hint="eastAsia" w:ascii="仿宋_GB2312" w:hAnsi="仿宋" w:eastAsia="仿宋_GB2312"/>
          <w:sz w:val="32"/>
          <w:szCs w:val="32"/>
          <w:lang w:val="en-US" w:eastAsia="zh-CN"/>
        </w:rPr>
        <w:t>1</w:t>
      </w:r>
      <w:r>
        <w:rPr>
          <w:rFonts w:hint="eastAsia" w:ascii="仿宋_GB2312" w:hAnsi="仿宋" w:eastAsia="仿宋_GB2312"/>
          <w:sz w:val="32"/>
          <w:szCs w:val="32"/>
        </w:rPr>
        <w:t>个，一般（</w:t>
      </w:r>
      <w:r>
        <w:rPr>
          <w:rFonts w:hint="eastAsia" w:ascii="仿宋" w:hAnsi="仿宋" w:eastAsia="仿宋"/>
          <w:sz w:val="32"/>
          <w:szCs w:val="32"/>
        </w:rPr>
        <w:t>60</w:t>
      </w:r>
      <w:r>
        <w:rPr>
          <w:rFonts w:ascii="仿宋" w:hAnsi="仿宋" w:eastAsia="仿宋" w:cs="Arial"/>
          <w:sz w:val="32"/>
          <w:szCs w:val="32"/>
        </w:rPr>
        <w:t>≤</w:t>
      </w:r>
      <w:r>
        <w:rPr>
          <w:rFonts w:hint="eastAsia" w:ascii="仿宋" w:hAnsi="仿宋" w:eastAsia="仿宋"/>
          <w:sz w:val="32"/>
          <w:szCs w:val="32"/>
        </w:rPr>
        <w:t>得分＜75分</w:t>
      </w:r>
      <w:r>
        <w:rPr>
          <w:rFonts w:hint="eastAsia" w:ascii="仿宋_GB2312" w:hAnsi="仿宋" w:eastAsia="仿宋_GB2312"/>
          <w:sz w:val="32"/>
          <w:szCs w:val="32"/>
        </w:rPr>
        <w:t>）</w:t>
      </w:r>
      <w:r>
        <w:rPr>
          <w:rFonts w:hint="eastAsia" w:ascii="仿宋_GB2312" w:hAnsi="仿宋" w:eastAsia="仿宋_GB2312"/>
          <w:sz w:val="32"/>
          <w:szCs w:val="32"/>
          <w:lang w:val="en-US" w:eastAsia="zh-CN"/>
        </w:rPr>
        <w:t>0</w:t>
      </w:r>
      <w:r>
        <w:rPr>
          <w:rFonts w:hint="eastAsia" w:ascii="仿宋_GB2312" w:hAnsi="仿宋" w:eastAsia="仿宋_GB2312"/>
          <w:sz w:val="32"/>
          <w:szCs w:val="32"/>
        </w:rPr>
        <w:t>个，较差（</w:t>
      </w:r>
      <w:r>
        <w:rPr>
          <w:rFonts w:hint="eastAsia" w:ascii="仿宋" w:hAnsi="仿宋" w:eastAsia="仿宋"/>
          <w:sz w:val="32"/>
          <w:szCs w:val="32"/>
        </w:rPr>
        <w:t>＜60分</w:t>
      </w:r>
      <w:r>
        <w:rPr>
          <w:rFonts w:hint="eastAsia" w:ascii="仿宋_GB2312" w:hAnsi="仿宋" w:eastAsia="仿宋_GB2312"/>
          <w:sz w:val="32"/>
          <w:szCs w:val="32"/>
        </w:rPr>
        <w:t>）</w:t>
      </w:r>
      <w:r>
        <w:rPr>
          <w:rFonts w:hint="eastAsia" w:ascii="仿宋_GB2312" w:hAnsi="仿宋" w:eastAsia="仿宋_GB2312"/>
          <w:sz w:val="32"/>
          <w:szCs w:val="32"/>
          <w:lang w:val="en-US" w:eastAsia="zh-CN"/>
        </w:rPr>
        <w:t>0</w:t>
      </w:r>
      <w:r>
        <w:rPr>
          <w:rFonts w:hint="eastAsia" w:ascii="仿宋_GB2312" w:hAnsi="仿宋" w:eastAsia="仿宋_GB2312"/>
          <w:sz w:val="32"/>
          <w:szCs w:val="32"/>
        </w:rPr>
        <w:t>个。</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1.绩效目标及指标设定不够准确、细化</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评价发现，部分项目绩效目标填报水平有待提升，绩效目标和指标设置存在以下不足：一是部分产出指标设置不够细化，难以准确衡量项目完成情况。二是指标值设置不够合理，指标值设置预期值较高或难以达到预期指标，无法衡量指标完成情况。</w:t>
      </w:r>
    </w:p>
    <w:p>
      <w:pPr>
        <w:adjustRightInd w:val="0"/>
        <w:snapToGrid w:val="0"/>
        <w:spacing w:line="600" w:lineRule="exact"/>
        <w:ind w:firstLine="640" w:firstLineChars="200"/>
        <w:rPr>
          <w:rFonts w:ascii="仿宋_GB2312" w:eastAsia="仿宋_GB2312"/>
          <w:sz w:val="32"/>
          <w:szCs w:val="32"/>
        </w:rPr>
      </w:pPr>
      <w:r>
        <w:rPr>
          <w:rFonts w:hint="eastAsia" w:ascii="仿宋_GB2312" w:hAnsi="仿宋_GB2312" w:eastAsia="仿宋_GB2312" w:cs="仿宋_GB2312"/>
          <w:sz w:val="32"/>
          <w:szCs w:val="32"/>
        </w:rPr>
        <w:t>2.</w:t>
      </w:r>
      <w:r>
        <w:rPr>
          <w:rFonts w:hint="eastAsia" w:ascii="仿宋_GB2312" w:eastAsia="仿宋_GB2312"/>
          <w:sz w:val="32"/>
          <w:szCs w:val="32"/>
        </w:rPr>
        <w:t>预算编制不够准确，个别项目预算执行低</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评价发现，个别项目预算编制不够准确，导致实际执行与预算存在较大差异，个别项目预算执行低。如抑尘剂购置项目，执行率为0%,因招投标工作滞后，无法完成预期，造成该项目预算执行率较低。</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3.绩效材料收集不够充分，影响对项目效益实现情况的评价</w:t>
      </w:r>
    </w:p>
    <w:p>
      <w:pPr>
        <w:spacing w:line="600" w:lineRule="exact"/>
        <w:ind w:firstLine="640" w:firstLineChars="200"/>
        <w:rPr>
          <w:rFonts w:hint="eastAsia" w:ascii="仿宋" w:hAnsi="仿宋" w:eastAsia="仿宋"/>
          <w:b/>
          <w:bCs/>
          <w:sz w:val="32"/>
          <w:szCs w:val="32"/>
        </w:rPr>
      </w:pPr>
      <w:r>
        <w:rPr>
          <w:rFonts w:hint="eastAsia" w:ascii="仿宋_GB2312" w:eastAsia="仿宋_GB2312"/>
          <w:sz w:val="32"/>
          <w:szCs w:val="32"/>
        </w:rPr>
        <w:t>绩效资料是体现项目效益情况的重要依据，本次纳入自评范围的项目多数存在缺少绩效资料的情况。项目服务对象满意度调查等关键绩效材料收集不够充分，一定程度上影响了项目效益的实现情况的评价。</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pStyle w:val="6"/>
        <w:adjustRightInd w:val="0"/>
        <w:snapToGrid w:val="0"/>
        <w:spacing w:line="600" w:lineRule="exact"/>
        <w:ind w:left="158" w:leftChars="75" w:firstLine="470" w:firstLineChars="147"/>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1.健全项目管理制度，改进项目管理</w:t>
      </w:r>
    </w:p>
    <w:p>
      <w:pPr>
        <w:adjustRightInd w:val="0"/>
        <w:snapToGrid w:val="0"/>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建立健全项目管理制度，严格按照预算制度管理要求完成项目设立、项目管理、项目绩效评价流程，加强项目支出管理。</w:t>
      </w:r>
    </w:p>
    <w:p>
      <w:pPr>
        <w:widowControl/>
        <w:adjustRightInd w:val="0"/>
        <w:snapToGrid w:val="0"/>
        <w:spacing w:line="600" w:lineRule="exact"/>
        <w:ind w:left="643" w:leftChars="306" w:firstLine="156" w:firstLineChars="49"/>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2.加大培训力度，树立绩效管理理念</w:t>
      </w:r>
    </w:p>
    <w:p>
      <w:pPr>
        <w:widowControl/>
        <w:adjustRightInd w:val="0"/>
        <w:snapToGrid w:val="0"/>
        <w:spacing w:line="600" w:lineRule="exact"/>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定期组织财务人员及项目管理人员培训，加强预算制度及项目管理制度知识学习，提高财务人员专业知识水平，树立绩效管理理念，完善项目绩效评价工作。</w:t>
      </w:r>
    </w:p>
    <w:p>
      <w:pPr>
        <w:spacing w:line="600" w:lineRule="exact"/>
        <w:ind w:firstLine="800" w:firstLineChars="25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3.逐步建立绩效自评结果与年度预算安排相结合制度</w:t>
      </w: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根据此次项目绩效自评结果，在今后的项目管理中严格按照项目预算绩效目标制度，严格按照支付流程进行项目支出，做到与年初项目预算一直，不超预算最大额，做到资金支付利用最大化。</w:t>
      </w:r>
    </w:p>
    <w:p>
      <w:pPr>
        <w:adjustRightInd w:val="0"/>
        <w:snapToGrid w:val="0"/>
        <w:spacing w:line="600" w:lineRule="exact"/>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在总结此次绩效自评经验、结果基础上，完善绩效自评工作流程、环节，并逐步将绩效自评结果作为年度预算安排的参考依据。对绩效自评结果较好的单位或项目，在年度预算安排时将优先考虑；对绩效考评结果不理想的，将督促项目实施单位总结经验、发现问题，加强预算管理、强化支出责任、提升绩效管理水平，提高财政资金使用效率。</w:t>
      </w:r>
    </w:p>
    <w:p>
      <w:pPr>
        <w:spacing w:line="600" w:lineRule="exact"/>
        <w:ind w:firstLine="643" w:firstLineChars="200"/>
        <w:rPr>
          <w:rFonts w:ascii="仿宋_GB2312" w:hAnsi="仿宋" w:eastAsia="仿宋_GB2312"/>
          <w:b/>
          <w:bCs/>
          <w:sz w:val="32"/>
          <w:szCs w:val="32"/>
        </w:rPr>
      </w:pPr>
    </w:p>
    <w:p>
      <w:pPr>
        <w:widowControl w:val="0"/>
        <w:numPr>
          <w:ilvl w:val="0"/>
          <w:numId w:val="0"/>
        </w:numPr>
        <w:wordWrap/>
        <w:spacing w:line="560" w:lineRule="exact"/>
        <w:ind w:leftChars="200" w:right="0" w:rightChars="0"/>
        <w:textAlignment w:val="auto"/>
        <w:outlineLvl w:val="9"/>
        <w:rPr>
          <w:rFonts w:hint="eastAsia" w:ascii="仿宋" w:hAnsi="仿宋" w:eastAsia="仿宋"/>
          <w:b/>
          <w:bCs/>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21A5D2"/>
    <w:multiLevelType w:val="singleLevel"/>
    <w:tmpl w:val="EE21A5D2"/>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NhZDc2OGYyZTUzNjMxNThjODE1ZGViYmM3MDYxZjEifQ=="/>
  </w:docVars>
  <w:rsids>
    <w:rsidRoot w:val="0EBD2122"/>
    <w:rsid w:val="001C23DA"/>
    <w:rsid w:val="007E6C1F"/>
    <w:rsid w:val="00AF566A"/>
    <w:rsid w:val="00B6553A"/>
    <w:rsid w:val="00D4115E"/>
    <w:rsid w:val="01B104CA"/>
    <w:rsid w:val="02106AB0"/>
    <w:rsid w:val="02B43A28"/>
    <w:rsid w:val="046F331E"/>
    <w:rsid w:val="07956271"/>
    <w:rsid w:val="07CF228A"/>
    <w:rsid w:val="09721397"/>
    <w:rsid w:val="0A7B04A7"/>
    <w:rsid w:val="0A957E24"/>
    <w:rsid w:val="0BB63BED"/>
    <w:rsid w:val="0EB97A43"/>
    <w:rsid w:val="0EBD2122"/>
    <w:rsid w:val="0F214EAE"/>
    <w:rsid w:val="0F2E5AE8"/>
    <w:rsid w:val="11B71E6A"/>
    <w:rsid w:val="1AAF0063"/>
    <w:rsid w:val="1BE140DE"/>
    <w:rsid w:val="210A7A37"/>
    <w:rsid w:val="248C197D"/>
    <w:rsid w:val="252959AF"/>
    <w:rsid w:val="277A6671"/>
    <w:rsid w:val="292D35B7"/>
    <w:rsid w:val="31A223A5"/>
    <w:rsid w:val="32987598"/>
    <w:rsid w:val="33EB6CFF"/>
    <w:rsid w:val="35A12947"/>
    <w:rsid w:val="37387040"/>
    <w:rsid w:val="3B625C0A"/>
    <w:rsid w:val="3CEE1963"/>
    <w:rsid w:val="3F255F77"/>
    <w:rsid w:val="4C9C27FE"/>
    <w:rsid w:val="512260B4"/>
    <w:rsid w:val="52BD6ACB"/>
    <w:rsid w:val="544F4427"/>
    <w:rsid w:val="55537534"/>
    <w:rsid w:val="561A74F1"/>
    <w:rsid w:val="572F19CA"/>
    <w:rsid w:val="59295ADF"/>
    <w:rsid w:val="597244E8"/>
    <w:rsid w:val="5A403EEE"/>
    <w:rsid w:val="5CE3254C"/>
    <w:rsid w:val="5EB71C30"/>
    <w:rsid w:val="63094C5A"/>
    <w:rsid w:val="65DE6AF9"/>
    <w:rsid w:val="66AF0CE5"/>
    <w:rsid w:val="67045135"/>
    <w:rsid w:val="67F94F78"/>
    <w:rsid w:val="6A507835"/>
    <w:rsid w:val="6AC124E1"/>
    <w:rsid w:val="6AC537CF"/>
    <w:rsid w:val="6E5B14A6"/>
    <w:rsid w:val="6F7B5355"/>
    <w:rsid w:val="711B255E"/>
    <w:rsid w:val="784A1D68"/>
    <w:rsid w:val="7B4E6013"/>
    <w:rsid w:val="7BB51E06"/>
    <w:rsid w:val="7C387F7C"/>
    <w:rsid w:val="7E0F0B37"/>
    <w:rsid w:val="7F411A00"/>
    <w:rsid w:val="7F8054B6"/>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5109</Words>
  <Characters>5217</Characters>
  <Lines>7</Lines>
  <Paragraphs>2</Paragraphs>
  <TotalTime>0</TotalTime>
  <ScaleCrop>false</ScaleCrop>
  <LinksUpToDate>false</LinksUpToDate>
  <CharactersWithSpaces>5271</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给你惊喜</cp:lastModifiedBy>
  <cp:lastPrinted>2022-01-19T07:24:00Z</cp:lastPrinted>
  <dcterms:modified xsi:type="dcterms:W3CDTF">2024-06-20T09:00:07Z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14C5DA8972104B84949AD7A7467302EC</vt:lpwstr>
  </property>
</Properties>
</file>