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ADEFA1">
      <w:pPr>
        <w:adjustRightInd w:val="0"/>
        <w:snapToGrid w:val="0"/>
        <w:spacing w:line="560" w:lineRule="exact"/>
        <w:rPr>
          <w:rFonts w:ascii="仿宋_GB2312" w:eastAsia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附件3</w:t>
      </w:r>
    </w:p>
    <w:p w14:paraId="417CBB8D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39CE4CF9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横涧乡2022年度整体支出绩效自评报告</w:t>
      </w:r>
    </w:p>
    <w:p w14:paraId="5BD8458A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56ADBDC9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横涧乡2022年整体支出情况实施了财政支出绩效自评价，形成本评价报告。</w:t>
      </w:r>
    </w:p>
    <w:p w14:paraId="17FB2CD6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286AB783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（一）部门概况</w:t>
      </w:r>
    </w:p>
    <w:p w14:paraId="57A8C35D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1、部门职能</w:t>
      </w:r>
    </w:p>
    <w:p w14:paraId="23A84A03"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（一）负责全乡党的组织建设、干部队伍建设和人才队伍建设，加强组织领导，为各项工作的顺利开展奠定良好组织基础。</w:t>
      </w:r>
    </w:p>
    <w:p w14:paraId="5566EC70"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（二）结合</w:t>
      </w:r>
      <w:r>
        <w:rPr>
          <w:rFonts w:ascii="仿宋" w:hAnsi="仿宋" w:eastAsia="仿宋"/>
          <w:sz w:val="32"/>
          <w:szCs w:val="32"/>
        </w:rPr>
        <w:t>“</w:t>
      </w:r>
      <w:r>
        <w:rPr>
          <w:rFonts w:hint="eastAsia" w:ascii="仿宋" w:hAnsi="仿宋" w:eastAsia="仿宋"/>
          <w:sz w:val="32"/>
          <w:szCs w:val="32"/>
        </w:rPr>
        <w:t>一问责、八清理</w:t>
      </w:r>
      <w:r>
        <w:rPr>
          <w:rFonts w:ascii="仿宋" w:hAnsi="仿宋" w:eastAsia="仿宋"/>
          <w:sz w:val="32"/>
          <w:szCs w:val="32"/>
        </w:rPr>
        <w:t>”</w:t>
      </w:r>
      <w:r>
        <w:rPr>
          <w:rFonts w:hint="eastAsia" w:ascii="仿宋" w:hAnsi="仿宋" w:eastAsia="仿宋"/>
          <w:sz w:val="32"/>
          <w:szCs w:val="32"/>
        </w:rPr>
        <w:t>的活动，进一步加强专项资金的用项，加强组织建设和机关自身建设，改变机关的工作作风。</w:t>
      </w:r>
    </w:p>
    <w:p w14:paraId="3FD87067"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（三）加强财政管理，发挥财政调控功能，采取有效增收节支措施，严格控制一般性支出。</w:t>
      </w:r>
    </w:p>
    <w:p w14:paraId="2FBAA369"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（四）以科学发展观统揽全局，建设“碧水蓝天、宜居宜游、繁荣幸福新横涧”。</w:t>
      </w:r>
    </w:p>
    <w:p w14:paraId="4AE3FBF4"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（五）推动全乡产业格局优化，配合区委区政府盘活闲置土地，为乡属企业打破土地制约、建厂扩能提供契机，稳步推进新型工业化，为企业聚集发展、高效落地提供良好平台。</w:t>
      </w:r>
    </w:p>
    <w:p w14:paraId="08937F5B"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（六）聚焦城乡统筹发展，改善群众居住环境，城乡面貌日新月异，全力提升城市空间品质。</w:t>
      </w:r>
    </w:p>
    <w:p w14:paraId="63EF319C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七）坚定不移践行绿水青山就是金山银山理念，持续优化治理措施，改善空气质量，整治污染企业；按时巡查，防火防汛工作常抓不懈；慎始如终严抓疫情防控工作；加强食品安全监管工作，保障人民健康安全；全力推进平安建设，保障基层社会治理工作，保持社会大局稳定。</w:t>
      </w:r>
    </w:p>
    <w:p w14:paraId="672F6287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2、机构情况</w:t>
      </w:r>
    </w:p>
    <w:p w14:paraId="3E282E6A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本单位为石家庄市矿区横涧乡人民政府 ，所属一级预算单位，单位性质为行政单位，经费保障形式为财政拨款。独立核算单位共2个，比上年增减0个。</w:t>
      </w:r>
    </w:p>
    <w:p w14:paraId="4D64E223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3、人员情况</w:t>
      </w:r>
    </w:p>
    <w:p w14:paraId="68588964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共有编制53人，实有在职人数44人，其中行政人员26人，非参公事业人员18人。</w:t>
      </w:r>
    </w:p>
    <w:p w14:paraId="5B6F8B65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4、资产情况</w:t>
      </w:r>
    </w:p>
    <w:p w14:paraId="3A0D9402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2022年年初固定资产原值974.76万元，年末固定资产原值1075.2万元，增加100.44万元，主要是增加了调拨洗扫车辆。</w:t>
      </w:r>
    </w:p>
    <w:p w14:paraId="79C24EC9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（二）部门收支预决算情况</w:t>
      </w:r>
    </w:p>
    <w:p w14:paraId="7A8DB305">
      <w:pPr>
        <w:spacing w:line="360" w:lineRule="auto"/>
        <w:ind w:firstLine="643" w:firstLineChars="200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1、收入支出预算安排情况。</w:t>
      </w:r>
    </w:p>
    <w:p w14:paraId="00A09BC5"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2022年年初预算收入4861.87万元，2021年年初预算收入4366.54万元，增加495.33万元。2022年调整预算收入4838.07万元，2021年调整预算收入6112.94万元，较2021年减少1274.87万元。</w:t>
      </w:r>
    </w:p>
    <w:p w14:paraId="75A1D390"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2022年调整预算支出4838.07万元，2021年调整预算支出6112.94万元,比2021年调整预算支出减少1274.87万元。预算收入、支出减少的原因是：占地补偿项目减少，政府性基金预算经费减少。</w:t>
      </w:r>
    </w:p>
    <w:p w14:paraId="489032C1">
      <w:pPr>
        <w:spacing w:line="360" w:lineRule="auto"/>
        <w:ind w:firstLine="643" w:firstLineChars="200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2、收入支出预算执行情况。</w:t>
      </w:r>
    </w:p>
    <w:p w14:paraId="22687C9A"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2022年部门实际收入4838.07万元比2021年部门实际收入6112.94万元减少1274.87万元。2022年实际支出4838.07万元比2021年部门实际支出6112.94万元减少1274.87万元。实际收入、支出减少的原因是：2022年项目费用减少。</w:t>
      </w:r>
    </w:p>
    <w:p w14:paraId="66DD9B34"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1．收入支出与预算对比分析。</w:t>
      </w:r>
    </w:p>
    <w:tbl>
      <w:tblPr>
        <w:tblStyle w:val="4"/>
        <w:tblW w:w="92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03"/>
        <w:gridCol w:w="1940"/>
        <w:gridCol w:w="2703"/>
        <w:gridCol w:w="1940"/>
      </w:tblGrid>
      <w:tr w14:paraId="0A204B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2703" w:type="dxa"/>
            <w:vMerge w:val="restart"/>
            <w:vAlign w:val="center"/>
          </w:tcPr>
          <w:p w14:paraId="3282F7A6"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预算总收入</w:t>
            </w:r>
          </w:p>
        </w:tc>
        <w:tc>
          <w:tcPr>
            <w:tcW w:w="1940" w:type="dxa"/>
            <w:vAlign w:val="center"/>
          </w:tcPr>
          <w:p w14:paraId="5175CC3B"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金额（万元）</w:t>
            </w:r>
          </w:p>
        </w:tc>
        <w:tc>
          <w:tcPr>
            <w:tcW w:w="2703" w:type="dxa"/>
            <w:vMerge w:val="restart"/>
            <w:vAlign w:val="center"/>
          </w:tcPr>
          <w:p w14:paraId="686BFC81"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实际总收入</w:t>
            </w:r>
          </w:p>
        </w:tc>
        <w:tc>
          <w:tcPr>
            <w:tcW w:w="1940" w:type="dxa"/>
            <w:vAlign w:val="center"/>
          </w:tcPr>
          <w:p w14:paraId="0ED95E5A"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金额（万元）</w:t>
            </w:r>
          </w:p>
        </w:tc>
      </w:tr>
      <w:tr w14:paraId="4A34D3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  <w:jc w:val="center"/>
        </w:trPr>
        <w:tc>
          <w:tcPr>
            <w:tcW w:w="2703" w:type="dxa"/>
            <w:vMerge w:val="continue"/>
          </w:tcPr>
          <w:p w14:paraId="2487A77A">
            <w:pPr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940" w:type="dxa"/>
            <w:vAlign w:val="center"/>
          </w:tcPr>
          <w:p w14:paraId="6D92C972"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4861.87</w:t>
            </w:r>
          </w:p>
        </w:tc>
        <w:tc>
          <w:tcPr>
            <w:tcW w:w="2703" w:type="dxa"/>
            <w:vMerge w:val="continue"/>
          </w:tcPr>
          <w:p w14:paraId="5B460703">
            <w:pPr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940" w:type="dxa"/>
            <w:vAlign w:val="center"/>
          </w:tcPr>
          <w:p w14:paraId="29A7377E"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4838.07</w:t>
            </w:r>
          </w:p>
        </w:tc>
      </w:tr>
      <w:tr w14:paraId="33902B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03" w:type="dxa"/>
            <w:vAlign w:val="center"/>
          </w:tcPr>
          <w:p w14:paraId="7014684F">
            <w:pPr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预算总支出</w:t>
            </w:r>
          </w:p>
        </w:tc>
        <w:tc>
          <w:tcPr>
            <w:tcW w:w="1940" w:type="dxa"/>
            <w:vAlign w:val="center"/>
          </w:tcPr>
          <w:p w14:paraId="4C642CEA"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4861.87</w:t>
            </w:r>
          </w:p>
        </w:tc>
        <w:tc>
          <w:tcPr>
            <w:tcW w:w="2703" w:type="dxa"/>
            <w:vAlign w:val="center"/>
          </w:tcPr>
          <w:p w14:paraId="3299D204">
            <w:pPr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实际总支出</w:t>
            </w:r>
          </w:p>
        </w:tc>
        <w:tc>
          <w:tcPr>
            <w:tcW w:w="1940" w:type="dxa"/>
            <w:vAlign w:val="center"/>
          </w:tcPr>
          <w:p w14:paraId="562C95AB"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4838.07</w:t>
            </w:r>
          </w:p>
        </w:tc>
      </w:tr>
      <w:tr w14:paraId="43E69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03" w:type="dxa"/>
            <w:vAlign w:val="center"/>
          </w:tcPr>
          <w:p w14:paraId="474F8BA0">
            <w:pPr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预算基本支出</w:t>
            </w:r>
          </w:p>
        </w:tc>
        <w:tc>
          <w:tcPr>
            <w:tcW w:w="1940" w:type="dxa"/>
            <w:vAlign w:val="center"/>
          </w:tcPr>
          <w:p w14:paraId="5DB68045"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945.57</w:t>
            </w:r>
          </w:p>
        </w:tc>
        <w:tc>
          <w:tcPr>
            <w:tcW w:w="2703" w:type="dxa"/>
            <w:vAlign w:val="center"/>
          </w:tcPr>
          <w:p w14:paraId="1DD0817A">
            <w:pPr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实际基本支出</w:t>
            </w:r>
          </w:p>
        </w:tc>
        <w:tc>
          <w:tcPr>
            <w:tcW w:w="1940" w:type="dxa"/>
            <w:vAlign w:val="center"/>
          </w:tcPr>
          <w:p w14:paraId="0B54BB77"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1008.2</w:t>
            </w:r>
          </w:p>
        </w:tc>
      </w:tr>
      <w:tr w14:paraId="549D8B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03" w:type="dxa"/>
            <w:vAlign w:val="center"/>
          </w:tcPr>
          <w:p w14:paraId="237DB8A4">
            <w:pPr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其中：人员经费</w:t>
            </w:r>
          </w:p>
        </w:tc>
        <w:tc>
          <w:tcPr>
            <w:tcW w:w="1940" w:type="dxa"/>
            <w:vAlign w:val="center"/>
          </w:tcPr>
          <w:p w14:paraId="5C53227E"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734.34</w:t>
            </w:r>
          </w:p>
        </w:tc>
        <w:tc>
          <w:tcPr>
            <w:tcW w:w="2703" w:type="dxa"/>
            <w:vAlign w:val="center"/>
          </w:tcPr>
          <w:p w14:paraId="0DBBD431">
            <w:pPr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其中：人员经费</w:t>
            </w:r>
          </w:p>
        </w:tc>
        <w:tc>
          <w:tcPr>
            <w:tcW w:w="1940" w:type="dxa"/>
            <w:vAlign w:val="center"/>
          </w:tcPr>
          <w:p w14:paraId="7D764EA0"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799.99</w:t>
            </w:r>
          </w:p>
        </w:tc>
      </w:tr>
      <w:tr w14:paraId="2BF3C5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03" w:type="dxa"/>
            <w:vAlign w:val="center"/>
          </w:tcPr>
          <w:p w14:paraId="72E27A0F">
            <w:pPr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日常公用经费</w:t>
            </w:r>
          </w:p>
        </w:tc>
        <w:tc>
          <w:tcPr>
            <w:tcW w:w="1940" w:type="dxa"/>
            <w:vAlign w:val="center"/>
          </w:tcPr>
          <w:p w14:paraId="1E72E60D"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211.23</w:t>
            </w:r>
          </w:p>
        </w:tc>
        <w:tc>
          <w:tcPr>
            <w:tcW w:w="2703" w:type="dxa"/>
            <w:vAlign w:val="center"/>
          </w:tcPr>
          <w:p w14:paraId="0025B0FE">
            <w:pPr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日常公用经费</w:t>
            </w:r>
          </w:p>
        </w:tc>
        <w:tc>
          <w:tcPr>
            <w:tcW w:w="1940" w:type="dxa"/>
            <w:vAlign w:val="center"/>
          </w:tcPr>
          <w:p w14:paraId="2633017F"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208.21</w:t>
            </w:r>
          </w:p>
        </w:tc>
      </w:tr>
      <w:tr w14:paraId="4C0471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03" w:type="dxa"/>
            <w:vAlign w:val="center"/>
          </w:tcPr>
          <w:p w14:paraId="0FD5F2B2">
            <w:pPr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预算项目支出</w:t>
            </w:r>
          </w:p>
        </w:tc>
        <w:tc>
          <w:tcPr>
            <w:tcW w:w="1940" w:type="dxa"/>
            <w:vAlign w:val="center"/>
          </w:tcPr>
          <w:p w14:paraId="09B6BDF8"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3916.3</w:t>
            </w:r>
          </w:p>
        </w:tc>
        <w:tc>
          <w:tcPr>
            <w:tcW w:w="2703" w:type="dxa"/>
            <w:vAlign w:val="center"/>
          </w:tcPr>
          <w:p w14:paraId="4AD3A68D">
            <w:pPr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实际项目支出</w:t>
            </w:r>
          </w:p>
        </w:tc>
        <w:tc>
          <w:tcPr>
            <w:tcW w:w="1940" w:type="dxa"/>
            <w:vAlign w:val="center"/>
          </w:tcPr>
          <w:p w14:paraId="5BC76BC0"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3829.87</w:t>
            </w:r>
          </w:p>
        </w:tc>
      </w:tr>
      <w:tr w14:paraId="345BEE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03" w:type="dxa"/>
          </w:tcPr>
          <w:p w14:paraId="3DB6236D">
            <w:pPr>
              <w:ind w:firstLine="960" w:firstLineChars="400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其中：</w:t>
            </w:r>
          </w:p>
        </w:tc>
        <w:tc>
          <w:tcPr>
            <w:tcW w:w="1940" w:type="dxa"/>
            <w:vAlign w:val="center"/>
          </w:tcPr>
          <w:p w14:paraId="3EC35B31"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03" w:type="dxa"/>
          </w:tcPr>
          <w:p w14:paraId="70D5CE55"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其中：</w:t>
            </w:r>
          </w:p>
        </w:tc>
        <w:tc>
          <w:tcPr>
            <w:tcW w:w="1940" w:type="dxa"/>
            <w:vAlign w:val="center"/>
          </w:tcPr>
          <w:p w14:paraId="64474E0F"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45E56E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2703" w:type="dxa"/>
            <w:vAlign w:val="center"/>
          </w:tcPr>
          <w:p w14:paraId="28329D3A">
            <w:pPr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一般公共预算</w:t>
            </w:r>
          </w:p>
        </w:tc>
        <w:tc>
          <w:tcPr>
            <w:tcW w:w="1940" w:type="dxa"/>
            <w:vAlign w:val="center"/>
          </w:tcPr>
          <w:p w14:paraId="4DDB167A"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664.04</w:t>
            </w:r>
          </w:p>
        </w:tc>
        <w:tc>
          <w:tcPr>
            <w:tcW w:w="2703" w:type="dxa"/>
            <w:vAlign w:val="center"/>
          </w:tcPr>
          <w:p w14:paraId="67152430">
            <w:pPr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一般公共预算</w:t>
            </w:r>
          </w:p>
        </w:tc>
        <w:tc>
          <w:tcPr>
            <w:tcW w:w="1940" w:type="dxa"/>
            <w:vAlign w:val="center"/>
          </w:tcPr>
          <w:p w14:paraId="2597C64A"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817.11</w:t>
            </w:r>
          </w:p>
        </w:tc>
      </w:tr>
      <w:tr w14:paraId="1C3CA1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2703" w:type="dxa"/>
            <w:vAlign w:val="center"/>
          </w:tcPr>
          <w:p w14:paraId="1C91FE9C">
            <w:pPr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政府性基金预算</w:t>
            </w:r>
          </w:p>
        </w:tc>
        <w:tc>
          <w:tcPr>
            <w:tcW w:w="1940" w:type="dxa"/>
            <w:vAlign w:val="center"/>
          </w:tcPr>
          <w:p w14:paraId="09D1EB9F"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3252.26</w:t>
            </w:r>
          </w:p>
        </w:tc>
        <w:tc>
          <w:tcPr>
            <w:tcW w:w="2703" w:type="dxa"/>
            <w:vAlign w:val="center"/>
          </w:tcPr>
          <w:p w14:paraId="01AECC39">
            <w:pPr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政府性基金预算</w:t>
            </w:r>
          </w:p>
        </w:tc>
        <w:tc>
          <w:tcPr>
            <w:tcW w:w="1940" w:type="dxa"/>
            <w:vAlign w:val="center"/>
          </w:tcPr>
          <w:p w14:paraId="2D1FDE73">
            <w:pPr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3012.76</w:t>
            </w:r>
          </w:p>
        </w:tc>
      </w:tr>
    </w:tbl>
    <w:p w14:paraId="51746D7A"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2022年项目支出预算3916.3万元，实际支出3829.87万元。实际支出比预算减少86.43万元。原因是：项目减少。</w:t>
      </w:r>
    </w:p>
    <w:p w14:paraId="0C8F415A"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2．收入支出结构分析。</w:t>
      </w:r>
    </w:p>
    <w:p w14:paraId="5669DA3A"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）2022年实际总收入4838.07万元，基本收入1008.2万元占总收入20.84%（人员经费799.99万元占总收入16.54%，日常公用经费208.21万元占总收入4.3%）；项目收入3829.87万元占总收入79.16%。2022年实际总支出4838.07万元，基本支出1008.2万元占总支出20.84%（人员经费799.99万元占总支出16.54%，日常公用经费208.21占总支出4.3%）；项目支出3829.87万元占总支出79.16%。</w:t>
      </w:r>
    </w:p>
    <w:p w14:paraId="41E64E7A">
      <w:pPr>
        <w:adjustRightInd w:val="0"/>
        <w:snapToGrid w:val="0"/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2）收入支出与上年度对比情况及原因分析。2022年度财政拨款本年收入4838.07万元,比2021年度减少1274.87万元，减少20.86%，主要是征地占地补偿减少；本年支出4838.07万元，比2021年度减少1274.87万元，减少20.86%，主要是征地占地补偿支出减少。</w:t>
      </w:r>
    </w:p>
    <w:p w14:paraId="6561E83F">
      <w:pPr>
        <w:adjustRightInd w:val="0"/>
        <w:snapToGrid w:val="0"/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其中：一般公共预算财政拨款本年收入1825.31万元，比上年减少348.57万元，减少16.03%，主要是人员经费、公用经费减少；本年支出1825.31万元，比上年减少348.57万元，减少16.03%，主要是人员经费、公用经费减少。政府性基金预算财政拨款本年收入3012.76万元，比上年减少926.29万元，减少23.52%，主要原因是征地占地补偿减少；本年支出3012.76万元，比上年减少926.29万元，减少23.52%，主要原因是征地占地补偿减少。</w:t>
      </w:r>
    </w:p>
    <w:p w14:paraId="3E99F766"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3．支出按经济分类科目分析。</w:t>
      </w:r>
    </w:p>
    <w:p w14:paraId="07671A8B"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（1）“三公”经费支出情况：2022年三公经费列支公务用车运行维护费4万元，决算数3.99929万元。</w:t>
      </w:r>
    </w:p>
    <w:p w14:paraId="2E95DE5F"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（2）会议费支出情况：2022年会议费支出0万元，与上年支出持平。</w:t>
      </w:r>
    </w:p>
    <w:p w14:paraId="68E0F402"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（3）培训费支出情况：2022年培训费支出0万元，与上年支出持平。</w:t>
      </w:r>
    </w:p>
    <w:p w14:paraId="3F6D20F8"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（4）其他对单位影响较大的支出情况，无。</w:t>
      </w:r>
    </w:p>
    <w:p w14:paraId="3B409321"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（5）重点经济分类支出中存在的问题及改进措施，无。</w:t>
      </w:r>
    </w:p>
    <w:p w14:paraId="4731FC38"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4．财政拨款收入、支出分析。</w:t>
      </w:r>
    </w:p>
    <w:p w14:paraId="1D0B575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2022年财政拨款收入4838.07万元，支出4838.07万元，其中基本支出1008.2万元占总支出20.84%（人员经费799.996万元，日常公用经费208.21万元）；项目支出3829.87万元占总支出79.16%。从支出情况看基本支出是维持单位日常工作开展的重要资金保障，项目支出是开展各项民生工作，完成各项任务的重要资金支持。</w:t>
      </w:r>
    </w:p>
    <w:p w14:paraId="7B796E1D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（三）部门整体支出绩效目标、指标</w:t>
      </w:r>
    </w:p>
    <w:p w14:paraId="21F3E113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我乡紧紧围绕</w:t>
      </w:r>
      <w:r>
        <w:rPr>
          <w:rFonts w:hint="eastAsia" w:ascii="仿宋" w:hAnsi="仿宋" w:eastAsia="仿宋" w:cs="Times New Roman"/>
          <w:sz w:val="32"/>
          <w:szCs w:val="32"/>
        </w:rPr>
        <w:t>重点中心</w:t>
      </w:r>
      <w:r>
        <w:rPr>
          <w:rFonts w:hint="eastAsia" w:ascii="仿宋" w:hAnsi="仿宋" w:eastAsia="仿宋"/>
          <w:sz w:val="32"/>
          <w:szCs w:val="32"/>
        </w:rPr>
        <w:t>工作和建设“碧水蓝天、宜居宜游、繁荣幸福新横涧”的目标，</w:t>
      </w:r>
      <w:r>
        <w:rPr>
          <w:rFonts w:hint="eastAsia" w:ascii="仿宋" w:hAnsi="仿宋" w:eastAsia="仿宋" w:cs="Times New Roman"/>
          <w:sz w:val="32"/>
          <w:szCs w:val="32"/>
        </w:rPr>
        <w:t>强化党建引领，基层治理能力不断提升</w:t>
      </w:r>
      <w:r>
        <w:rPr>
          <w:rFonts w:ascii="仿宋" w:hAnsi="仿宋" w:eastAsia="仿宋"/>
          <w:sz w:val="32"/>
          <w:szCs w:val="32"/>
        </w:rPr>
        <w:t>；</w:t>
      </w:r>
      <w:r>
        <w:rPr>
          <w:rFonts w:hint="eastAsia" w:ascii="仿宋" w:hAnsi="仿宋" w:eastAsia="仿宋" w:cs="Times New Roman"/>
          <w:sz w:val="32"/>
          <w:szCs w:val="32"/>
        </w:rPr>
        <w:t>聚焦项目引领，依托自身资源激发招商引资内生动力。千方百计寻找发展路径，努力夯实农民增收基础，加快增收步伐。围绕“服务城区、建设城区”的发展定位，统筹推进城乡一体化发展，城乡面貌日新月异。坚持“绿色发展”工作理念，持续加大农村人居环境整治力度，提升生态文明。扎实做好各项民生事业，全力维护社会和谐稳定大局。</w:t>
      </w:r>
      <w:r>
        <w:rPr>
          <w:rFonts w:ascii="仿宋" w:hAnsi="仿宋" w:eastAsia="仿宋"/>
          <w:sz w:val="32"/>
          <w:szCs w:val="32"/>
        </w:rPr>
        <w:t>加强社会事业管理，</w:t>
      </w:r>
      <w:r>
        <w:rPr>
          <w:rFonts w:hint="eastAsia" w:ascii="仿宋" w:hAnsi="仿宋" w:eastAsia="仿宋" w:cs="Times New Roman"/>
          <w:sz w:val="32"/>
          <w:szCs w:val="32"/>
        </w:rPr>
        <w:t>持续保障改善民生。全面优化政务服务。守牢安全发展底线，</w:t>
      </w:r>
      <w:r>
        <w:rPr>
          <w:rFonts w:ascii="仿宋" w:hAnsi="仿宋" w:eastAsia="仿宋"/>
          <w:sz w:val="32"/>
          <w:szCs w:val="32"/>
        </w:rPr>
        <w:t>社会大局</w:t>
      </w:r>
      <w:r>
        <w:rPr>
          <w:rFonts w:hint="eastAsia" w:ascii="仿宋" w:hAnsi="仿宋" w:eastAsia="仿宋"/>
          <w:sz w:val="32"/>
          <w:szCs w:val="32"/>
        </w:rPr>
        <w:t>保持</w:t>
      </w:r>
      <w:r>
        <w:rPr>
          <w:rFonts w:ascii="仿宋" w:hAnsi="仿宋" w:eastAsia="仿宋"/>
          <w:sz w:val="32"/>
          <w:szCs w:val="32"/>
        </w:rPr>
        <w:t>稳定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ascii="仿宋" w:hAnsi="仿宋" w:eastAsia="仿宋"/>
          <w:sz w:val="32"/>
          <w:szCs w:val="32"/>
        </w:rPr>
        <w:t>人民生活更加幸福</w:t>
      </w:r>
      <w:r>
        <w:rPr>
          <w:rFonts w:hint="eastAsia" w:ascii="仿宋" w:hAnsi="仿宋" w:eastAsia="仿宋"/>
          <w:sz w:val="32"/>
          <w:szCs w:val="32"/>
        </w:rPr>
        <w:t>，总体工作按标完成，重点项目稳步推进。</w:t>
      </w:r>
    </w:p>
    <w:p w14:paraId="57318075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1A760D89">
      <w:pPr>
        <w:spacing w:line="560" w:lineRule="exact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 w14:paraId="72DB08B0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项目评价资料由相关科室整理后交由财政所进行评审，由财政所初步评价后，在自评会议上确定最终评价结果。</w:t>
      </w:r>
    </w:p>
    <w:p w14:paraId="57749C01">
      <w:pPr>
        <w:numPr>
          <w:ilvl w:val="0"/>
          <w:numId w:val="1"/>
        </w:numPr>
        <w:spacing w:line="560" w:lineRule="exact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 w14:paraId="2A810717">
      <w:pPr>
        <w:spacing w:line="560" w:lineRule="exact"/>
        <w:ind w:firstLine="640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自评由财政所进行初步评价，后经过自评会议决定最终评价结果。</w:t>
      </w:r>
    </w:p>
    <w:p w14:paraId="7D6D542E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三、部门整体支出绩效目标实现情况及指标分析</w:t>
      </w:r>
    </w:p>
    <w:p w14:paraId="261DB1A8">
      <w:pPr>
        <w:numPr>
          <w:ilvl w:val="0"/>
          <w:numId w:val="2"/>
        </w:numPr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总体绩效目标实现情况</w:t>
      </w:r>
    </w:p>
    <w:p w14:paraId="4D8A2021">
      <w:pPr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我乡积极履职，强化管理，较好地完成了年度工作目标。根据相关文件要求，我乡所有项目均设定了绩效目标，涉及产出指标、效益指标和满意度指标。</w:t>
      </w:r>
      <w:r>
        <w:rPr>
          <w:rFonts w:ascii="仿宋" w:hAnsi="仿宋" w:eastAsia="仿宋"/>
          <w:sz w:val="32"/>
          <w:szCs w:val="32"/>
        </w:rPr>
        <w:t>按要求开展上年度部门预算绩效自评和重点评价工作，提高财政资金使用效益。加强绩效运行监控。按要求开展绩效运行监控，发现问题及时采取措施，确保绩效目标如期保质实现。强化预算绩效管理意识，促进预算绩效管理水平进一步提升。</w:t>
      </w:r>
    </w:p>
    <w:p w14:paraId="37E24C72">
      <w:pPr>
        <w:spacing w:line="560" w:lineRule="exact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（二）分项绩效目标实现情况及指标分析</w:t>
      </w:r>
    </w:p>
    <w:p w14:paraId="558266A1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（一）综合业务管理费</w:t>
      </w:r>
    </w:p>
    <w:p w14:paraId="2AD52BDA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该项目预算数是11.27万元，支出11.27万元，总体支出进度为100%。</w:t>
      </w:r>
    </w:p>
    <w:p w14:paraId="6A7ED9B5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保障乡机关派遣人员、门岗工作人员经费发放；及时发放到位。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1B0F6201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（二）信访维稳经费</w:t>
      </w:r>
    </w:p>
    <w:p w14:paraId="60EC2B99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该项目预算数是28.9万元，支出28.9万元，总体支出进度为100%。</w:t>
      </w:r>
    </w:p>
    <w:p w14:paraId="222C235C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做好群众来信来访。法律咨询、搞好矛盾纠纷排查调处。</w:t>
      </w:r>
    </w:p>
    <w:p w14:paraId="78A756D0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负责正常信访、突发性及群体性事件的办理；提供相关服务保障。妥善处理突发性、群体性事件，维护社会稳定。</w:t>
      </w:r>
      <w:r>
        <w:rPr>
          <w:rFonts w:hint="eastAsia" w:ascii="仿宋" w:hAnsi="仿宋" w:eastAsia="仿宋"/>
          <w:sz w:val="32"/>
          <w:szCs w:val="32"/>
        </w:rPr>
        <w:t>通过普法教育宣传工作，让更多群众了解相关法律法规及政策</w:t>
      </w:r>
      <w:r>
        <w:rPr>
          <w:rFonts w:ascii="仿宋" w:hAnsi="仿宋" w:eastAsia="仿宋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45C2D105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（三）</w:t>
      </w:r>
      <w:r>
        <w:rPr>
          <w:rFonts w:ascii="仿宋" w:hAnsi="仿宋" w:eastAsia="仿宋" w:cs="仿宋"/>
          <w:sz w:val="32"/>
          <w:szCs w:val="32"/>
        </w:rPr>
        <w:t>网格工作经费</w:t>
      </w:r>
    </w:p>
    <w:p w14:paraId="350B4342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该项目预算数是11.98万元，支出11.98万元，总体支出进度为100%。</w:t>
      </w:r>
    </w:p>
    <w:p w14:paraId="0C396458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有效提高公共管理、综合服务的效率；完成网格员相关工作，及时发放网格员经费。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5D4702CD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（四）</w:t>
      </w:r>
      <w:r>
        <w:rPr>
          <w:rFonts w:hint="eastAsia" w:ascii="仿宋" w:hAnsi="仿宋" w:eastAsia="仿宋"/>
          <w:sz w:val="32"/>
          <w:szCs w:val="32"/>
        </w:rPr>
        <w:t>环境综合整治经费（环保）</w:t>
      </w:r>
    </w:p>
    <w:p w14:paraId="5DCEDB62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该项目预算数是74.76万元，支出74.76万元，总体支出进度为100%。</w:t>
      </w:r>
    </w:p>
    <w:p w14:paraId="2C3EE2EE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改善人居和生态环境质量，提升农村生态环境质量。统筹推进我乡污染治理与生态保护和建设同步发展。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56C41EAE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（五）</w:t>
      </w:r>
      <w:r>
        <w:rPr>
          <w:rFonts w:hint="eastAsia" w:ascii="仿宋" w:hAnsi="仿宋" w:eastAsia="仿宋"/>
          <w:sz w:val="32"/>
          <w:szCs w:val="32"/>
        </w:rPr>
        <w:t>环境综合整治、创城创卫经费</w:t>
      </w:r>
    </w:p>
    <w:p w14:paraId="118473D0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该项目预算数是30.61万元，支出30.61万元，总体支出进度为100%。</w:t>
      </w:r>
    </w:p>
    <w:p w14:paraId="3E762C7A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强化生态保护和监察监管，综合治理环境，提高环境整洁度。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11501CD2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（六）两委干部人员经费</w:t>
      </w:r>
    </w:p>
    <w:p w14:paraId="10DD7EC6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该项目预算数是157.94万元，支出157.94万元，总体支出进度为100%。</w:t>
      </w:r>
    </w:p>
    <w:p w14:paraId="30C730A9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促进经济发展、加强社会管理、提供公共服务、维护农村稳定。确保两委工资按时发放到位。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24F9C954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（七）社区工作经费</w:t>
      </w:r>
    </w:p>
    <w:p w14:paraId="5C3E6A95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该项目预算数是110万元，支出110万元，总体支出进度为100%。</w:t>
      </w:r>
    </w:p>
    <w:p w14:paraId="1E2F91A4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完成社区各项工作，促进经济发展、加强社会管理。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2F3BA386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（八）防火防汛动植物防疫经费</w:t>
      </w:r>
    </w:p>
    <w:p w14:paraId="75B9490C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该项目预算数是0.54万元，支出0.54万元，总体支出进度为100%。</w:t>
      </w:r>
    </w:p>
    <w:p w14:paraId="13939171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按时有效组织防火防汛动植物防疫相关工作。</w:t>
      </w:r>
      <w:r>
        <w:rPr>
          <w:rFonts w:hint="eastAsia" w:ascii="仿宋" w:hAnsi="仿宋" w:eastAsia="仿宋"/>
          <w:sz w:val="32"/>
          <w:szCs w:val="32"/>
        </w:rPr>
        <w:t>及时发放护林员工资。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7BF71ADE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（九）河长制工作经费</w:t>
      </w:r>
    </w:p>
    <w:p w14:paraId="15A3A4C6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该项目预算数是2万元，支出2万元，总体支出进度为100%。</w:t>
      </w:r>
    </w:p>
    <w:p w14:paraId="2C9FC6FC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按时有效组织河长制相关工作。及时发放工作经费。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0DE63024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（十）农村综合改革经费</w:t>
      </w:r>
    </w:p>
    <w:p w14:paraId="4194ACD2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该项目预算数是23万元，支出23万元，总体支出进度为100%。</w:t>
      </w:r>
    </w:p>
    <w:p w14:paraId="6508056A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用于支持村集体发展，促进社区经济发展</w:t>
      </w:r>
      <w:r>
        <w:rPr>
          <w:rFonts w:hint="eastAsia" w:ascii="仿宋" w:hAnsi="仿宋" w:eastAsia="仿宋" w:cs="仿宋"/>
          <w:sz w:val="32"/>
          <w:szCs w:val="32"/>
        </w:rPr>
        <w:t>。绩效指标为 4 个，评价等级为优。</w:t>
      </w:r>
    </w:p>
    <w:p w14:paraId="0F900D6C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（十一）文兴东路拓宽工程前期费用</w:t>
      </w:r>
    </w:p>
    <w:p w14:paraId="6C63AC9C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该项目预算数是141.4万元，支出141.4万元，总体支出进度为100%。</w:t>
      </w:r>
    </w:p>
    <w:p w14:paraId="392D6F50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统筹推进城乡一体化发展，城乡面貌日新月异。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3FB007D9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（十二）开展土壤状况调查所需费用</w:t>
      </w:r>
    </w:p>
    <w:p w14:paraId="30A199D6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该项目预算数是30万元，支出30万元，总体支出进度为100%。</w:t>
      </w:r>
    </w:p>
    <w:p w14:paraId="3EA5EE1E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开展土壤状况调查资金及时发放达到群众满意。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4ABEBD49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（十三）机关日常运转</w:t>
      </w:r>
    </w:p>
    <w:p w14:paraId="45C40F9F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该项目预算数是42.7万元，支出42.7万元，总体支出进度为100%。</w:t>
      </w:r>
    </w:p>
    <w:p w14:paraId="20B1023D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能够保障各项机关事务正常开展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ascii="仿宋" w:hAnsi="仿宋" w:eastAsia="仿宋"/>
          <w:sz w:val="32"/>
          <w:szCs w:val="32"/>
        </w:rPr>
        <w:t>能够长期满足工作需求。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6F20F664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（十四）横涧乡项目经费</w:t>
      </w:r>
    </w:p>
    <w:p w14:paraId="501FC7A0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该项目预算数是4.9万元，支出4.9万元，总体支出进度为100%。</w:t>
      </w:r>
    </w:p>
    <w:p w14:paraId="09745E1E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各项目经费按时发放，保障各项工作正常运转。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28C03BB3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（十五）党建经费</w:t>
      </w:r>
    </w:p>
    <w:p w14:paraId="51EEE23E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该项目预算数是6.5万元，支出6.5万元，总体支出进度为100%。</w:t>
      </w:r>
    </w:p>
    <w:p w14:paraId="068AC353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党建经费及时拨付，保障各项工作顺利完成。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766E61D0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（十六）冯臭小一次性抚恤金及丧葬费</w:t>
      </w:r>
    </w:p>
    <w:p w14:paraId="28418807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该项目预算数是12.98万元，支出12.98万元，总体支出进度为100%。</w:t>
      </w:r>
    </w:p>
    <w:p w14:paraId="74ADD817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及时发放抚恤金丧葬费，达到服务对象满意。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11A96FD4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（十七）乡机关遗留问题</w:t>
      </w:r>
    </w:p>
    <w:p w14:paraId="3A943386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该项目预算数是8.55万元，支出8.55万元，总体支出进度为100%。</w:t>
      </w:r>
    </w:p>
    <w:p w14:paraId="710F9D72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逐步解决历年遗留问题。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20CAD606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（十八）占地补偿及失地农民保险</w:t>
      </w:r>
    </w:p>
    <w:p w14:paraId="06A2533F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该项目预算数是1447.42万元，支出1447.42万元，总体支出进度为100%。</w:t>
      </w:r>
    </w:p>
    <w:p w14:paraId="2B6CF381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按时拨付农户占地补偿款及失地农民保险，达到群众满意。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4DD4CE75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（十九）提前下达2022年度社区党建惠民工程市级专项资金</w:t>
      </w:r>
    </w:p>
    <w:p w14:paraId="2F7D08B7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该项目预算数是220万元，支出176万元，总体支出进度为100%。</w:t>
      </w:r>
    </w:p>
    <w:p w14:paraId="7FEAFBC2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改善村容村貌，完成社区党建惠民工程。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03CA013E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（二十）宗教治理基层工作队经费</w:t>
      </w:r>
    </w:p>
    <w:p w14:paraId="5F8B3EA7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该项目预算数是16万元，支出16万元，总体支出进度为100%。</w:t>
      </w:r>
    </w:p>
    <w:p w14:paraId="37389D75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完成</w:t>
      </w:r>
      <w:r>
        <w:rPr>
          <w:rFonts w:hint="eastAsia" w:ascii="仿宋_GB2312" w:eastAsia="仿宋_GB2312" w:cs="仿宋_GB2312"/>
          <w:sz w:val="32"/>
          <w:szCs w:val="32"/>
        </w:rPr>
        <w:t>基层宗教治理工作</w:t>
      </w:r>
      <w:r>
        <w:rPr>
          <w:rFonts w:hint="eastAsia" w:ascii="仿宋" w:hAnsi="仿宋" w:eastAsia="仿宋" w:cs="仿宋"/>
          <w:sz w:val="32"/>
          <w:szCs w:val="32"/>
        </w:rPr>
        <w:t>。绩效指标为 4 个，评价等级为优。</w:t>
      </w:r>
    </w:p>
    <w:p w14:paraId="17C81D8A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（二十一）横涧乡2022年耕地地力保护补贴资金</w:t>
      </w:r>
    </w:p>
    <w:p w14:paraId="422AD81E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该项目预算数是6.996576万元，支出6.996576万元，总体支出进度为100%。</w:t>
      </w:r>
    </w:p>
    <w:p w14:paraId="6BA46803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按需拨付2022年耕地地力保护补贴资金。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1300C5F5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（二十二）预存2022年第213批次征地补偿费</w:t>
      </w:r>
    </w:p>
    <w:p w14:paraId="50E691B7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该项目预算数是186.0361万元，支出186.0361万元，总体支出进度为100%。</w:t>
      </w:r>
    </w:p>
    <w:p w14:paraId="785697BD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加强乡镇规划管理，协调城乡空间布局，改善人居环境，促进乡镇经济社会全面协调可持续发展。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122FBE12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（二十三）天户新城2021-2022年度集体土地部分补贴农户补偿款</w:t>
      </w:r>
    </w:p>
    <w:p w14:paraId="4EF8FA8C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该项目预算数是12.958万元，支出12.958万元，总体支出进度为100%。</w:t>
      </w:r>
    </w:p>
    <w:p w14:paraId="7ABCB701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及时发放天户新城2021-2022年度集体土地部分补贴农户补偿款。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1EAF8C7E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（二十四）2021年度第45批次建设用地项目耕地占用税</w:t>
      </w:r>
    </w:p>
    <w:p w14:paraId="29928AD4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该项目预算数是38.154万元，支出38.154万元，总体支出进度为100%。</w:t>
      </w:r>
    </w:p>
    <w:p w14:paraId="0038D5E9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促进经济发展、加强社会管理</w:t>
      </w:r>
      <w:r>
        <w:rPr>
          <w:rFonts w:hint="eastAsia" w:ascii="仿宋" w:hAnsi="仿宋" w:eastAsia="仿宋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6AE67022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（二十五）2021年7个批次社会稳定风险评估费</w:t>
      </w:r>
    </w:p>
    <w:p w14:paraId="456005B3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该项目预算数是14万元，支出14万元，总体支出进度为100%。</w:t>
      </w:r>
    </w:p>
    <w:p w14:paraId="39607657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及时拨付项目经费，完成社会稳定风险评估。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3C20C923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（二十六）易地扶贫搬迁城乡建设用地增减挂钩结余指标</w:t>
      </w:r>
    </w:p>
    <w:p w14:paraId="78E64205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该项目预算数是1100万元，支出1100万元，总体支出进度为100%。</w:t>
      </w:r>
    </w:p>
    <w:p w14:paraId="6DB6042C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按规定拨付资金。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5FCE3376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（二十七）关于提前下达2021年省级农村综合改革转移支付预算的通知</w:t>
      </w:r>
    </w:p>
    <w:p w14:paraId="29BF7D26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该项目预算数是25万元，支出25万元，总体支出进度为100%。</w:t>
      </w:r>
    </w:p>
    <w:p w14:paraId="7E3D19CD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促进经济发展、提供公共服务、维护农村稳定。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5C3D7233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（二十八）平赞高速连接线冯家沟社区段征地资金</w:t>
      </w:r>
    </w:p>
    <w:p w14:paraId="36A8733F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该项目预算数是22.6万元，支出22.6万元，总体支出进度为100%。</w:t>
      </w:r>
    </w:p>
    <w:p w14:paraId="757C98BA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加强乡镇规划管理，协调城乡空间布局，项目资金及时发放，保障项目顺利开展。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1755DB24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（二十九）关于下达2021年中央农村综合改革转移支付预算的通知</w:t>
      </w:r>
    </w:p>
    <w:p w14:paraId="1090C012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该项目预算数是30万元，支出30万元，总体支出进度为100%。</w:t>
      </w:r>
    </w:p>
    <w:p w14:paraId="2E598914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促进经济发展、提供公共服务、维护农村稳定。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37CA6340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（三十）第34批次征地补偿（东岗头）</w:t>
      </w:r>
    </w:p>
    <w:p w14:paraId="0FBADED3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该项目预算数是150.62万元，支出150.62万元，总体支出进度为100%。</w:t>
      </w:r>
    </w:p>
    <w:p w14:paraId="5DDB08BB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加强乡镇规划管理，协调城乡空间布局，促进乡镇经济社会全面协调可持续发展。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54B7092D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（三十一）预存2022年度第4批次远景B区新西、横北征地补偿费</w:t>
      </w:r>
    </w:p>
    <w:p w14:paraId="4EE61767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该项目预算数是366.6086万元，支出366.6086万元，总体支出进度为100%。</w:t>
      </w:r>
    </w:p>
    <w:p w14:paraId="74870238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加强乡镇规划管理，协调城乡空间布局，改善人居环境，促进乡镇经济社会全面协调可持续发展。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7CA44BF6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（三十二）预存2021年第54批次卫片整改赵村店、刘赵村、横西征地补偿款</w:t>
      </w:r>
    </w:p>
    <w:p w14:paraId="2002A776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该项目预算数是45.9769万元，支出45.9769万元，总体支出进度为100%。</w:t>
      </w:r>
    </w:p>
    <w:p w14:paraId="1E1B58DA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按需拨付各项占地补偿。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6B5BDA54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（三十三）预存2022年第170批次赵村店城中村改造项目赵村店、冯家沟征地补偿费</w:t>
      </w:r>
    </w:p>
    <w:p w14:paraId="6016138A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该项目预算数是100.0348万元，支出100.0348万元，总体支出进度为100%。</w:t>
      </w:r>
    </w:p>
    <w:p w14:paraId="0350F8A5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加强乡镇规划管理，协调城乡空间布局，改善人居环境，促进乡镇经济社会全面协调可持续发展。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0235A593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（三十四）预存2022年度第46批次体育公园横西、北西征地补偿费，第71批次体育公园（林地部分）横西征地补偿费</w:t>
      </w:r>
    </w:p>
    <w:p w14:paraId="47A133FB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该项目预算数是547.9512万元，支出547.9512万元，总体支出进度为100%。</w:t>
      </w:r>
    </w:p>
    <w:p w14:paraId="0A36F04D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加强乡镇规划管理，协调城乡空间布局，改善人居环境，促进乡镇经济社会全面协调可持续发展。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6FF7EE78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（三十五）土壤污染状况调查所需费用（第213批次）</w:t>
      </w:r>
    </w:p>
    <w:p w14:paraId="4B929AD1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该项目预算数是7万元，支出7万元，总体支出进度为100%。</w:t>
      </w:r>
    </w:p>
    <w:p w14:paraId="65EBB563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土壤污染状况调查所需费用及时发放。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05FB5302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（三十六）土壤污染状况调查所需费用（46、71、170批次）</w:t>
      </w:r>
    </w:p>
    <w:p w14:paraId="4A834634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该项目预算数是30万元，支出30万元，总体支出进度为100%。</w:t>
      </w:r>
    </w:p>
    <w:p w14:paraId="54723E50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土壤污染状况调查所需费用及时发放。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6061F5B4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（三十七）关于下达2021年省级农村综合改革转移支付资金的通知</w:t>
      </w:r>
    </w:p>
    <w:p w14:paraId="0084C362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该项目预算数是125万元，支出125万元，总体支出进度为100%。</w:t>
      </w:r>
    </w:p>
    <w:p w14:paraId="09E08B24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促进经济发展、提供公共服务、维护农村稳定。</w:t>
      </w:r>
      <w:r>
        <w:rPr>
          <w:rFonts w:hint="eastAsia" w:ascii="仿宋" w:hAnsi="仿宋" w:eastAsia="仿宋" w:cs="仿宋"/>
          <w:sz w:val="32"/>
          <w:szCs w:val="32"/>
        </w:rPr>
        <w:t>绩效指标为 4 个，评价等级为优。</w:t>
      </w:r>
    </w:p>
    <w:p w14:paraId="2265EFC8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77144C27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我单位对2022年本部门43个专项项目开展了绩效自评工作，评价发现，已完成绩效目标的项目有43个，占比100%。评价得分在90分（含90分）以上的43个，占比100%。</w:t>
      </w:r>
    </w:p>
    <w:p w14:paraId="09D903FA">
      <w:pPr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我单位</w:t>
      </w:r>
      <w:r>
        <w:rPr>
          <w:rFonts w:hint="eastAsia" w:ascii="仿宋_GB2312" w:hAnsi="仿宋" w:eastAsia="仿宋_GB2312"/>
          <w:sz w:val="30"/>
          <w:szCs w:val="30"/>
        </w:rPr>
        <w:t>认真贯彻落实党的二十大精神，</w:t>
      </w:r>
      <w:r>
        <w:rPr>
          <w:rFonts w:hint="eastAsia" w:ascii="仿宋" w:hAnsi="仿宋" w:eastAsia="仿宋"/>
          <w:sz w:val="32"/>
          <w:szCs w:val="32"/>
        </w:rPr>
        <w:t>立足职能，充分调动和发挥乡镇职能，紧紧围绕年初绩效目标，强化政治引领、服务发展大局，圆满完成年初既定目标，整体评价等级为优秀。</w:t>
      </w:r>
    </w:p>
    <w:p w14:paraId="67853061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3895A0F4">
      <w:pPr>
        <w:spacing w:line="560" w:lineRule="exact"/>
        <w:ind w:firstLine="643" w:firstLineChars="200"/>
        <w:rPr>
          <w:rFonts w:ascii="仿宋" w:hAnsi="仿宋" w:eastAsia="仿宋"/>
          <w:b/>
          <w:bCs/>
          <w:sz w:val="10"/>
          <w:szCs w:val="10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 w14:paraId="77231BAC">
      <w:pPr>
        <w:adjustRightInd w:val="0"/>
        <w:snapToGrid w:val="0"/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1.绩效目标及指标设定不够合理、准确</w:t>
      </w:r>
    </w:p>
    <w:p w14:paraId="46C2B489">
      <w:pPr>
        <w:adjustRightInd w:val="0"/>
        <w:snapToGrid w:val="0"/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评价发现，部分项目绩效目标填报水平有待提升，绩效目标及指标设定不够合理、准确，绩效考核目标设定上出现问题</w:t>
      </w:r>
      <w:r>
        <w:rPr>
          <w:rFonts w:hint="eastAsia" w:ascii="仿宋" w:hAnsi="仿宋" w:eastAsia="仿宋"/>
          <w:sz w:val="32"/>
          <w:szCs w:val="32"/>
          <w:lang w:eastAsia="zh-CN"/>
        </w:rPr>
        <w:t>或者</w:t>
      </w:r>
      <w:r>
        <w:rPr>
          <w:rFonts w:hint="eastAsia" w:ascii="仿宋" w:hAnsi="仿宋" w:eastAsia="仿宋"/>
          <w:sz w:val="32"/>
          <w:szCs w:val="32"/>
        </w:rPr>
        <w:t>是设计不合理势必要影响到绩效考核的全局，绩效目标表填写需要进一步完整、规范。</w:t>
      </w:r>
    </w:p>
    <w:p w14:paraId="5C9B0971">
      <w:pPr>
        <w:adjustRightInd w:val="0"/>
        <w:snapToGrid w:val="0"/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2.绩效材料收集不够充分，影响对项目效益实现情况的评价</w:t>
      </w:r>
    </w:p>
    <w:p w14:paraId="5891E93F">
      <w:pPr>
        <w:adjustRightInd w:val="0"/>
        <w:snapToGrid w:val="0"/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绩效资料是体现项目效益情况的重要依据，本次纳入自评范围的项目多数存在缺少绩效资料的情况。项目服务对象满意度调查等关键绩效材料收集不够充分，一定程度上影响了项目效益的实现情况的评价。</w:t>
      </w:r>
    </w:p>
    <w:p w14:paraId="418EFE55">
      <w:pPr>
        <w:spacing w:line="560" w:lineRule="exact"/>
        <w:ind w:firstLine="643" w:firstLineChars="200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（二）针对问题提出具体的改进措施或建议</w:t>
      </w:r>
    </w:p>
    <w:p w14:paraId="4548BFD6">
      <w:pPr>
        <w:adjustRightInd w:val="0"/>
        <w:snapToGrid w:val="0"/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我乡在2022年预算项目申报过程中，项目前期设定的绩效目标比较笼统，绩效指标及评价标准不够细化、量化，财政资金使用效果难以定量考核。接下来的工作中，我乡将按照上级要求，结合项目实施内容、预算、项目执行进度，针对年度绩效目标科学、合理设置对应的产出指标和效果指标，确保绩效指标合理、细化、可考量；在项目实施过程中，加强绩效监控，尽量做到对各项指标进行控制，注意项目绩效资料收集；项目结束后，强化绩效总结，发现问题，制定整改措施，并加强应用。</w:t>
      </w:r>
    </w:p>
    <w:p w14:paraId="7DC1C8E1">
      <w:pPr>
        <w:adjustRightInd w:val="0"/>
        <w:snapToGrid w:val="0"/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针对项目年度开展内容，对项目预算编制进行合理论证，科学编制项目预算，尽量降低项目经费年中调整比例及年终收回比例，提高预算编制的准确性；此外，合理使用项目预算，严格按照预算开展工作，提高预算使用率，提高项目执行进度、预算执行进度，提升预算执行与预算编制的一致性。</w:t>
      </w:r>
    </w:p>
    <w:p w14:paraId="0327DEE4">
      <w:pPr>
        <w:adjustRightInd w:val="0"/>
        <w:snapToGrid w:val="0"/>
        <w:spacing w:line="360" w:lineRule="auto"/>
        <w:ind w:firstLine="64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3.对项目申报材料规范化，项目建设进度质量指标都进行细化、量化，并逐步完善绩效考核制度。</w:t>
      </w:r>
    </w:p>
    <w:p w14:paraId="170ADAB4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</w:p>
    <w:p w14:paraId="6A7E84AA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54D38085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</w:p>
    <w:tbl>
      <w:tblPr>
        <w:tblStyle w:val="4"/>
        <w:tblW w:w="918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2552"/>
        <w:gridCol w:w="3745"/>
        <w:gridCol w:w="1499"/>
      </w:tblGrid>
      <w:tr w14:paraId="40EF43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</w:tcPr>
          <w:p w14:paraId="22C100D3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姓名</w:t>
            </w:r>
          </w:p>
        </w:tc>
        <w:tc>
          <w:tcPr>
            <w:tcW w:w="2552" w:type="dxa"/>
          </w:tcPr>
          <w:p w14:paraId="72D71A5C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工作单位</w:t>
            </w:r>
          </w:p>
        </w:tc>
        <w:tc>
          <w:tcPr>
            <w:tcW w:w="3745" w:type="dxa"/>
          </w:tcPr>
          <w:p w14:paraId="725688BF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职务</w:t>
            </w:r>
          </w:p>
        </w:tc>
        <w:tc>
          <w:tcPr>
            <w:tcW w:w="1499" w:type="dxa"/>
          </w:tcPr>
          <w:p w14:paraId="62539107">
            <w:pPr>
              <w:spacing w:line="56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签字</w:t>
            </w:r>
          </w:p>
        </w:tc>
      </w:tr>
      <w:tr w14:paraId="4B8FB1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</w:trPr>
        <w:tc>
          <w:tcPr>
            <w:tcW w:w="1384" w:type="dxa"/>
          </w:tcPr>
          <w:p w14:paraId="08163057">
            <w:pPr>
              <w:spacing w:line="560" w:lineRule="exac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苏  晓</w:t>
            </w:r>
          </w:p>
        </w:tc>
        <w:tc>
          <w:tcPr>
            <w:tcW w:w="2552" w:type="dxa"/>
          </w:tcPr>
          <w:p w14:paraId="6EAA9DA7">
            <w:pPr>
              <w:spacing w:line="560" w:lineRule="exac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横涧乡人民政府</w:t>
            </w:r>
          </w:p>
        </w:tc>
        <w:tc>
          <w:tcPr>
            <w:tcW w:w="3745" w:type="dxa"/>
          </w:tcPr>
          <w:p w14:paraId="524AB56B">
            <w:pPr>
              <w:spacing w:line="560" w:lineRule="exac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政府副乡长</w:t>
            </w:r>
          </w:p>
        </w:tc>
        <w:tc>
          <w:tcPr>
            <w:tcW w:w="1499" w:type="dxa"/>
          </w:tcPr>
          <w:p w14:paraId="16D9FA8D">
            <w:pPr>
              <w:spacing w:line="560" w:lineRule="exact"/>
              <w:rPr>
                <w:rFonts w:ascii="仿宋" w:hAnsi="仿宋" w:eastAsia="仿宋"/>
              </w:rPr>
            </w:pPr>
          </w:p>
        </w:tc>
      </w:tr>
      <w:tr w14:paraId="5FA077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384" w:type="dxa"/>
          </w:tcPr>
          <w:p w14:paraId="14538780">
            <w:pPr>
              <w:spacing w:line="560" w:lineRule="exac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周雪姣</w:t>
            </w:r>
          </w:p>
        </w:tc>
        <w:tc>
          <w:tcPr>
            <w:tcW w:w="2552" w:type="dxa"/>
          </w:tcPr>
          <w:p w14:paraId="10C440B9">
            <w:pPr>
              <w:spacing w:line="560" w:lineRule="exac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横涧乡人民政府</w:t>
            </w:r>
          </w:p>
        </w:tc>
        <w:tc>
          <w:tcPr>
            <w:tcW w:w="3745" w:type="dxa"/>
          </w:tcPr>
          <w:p w14:paraId="1C12DAE1">
            <w:pPr>
              <w:spacing w:line="560" w:lineRule="exac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党建办主任</w:t>
            </w:r>
          </w:p>
        </w:tc>
        <w:tc>
          <w:tcPr>
            <w:tcW w:w="1499" w:type="dxa"/>
          </w:tcPr>
          <w:p w14:paraId="333B947A">
            <w:pPr>
              <w:spacing w:line="560" w:lineRule="exact"/>
              <w:rPr>
                <w:rFonts w:ascii="仿宋" w:hAnsi="仿宋" w:eastAsia="仿宋"/>
              </w:rPr>
            </w:pPr>
          </w:p>
        </w:tc>
      </w:tr>
      <w:tr w14:paraId="7D5884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384" w:type="dxa"/>
          </w:tcPr>
          <w:p w14:paraId="5CC01B6E">
            <w:pPr>
              <w:spacing w:line="560" w:lineRule="exac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高  扬</w:t>
            </w:r>
          </w:p>
        </w:tc>
        <w:tc>
          <w:tcPr>
            <w:tcW w:w="2552" w:type="dxa"/>
          </w:tcPr>
          <w:p w14:paraId="6EC0AB93">
            <w:pPr>
              <w:spacing w:line="560" w:lineRule="exac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横涧乡人民政府</w:t>
            </w:r>
          </w:p>
        </w:tc>
        <w:tc>
          <w:tcPr>
            <w:tcW w:w="3745" w:type="dxa"/>
          </w:tcPr>
          <w:p w14:paraId="0710AAEC">
            <w:pPr>
              <w:spacing w:line="560" w:lineRule="exac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党政办主任</w:t>
            </w:r>
          </w:p>
        </w:tc>
        <w:tc>
          <w:tcPr>
            <w:tcW w:w="1499" w:type="dxa"/>
          </w:tcPr>
          <w:p w14:paraId="7224B409">
            <w:pPr>
              <w:spacing w:line="560" w:lineRule="exact"/>
              <w:rPr>
                <w:rFonts w:ascii="仿宋" w:hAnsi="仿宋" w:eastAsia="仿宋"/>
              </w:rPr>
            </w:pPr>
          </w:p>
        </w:tc>
      </w:tr>
      <w:tr w14:paraId="7A1287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1384" w:type="dxa"/>
          </w:tcPr>
          <w:p w14:paraId="6F603474">
            <w:pPr>
              <w:spacing w:line="560" w:lineRule="exac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李小华</w:t>
            </w:r>
          </w:p>
        </w:tc>
        <w:tc>
          <w:tcPr>
            <w:tcW w:w="2552" w:type="dxa"/>
          </w:tcPr>
          <w:p w14:paraId="17A41D9B">
            <w:pPr>
              <w:spacing w:line="560" w:lineRule="exac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横涧乡人民政府</w:t>
            </w:r>
          </w:p>
        </w:tc>
        <w:tc>
          <w:tcPr>
            <w:tcW w:w="3745" w:type="dxa"/>
          </w:tcPr>
          <w:p w14:paraId="6F4AAD83">
            <w:pPr>
              <w:spacing w:line="560" w:lineRule="exac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退役军人服务站负责人</w:t>
            </w:r>
          </w:p>
        </w:tc>
        <w:tc>
          <w:tcPr>
            <w:tcW w:w="1499" w:type="dxa"/>
          </w:tcPr>
          <w:p w14:paraId="2DCAB9EB">
            <w:pPr>
              <w:spacing w:line="560" w:lineRule="exact"/>
              <w:rPr>
                <w:rFonts w:ascii="仿宋" w:hAnsi="仿宋" w:eastAsia="仿宋"/>
              </w:rPr>
            </w:pPr>
          </w:p>
        </w:tc>
      </w:tr>
      <w:tr w14:paraId="75A4AC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</w:trPr>
        <w:tc>
          <w:tcPr>
            <w:tcW w:w="1384" w:type="dxa"/>
          </w:tcPr>
          <w:p w14:paraId="138B1C4C">
            <w:pPr>
              <w:spacing w:line="560" w:lineRule="exac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冯慧荣</w:t>
            </w:r>
          </w:p>
        </w:tc>
        <w:tc>
          <w:tcPr>
            <w:tcW w:w="2552" w:type="dxa"/>
          </w:tcPr>
          <w:p w14:paraId="546014AE">
            <w:pPr>
              <w:spacing w:line="560" w:lineRule="exac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横涧乡人民政府</w:t>
            </w:r>
          </w:p>
        </w:tc>
        <w:tc>
          <w:tcPr>
            <w:tcW w:w="3745" w:type="dxa"/>
          </w:tcPr>
          <w:p w14:paraId="3362406C">
            <w:pPr>
              <w:spacing w:line="500" w:lineRule="exac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纪委办职员</w:t>
            </w:r>
          </w:p>
        </w:tc>
        <w:tc>
          <w:tcPr>
            <w:tcW w:w="1499" w:type="dxa"/>
          </w:tcPr>
          <w:p w14:paraId="76C35339">
            <w:pPr>
              <w:spacing w:line="560" w:lineRule="exact"/>
              <w:rPr>
                <w:rFonts w:ascii="仿宋" w:hAnsi="仿宋" w:eastAsia="仿宋"/>
              </w:rPr>
            </w:pPr>
          </w:p>
        </w:tc>
      </w:tr>
      <w:tr w14:paraId="67F7E3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384" w:type="dxa"/>
          </w:tcPr>
          <w:p w14:paraId="3BFD2298">
            <w:pPr>
              <w:spacing w:line="560" w:lineRule="exac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耿晓莉</w:t>
            </w:r>
          </w:p>
        </w:tc>
        <w:tc>
          <w:tcPr>
            <w:tcW w:w="2552" w:type="dxa"/>
          </w:tcPr>
          <w:p w14:paraId="17DDE789">
            <w:pPr>
              <w:spacing w:line="560" w:lineRule="exac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横涧乡人民政府</w:t>
            </w:r>
          </w:p>
        </w:tc>
        <w:tc>
          <w:tcPr>
            <w:tcW w:w="3745" w:type="dxa"/>
          </w:tcPr>
          <w:p w14:paraId="268AF6B7">
            <w:pPr>
              <w:spacing w:line="560" w:lineRule="exac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行政综合服务中心主任</w:t>
            </w:r>
          </w:p>
        </w:tc>
        <w:tc>
          <w:tcPr>
            <w:tcW w:w="1499" w:type="dxa"/>
          </w:tcPr>
          <w:p w14:paraId="4CC89A62">
            <w:pPr>
              <w:spacing w:line="560" w:lineRule="exact"/>
              <w:rPr>
                <w:rFonts w:ascii="仿宋" w:hAnsi="仿宋" w:eastAsia="仿宋"/>
              </w:rPr>
            </w:pPr>
          </w:p>
        </w:tc>
      </w:tr>
      <w:tr w14:paraId="47B44E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384" w:type="dxa"/>
          </w:tcPr>
          <w:p w14:paraId="040E4589">
            <w:pPr>
              <w:spacing w:line="560" w:lineRule="exac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栾国霞</w:t>
            </w:r>
          </w:p>
        </w:tc>
        <w:tc>
          <w:tcPr>
            <w:tcW w:w="2552" w:type="dxa"/>
          </w:tcPr>
          <w:p w14:paraId="7F6F7F56">
            <w:pPr>
              <w:spacing w:line="560" w:lineRule="exac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横涧乡人民政府</w:t>
            </w:r>
          </w:p>
        </w:tc>
        <w:tc>
          <w:tcPr>
            <w:tcW w:w="3745" w:type="dxa"/>
          </w:tcPr>
          <w:p w14:paraId="36C1543B">
            <w:pPr>
              <w:spacing w:line="560" w:lineRule="exac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财政所所长</w:t>
            </w:r>
          </w:p>
        </w:tc>
        <w:tc>
          <w:tcPr>
            <w:tcW w:w="1499" w:type="dxa"/>
          </w:tcPr>
          <w:p w14:paraId="13672F94">
            <w:pPr>
              <w:spacing w:line="560" w:lineRule="exact"/>
              <w:rPr>
                <w:rFonts w:ascii="仿宋" w:hAnsi="仿宋" w:eastAsia="仿宋"/>
              </w:rPr>
            </w:pPr>
          </w:p>
        </w:tc>
      </w:tr>
      <w:tr w14:paraId="59470D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1384" w:type="dxa"/>
          </w:tcPr>
          <w:p w14:paraId="6F7BA821">
            <w:pPr>
              <w:spacing w:line="560" w:lineRule="exac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杜晓慧</w:t>
            </w:r>
          </w:p>
        </w:tc>
        <w:tc>
          <w:tcPr>
            <w:tcW w:w="2552" w:type="dxa"/>
          </w:tcPr>
          <w:p w14:paraId="3B937122">
            <w:pPr>
              <w:spacing w:line="560" w:lineRule="exac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横涧乡人民政府</w:t>
            </w:r>
          </w:p>
        </w:tc>
        <w:tc>
          <w:tcPr>
            <w:tcW w:w="3745" w:type="dxa"/>
          </w:tcPr>
          <w:p w14:paraId="2BE4C6DA">
            <w:pPr>
              <w:spacing w:line="560" w:lineRule="exac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综合行政执法队队长</w:t>
            </w:r>
          </w:p>
        </w:tc>
        <w:tc>
          <w:tcPr>
            <w:tcW w:w="1499" w:type="dxa"/>
          </w:tcPr>
          <w:p w14:paraId="18FB0A38">
            <w:pPr>
              <w:spacing w:line="560" w:lineRule="exact"/>
              <w:rPr>
                <w:rFonts w:ascii="仿宋" w:hAnsi="仿宋" w:eastAsia="仿宋"/>
              </w:rPr>
            </w:pPr>
          </w:p>
        </w:tc>
      </w:tr>
      <w:tr w14:paraId="1EBD7B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</w:tcPr>
          <w:p w14:paraId="47FC2FF4">
            <w:pPr>
              <w:spacing w:line="560" w:lineRule="exac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张海林</w:t>
            </w:r>
          </w:p>
        </w:tc>
        <w:tc>
          <w:tcPr>
            <w:tcW w:w="2552" w:type="dxa"/>
          </w:tcPr>
          <w:p w14:paraId="03830660">
            <w:pPr>
              <w:spacing w:line="560" w:lineRule="exac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横涧乡人民政府</w:t>
            </w:r>
          </w:p>
        </w:tc>
        <w:tc>
          <w:tcPr>
            <w:tcW w:w="3745" w:type="dxa"/>
          </w:tcPr>
          <w:p w14:paraId="3B20118C">
            <w:pPr>
              <w:spacing w:line="560" w:lineRule="exac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农业综合服务中心负责人</w:t>
            </w:r>
          </w:p>
        </w:tc>
        <w:tc>
          <w:tcPr>
            <w:tcW w:w="1499" w:type="dxa"/>
          </w:tcPr>
          <w:p w14:paraId="3360594B">
            <w:pPr>
              <w:spacing w:line="560" w:lineRule="exact"/>
              <w:rPr>
                <w:rFonts w:ascii="仿宋" w:hAnsi="仿宋" w:eastAsia="仿宋"/>
              </w:rPr>
            </w:pPr>
          </w:p>
        </w:tc>
      </w:tr>
      <w:tr w14:paraId="46E455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 w14:paraId="6CCC4D5E">
            <w:pPr>
              <w:spacing w:line="560" w:lineRule="exac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杨计生</w:t>
            </w:r>
          </w:p>
        </w:tc>
        <w:tc>
          <w:tcPr>
            <w:tcW w:w="2552" w:type="dxa"/>
            <w:vAlign w:val="center"/>
          </w:tcPr>
          <w:p w14:paraId="2BEF9055">
            <w:pPr>
              <w:spacing w:line="560" w:lineRule="exac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横涧乡人民政府</w:t>
            </w:r>
          </w:p>
        </w:tc>
        <w:tc>
          <w:tcPr>
            <w:tcW w:w="3745" w:type="dxa"/>
          </w:tcPr>
          <w:p w14:paraId="4EFCA619">
            <w:pPr>
              <w:spacing w:line="560" w:lineRule="exac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社会治理和应急管理办公室负责人</w:t>
            </w:r>
          </w:p>
        </w:tc>
        <w:tc>
          <w:tcPr>
            <w:tcW w:w="1499" w:type="dxa"/>
          </w:tcPr>
          <w:p w14:paraId="7078F202">
            <w:pPr>
              <w:spacing w:line="560" w:lineRule="exact"/>
              <w:rPr>
                <w:rFonts w:ascii="仿宋" w:hAnsi="仿宋" w:eastAsia="仿宋"/>
              </w:rPr>
            </w:pPr>
          </w:p>
        </w:tc>
      </w:tr>
      <w:tr w14:paraId="06D1C4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 w14:paraId="370F8297">
            <w:pPr>
              <w:spacing w:line="560" w:lineRule="exac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苏  莉</w:t>
            </w:r>
          </w:p>
        </w:tc>
        <w:tc>
          <w:tcPr>
            <w:tcW w:w="2552" w:type="dxa"/>
            <w:vAlign w:val="center"/>
          </w:tcPr>
          <w:p w14:paraId="1ABBF07A">
            <w:pPr>
              <w:spacing w:line="560" w:lineRule="exac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横涧乡人民政府</w:t>
            </w:r>
          </w:p>
        </w:tc>
        <w:tc>
          <w:tcPr>
            <w:tcW w:w="3745" w:type="dxa"/>
          </w:tcPr>
          <w:p w14:paraId="07336025">
            <w:pPr>
              <w:spacing w:line="560" w:lineRule="exac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自然资源和生态环境办公室负责人</w:t>
            </w:r>
          </w:p>
        </w:tc>
        <w:tc>
          <w:tcPr>
            <w:tcW w:w="1499" w:type="dxa"/>
          </w:tcPr>
          <w:p w14:paraId="487F7DEE">
            <w:pPr>
              <w:spacing w:line="560" w:lineRule="exact"/>
              <w:rPr>
                <w:rFonts w:ascii="仿宋" w:hAnsi="仿宋" w:eastAsia="仿宋"/>
              </w:rPr>
            </w:pPr>
          </w:p>
        </w:tc>
      </w:tr>
    </w:tbl>
    <w:p w14:paraId="1D435BC8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B41D3E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6CF67E4F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- 16 -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OqXm5zwAAAAUBAAAPAAAAAAAAAAEAIAAAACIAAABkcnMvZG93bnJldi54bWxQSwEC&#10;FAAUAAAACACHTuJAdLiVLsQBAACrAwAADgAAAAAAAAABACAAAAAeAQAAZHJzL2Uyb0RvYy54bWxQ&#10;SwUGAAAAAAYABgBZAQAAV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CF67E4F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- 16 -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01221B"/>
    <w:rsid w:val="0003350C"/>
    <w:rsid w:val="0006555D"/>
    <w:rsid w:val="00080988"/>
    <w:rsid w:val="000F6DF4"/>
    <w:rsid w:val="00107713"/>
    <w:rsid w:val="00123A72"/>
    <w:rsid w:val="00123B18"/>
    <w:rsid w:val="00130321"/>
    <w:rsid w:val="00184398"/>
    <w:rsid w:val="00190E34"/>
    <w:rsid w:val="001918E8"/>
    <w:rsid w:val="001A3156"/>
    <w:rsid w:val="001D711B"/>
    <w:rsid w:val="001E4233"/>
    <w:rsid w:val="001F362D"/>
    <w:rsid w:val="00212FA3"/>
    <w:rsid w:val="002209F0"/>
    <w:rsid w:val="0024325A"/>
    <w:rsid w:val="00285712"/>
    <w:rsid w:val="002D427B"/>
    <w:rsid w:val="002E5F9C"/>
    <w:rsid w:val="003109E0"/>
    <w:rsid w:val="003138D6"/>
    <w:rsid w:val="00320C4D"/>
    <w:rsid w:val="00330A3F"/>
    <w:rsid w:val="003436DC"/>
    <w:rsid w:val="00354D5A"/>
    <w:rsid w:val="003730B4"/>
    <w:rsid w:val="003E7815"/>
    <w:rsid w:val="00403F43"/>
    <w:rsid w:val="00412050"/>
    <w:rsid w:val="004919E4"/>
    <w:rsid w:val="00493EE1"/>
    <w:rsid w:val="004B2B52"/>
    <w:rsid w:val="004D185D"/>
    <w:rsid w:val="004F1249"/>
    <w:rsid w:val="005F36FE"/>
    <w:rsid w:val="0060090D"/>
    <w:rsid w:val="00606105"/>
    <w:rsid w:val="006141A3"/>
    <w:rsid w:val="006263C4"/>
    <w:rsid w:val="006605E4"/>
    <w:rsid w:val="00681732"/>
    <w:rsid w:val="006A5F85"/>
    <w:rsid w:val="006A6436"/>
    <w:rsid w:val="006B2DD2"/>
    <w:rsid w:val="006C2714"/>
    <w:rsid w:val="0072109D"/>
    <w:rsid w:val="00732AD9"/>
    <w:rsid w:val="0073535D"/>
    <w:rsid w:val="00752579"/>
    <w:rsid w:val="007B3774"/>
    <w:rsid w:val="007E0A6D"/>
    <w:rsid w:val="007E423D"/>
    <w:rsid w:val="007E6C1F"/>
    <w:rsid w:val="00810208"/>
    <w:rsid w:val="00852736"/>
    <w:rsid w:val="008E366C"/>
    <w:rsid w:val="0093017C"/>
    <w:rsid w:val="00962044"/>
    <w:rsid w:val="00971FA1"/>
    <w:rsid w:val="009E5D8E"/>
    <w:rsid w:val="009E6FAC"/>
    <w:rsid w:val="009F79C3"/>
    <w:rsid w:val="00A04485"/>
    <w:rsid w:val="00A3217B"/>
    <w:rsid w:val="00A61992"/>
    <w:rsid w:val="00A62790"/>
    <w:rsid w:val="00A67891"/>
    <w:rsid w:val="00A8620E"/>
    <w:rsid w:val="00AB351A"/>
    <w:rsid w:val="00AB7E91"/>
    <w:rsid w:val="00AE1E5F"/>
    <w:rsid w:val="00AF566A"/>
    <w:rsid w:val="00B338A8"/>
    <w:rsid w:val="00B569B9"/>
    <w:rsid w:val="00B6553A"/>
    <w:rsid w:val="00BA3DBF"/>
    <w:rsid w:val="00C3778B"/>
    <w:rsid w:val="00C64D46"/>
    <w:rsid w:val="00D00C00"/>
    <w:rsid w:val="00D11AF7"/>
    <w:rsid w:val="00D12F24"/>
    <w:rsid w:val="00D7492A"/>
    <w:rsid w:val="00DB71FE"/>
    <w:rsid w:val="00DD2773"/>
    <w:rsid w:val="00DF327E"/>
    <w:rsid w:val="00E07098"/>
    <w:rsid w:val="00E5576A"/>
    <w:rsid w:val="00E67EDD"/>
    <w:rsid w:val="00E7296A"/>
    <w:rsid w:val="00ED142A"/>
    <w:rsid w:val="00ED1EAE"/>
    <w:rsid w:val="00EF3E3E"/>
    <w:rsid w:val="00F331A6"/>
    <w:rsid w:val="00F903E3"/>
    <w:rsid w:val="00FA3BAB"/>
    <w:rsid w:val="00FD464F"/>
    <w:rsid w:val="00FD4AC1"/>
    <w:rsid w:val="00FD613D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23191036"/>
    <w:rsid w:val="248C197D"/>
    <w:rsid w:val="252959AF"/>
    <w:rsid w:val="277A6671"/>
    <w:rsid w:val="292D35B7"/>
    <w:rsid w:val="33EB6CFF"/>
    <w:rsid w:val="35A12947"/>
    <w:rsid w:val="37387040"/>
    <w:rsid w:val="3B625C0A"/>
    <w:rsid w:val="3CEE1963"/>
    <w:rsid w:val="3F255F77"/>
    <w:rsid w:val="4C9C27FE"/>
    <w:rsid w:val="512260B4"/>
    <w:rsid w:val="52BD6ACB"/>
    <w:rsid w:val="55537534"/>
    <w:rsid w:val="561A74F1"/>
    <w:rsid w:val="59295ADF"/>
    <w:rsid w:val="597244E8"/>
    <w:rsid w:val="5EB71C30"/>
    <w:rsid w:val="63094C5A"/>
    <w:rsid w:val="66AF0CE5"/>
    <w:rsid w:val="6AC537CF"/>
    <w:rsid w:val="6E5B14A6"/>
    <w:rsid w:val="711B255E"/>
    <w:rsid w:val="7BB51E06"/>
    <w:rsid w:val="7C387F7C"/>
    <w:rsid w:val="7F411A00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17</Pages>
  <Words>6793</Words>
  <Characters>7777</Characters>
  <Lines>57</Lines>
  <Paragraphs>16</Paragraphs>
  <TotalTime>468</TotalTime>
  <ScaleCrop>false</ScaleCrop>
  <LinksUpToDate>false</LinksUpToDate>
  <CharactersWithSpaces>7875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FreefrAnk</cp:lastModifiedBy>
  <cp:lastPrinted>2022-01-19T07:24:00Z</cp:lastPrinted>
  <dcterms:modified xsi:type="dcterms:W3CDTF">2025-04-30T07:49:34Z</dcterms:modified>
  <dc:title>附件3：</dc:title>
  <cp:revision>59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C5DBBE1E82B14A71905C849D0C97F3E0_13</vt:lpwstr>
  </property>
  <property fmtid="{D5CDD505-2E9C-101B-9397-08002B2CF9AE}" pid="4" name="KSOTemplateDocerSaveRecord">
    <vt:lpwstr>eyJoZGlkIjoiZjczMDZkNDRiZDdhZjExNTAyZWE2ZWI4OGU2YzBiY2EiLCJ1c2VySWQiOiIzMzAzNzY0NDcifQ==</vt:lpwstr>
  </property>
</Properties>
</file>