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outlineLvl w:val="0"/>
        <w:rPr>
          <w:rFonts w:hint="eastAsia" w:ascii="黑体" w:hAnsi="黑体" w:eastAsia="黑体" w:cs="黑体"/>
          <w:b/>
          <w:color w:val="000000"/>
          <w:kern w:val="0"/>
          <w:sz w:val="44"/>
          <w:lang w:eastAsia="zh-CN"/>
        </w:rPr>
      </w:pPr>
      <w:bookmarkStart w:id="0" w:name="_Toc_4_4_0000000019"/>
      <w:r>
        <w:rPr>
          <w:rFonts w:hint="eastAsia" w:ascii="黑体" w:hAnsi="黑体" w:eastAsia="黑体" w:cs="黑体"/>
          <w:b/>
          <w:color w:val="000000"/>
          <w:kern w:val="0"/>
          <w:sz w:val="44"/>
          <w:lang w:val="en-US" w:eastAsia="zh-CN"/>
        </w:rPr>
        <w:t>2022年</w:t>
      </w:r>
      <w:r>
        <w:rPr>
          <w:rFonts w:ascii="黑体" w:hAnsi="黑体" w:eastAsia="黑体" w:cs="黑体"/>
          <w:b/>
          <w:color w:val="000000"/>
          <w:kern w:val="0"/>
          <w:sz w:val="44"/>
          <w:lang w:eastAsia="uk-UA"/>
        </w:rPr>
        <w:t>部门所属单位预算</w:t>
      </w:r>
      <w:r>
        <w:rPr>
          <w:rFonts w:hint="eastAsia" w:ascii="黑体" w:hAnsi="黑体" w:eastAsia="黑体" w:cs="黑体"/>
          <w:b/>
          <w:color w:val="000000"/>
          <w:kern w:val="0"/>
          <w:sz w:val="44"/>
          <w:lang w:eastAsia="zh-CN"/>
        </w:rPr>
        <w:t>信息公开目录</w:t>
      </w:r>
    </w:p>
    <w:p>
      <w:pPr>
        <w:pStyle w:val="4"/>
        <w:tabs>
          <w:tab w:val="right" w:leader="dot" w:pos="14562"/>
        </w:tabs>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eastAsia="zh-CN"/>
        </w:rPr>
        <w:t>井陉矿区大气和水污染防治指挥部办公室</w:t>
      </w:r>
      <w:r>
        <w:t>本级收支预算</w:t>
      </w:r>
      <w:r>
        <w:tab/>
      </w:r>
      <w:r>
        <w:rPr>
          <w:rFonts w:hint="eastAsia"/>
          <w:lang w:val="en-US" w:eastAsia="zh-CN"/>
        </w:rPr>
        <w:t>1</w:t>
      </w:r>
      <w:r>
        <w:fldChar w:fldCharType="end"/>
      </w:r>
    </w:p>
    <w:p>
      <w:pPr>
        <w:ind w:firstLine="2100" w:firstLineChars="1000"/>
        <w:jc w:val="both"/>
        <w:outlineLvl w:val="3"/>
        <w:rPr>
          <w:rFonts w:ascii="方正小标宋_GBK" w:hAnsi="方正小标宋_GBK" w:eastAsia="方正小标宋_GBK" w:cs="方正小标宋_GBK"/>
          <w:color w:val="000000"/>
          <w:sz w:val="44"/>
        </w:rPr>
      </w:pPr>
      <w:r>
        <w:fldChar w:fldCharType="end"/>
      </w: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pPr>
    </w:p>
    <w:p>
      <w:pPr>
        <w:ind w:firstLine="4400" w:firstLineChars="1000"/>
        <w:jc w:val="both"/>
        <w:outlineLvl w:val="3"/>
        <w:rPr>
          <w:rFonts w:ascii="方正小标宋_GBK" w:hAnsi="方正小标宋_GBK" w:eastAsia="方正小标宋_GBK" w:cs="方正小标宋_GBK"/>
          <w:color w:val="000000"/>
          <w:sz w:val="44"/>
        </w:rPr>
        <w:sectPr>
          <w:pgSz w:w="16840" w:h="11900" w:orient="landscape"/>
          <w:pgMar w:top="1361" w:right="1020" w:bottom="1134" w:left="1020" w:header="720" w:footer="720" w:gutter="0"/>
          <w:pgNumType w:fmt="decimal" w:start="1"/>
          <w:cols w:space="720" w:num="1"/>
        </w:sectPr>
      </w:pPr>
    </w:p>
    <w:p>
      <w:pPr>
        <w:ind w:firstLine="4400" w:firstLineChars="1000"/>
        <w:jc w:val="both"/>
        <w:outlineLvl w:val="3"/>
      </w:pPr>
      <w:r>
        <w:rPr>
          <w:rFonts w:ascii="方正小标宋_GBK" w:hAnsi="方正小标宋_GBK" w:eastAsia="方正小标宋_GBK" w:cs="方正小标宋_GBK"/>
          <w:color w:val="000000"/>
          <w:sz w:val="44"/>
        </w:rPr>
        <w:t>一、矿区气水办本级收支预算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302001</w:t>
            </w:r>
            <w:r>
              <w:rPr>
                <w:rFonts w:hint="eastAsia"/>
                <w:lang w:eastAsia="zh-CN"/>
              </w:rPr>
              <w:t>井陉矿区大气和水污染防治指挥部办公室本级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264.78</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r>
              <w:t>264.78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264.78</w:t>
            </w:r>
          </w:p>
        </w:tc>
        <w:tc>
          <w:tcPr>
            <w:tcW w:w="4535" w:type="dxa"/>
            <w:vAlign w:val="center"/>
          </w:tcPr>
          <w:p>
            <w:pPr>
              <w:pStyle w:val="14"/>
            </w:pPr>
            <w:r>
              <w:t>本年支出合计</w:t>
            </w:r>
          </w:p>
        </w:tc>
        <w:tc>
          <w:tcPr>
            <w:tcW w:w="2126" w:type="dxa"/>
            <w:vAlign w:val="center"/>
          </w:tcPr>
          <w:p>
            <w:pPr>
              <w:pStyle w:val="15"/>
            </w:pPr>
            <w:r>
              <w:t>264.78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264.78</w:t>
            </w:r>
          </w:p>
        </w:tc>
        <w:tc>
          <w:tcPr>
            <w:tcW w:w="4535" w:type="dxa"/>
            <w:vAlign w:val="center"/>
          </w:tcPr>
          <w:p>
            <w:pPr>
              <w:pStyle w:val="14"/>
            </w:pPr>
            <w:r>
              <w:t>支出总计</w:t>
            </w:r>
          </w:p>
        </w:tc>
        <w:tc>
          <w:tcPr>
            <w:tcW w:w="2126" w:type="dxa"/>
            <w:vAlign w:val="center"/>
          </w:tcPr>
          <w:p>
            <w:pPr>
              <w:pStyle w:val="15"/>
            </w:pPr>
            <w:r>
              <w:t>264.78</w:t>
            </w:r>
          </w:p>
        </w:tc>
      </w:tr>
    </w:tbl>
    <w:p>
      <w:pPr>
        <w:sectPr>
          <w:footerReference r:id="rId3" w:type="default"/>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264.78</w:t>
            </w:r>
          </w:p>
        </w:tc>
        <w:tc>
          <w:tcPr>
            <w:tcW w:w="1134" w:type="dxa"/>
            <w:vAlign w:val="center"/>
          </w:tcPr>
          <w:p>
            <w:pPr>
              <w:pStyle w:val="15"/>
            </w:pPr>
            <w:r>
              <w:t>264.78</w:t>
            </w:r>
          </w:p>
        </w:tc>
        <w:tc>
          <w:tcPr>
            <w:tcW w:w="1134" w:type="dxa"/>
            <w:vAlign w:val="center"/>
          </w:tcPr>
          <w:p>
            <w:pPr>
              <w:pStyle w:val="15"/>
            </w:pPr>
            <w:r>
              <w:t>264.78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3"/>
            </w:pPr>
            <w:r>
              <w:t>264.78</w:t>
            </w:r>
          </w:p>
        </w:tc>
        <w:tc>
          <w:tcPr>
            <w:tcW w:w="1134" w:type="dxa"/>
            <w:vAlign w:val="center"/>
          </w:tcPr>
          <w:p>
            <w:pPr>
              <w:pStyle w:val="13"/>
            </w:pPr>
            <w:r>
              <w:t>264.78</w:t>
            </w:r>
          </w:p>
        </w:tc>
        <w:tc>
          <w:tcPr>
            <w:tcW w:w="1134" w:type="dxa"/>
            <w:vAlign w:val="center"/>
          </w:tcPr>
          <w:p>
            <w:pPr>
              <w:pStyle w:val="13"/>
            </w:pPr>
            <w:r>
              <w:t>264.78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3"/>
            </w:pPr>
            <w:r>
              <w:t>250.98</w:t>
            </w:r>
          </w:p>
        </w:tc>
        <w:tc>
          <w:tcPr>
            <w:tcW w:w="1134" w:type="dxa"/>
            <w:vAlign w:val="center"/>
          </w:tcPr>
          <w:p>
            <w:pPr>
              <w:pStyle w:val="13"/>
            </w:pPr>
            <w:r>
              <w:t>250.98</w:t>
            </w:r>
          </w:p>
        </w:tc>
        <w:tc>
          <w:tcPr>
            <w:tcW w:w="1134" w:type="dxa"/>
            <w:vAlign w:val="center"/>
          </w:tcPr>
          <w:p>
            <w:pPr>
              <w:pStyle w:val="13"/>
            </w:pPr>
            <w:r>
              <w:t>250.98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2110102</w:t>
            </w:r>
          </w:p>
        </w:tc>
        <w:tc>
          <w:tcPr>
            <w:tcW w:w="1559" w:type="dxa"/>
            <w:vAlign w:val="center"/>
          </w:tcPr>
          <w:p>
            <w:pPr>
              <w:pStyle w:val="12"/>
            </w:pPr>
            <w:r>
              <w:t>一般行政管理事务</w:t>
            </w:r>
          </w:p>
        </w:tc>
        <w:tc>
          <w:tcPr>
            <w:tcW w:w="1134" w:type="dxa"/>
            <w:vAlign w:val="center"/>
          </w:tcPr>
          <w:p>
            <w:pPr>
              <w:pStyle w:val="13"/>
            </w:pPr>
            <w:r>
              <w:t>250.98</w:t>
            </w:r>
          </w:p>
        </w:tc>
        <w:tc>
          <w:tcPr>
            <w:tcW w:w="1134" w:type="dxa"/>
            <w:vAlign w:val="center"/>
          </w:tcPr>
          <w:p>
            <w:pPr>
              <w:pStyle w:val="13"/>
            </w:pPr>
            <w:r>
              <w:t>250.98</w:t>
            </w:r>
          </w:p>
        </w:tc>
        <w:tc>
          <w:tcPr>
            <w:tcW w:w="1134" w:type="dxa"/>
            <w:vAlign w:val="center"/>
          </w:tcPr>
          <w:p>
            <w:pPr>
              <w:pStyle w:val="13"/>
            </w:pPr>
            <w:r>
              <w:t>250.98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rPr>
          <w:rFonts w:hint="default" w:eastAsia="宋体"/>
          <w:lang w:val="en-US" w:eastAsia="zh-CN"/>
        </w:rPr>
        <w:sectPr>
          <w:pgSz w:w="16840" w:h="11900" w:orient="landscape"/>
          <w:pgMar w:top="1361" w:right="1020" w:bottom="1134" w:left="1020" w:header="720" w:footer="720" w:gutter="0"/>
          <w:pgNumType w:fmt="decimal"/>
          <w:cols w:space="720" w:num="1"/>
        </w:sectPr>
      </w:pPr>
      <w:r>
        <w:rPr>
          <w:rFonts w:hint="eastAsia" w:eastAsia="宋体"/>
          <w:lang w:val="en-US" w:eastAsia="zh-CN"/>
        </w:rPr>
        <w:t xml:space="preserve">  </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264.78</w:t>
            </w:r>
          </w:p>
        </w:tc>
        <w:tc>
          <w:tcPr>
            <w:tcW w:w="1361" w:type="dxa"/>
            <w:vAlign w:val="center"/>
          </w:tcPr>
          <w:p>
            <w:pPr>
              <w:pStyle w:val="15"/>
            </w:pPr>
          </w:p>
        </w:tc>
        <w:tc>
          <w:tcPr>
            <w:tcW w:w="1361" w:type="dxa"/>
            <w:vAlign w:val="center"/>
          </w:tcPr>
          <w:p>
            <w:pPr>
              <w:pStyle w:val="15"/>
            </w:pPr>
            <w:r>
              <w:t>264.78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3"/>
            </w:pPr>
            <w:r>
              <w:t>264.78</w:t>
            </w:r>
          </w:p>
        </w:tc>
        <w:tc>
          <w:tcPr>
            <w:tcW w:w="1361" w:type="dxa"/>
            <w:vAlign w:val="center"/>
          </w:tcPr>
          <w:p>
            <w:pPr>
              <w:pStyle w:val="13"/>
            </w:pPr>
          </w:p>
        </w:tc>
        <w:tc>
          <w:tcPr>
            <w:tcW w:w="1361" w:type="dxa"/>
            <w:vAlign w:val="center"/>
          </w:tcPr>
          <w:p>
            <w:pPr>
              <w:pStyle w:val="13"/>
            </w:pPr>
            <w:r>
              <w:t>264.78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3"/>
            </w:pPr>
            <w:r>
              <w:t>250.98</w:t>
            </w:r>
          </w:p>
        </w:tc>
        <w:tc>
          <w:tcPr>
            <w:tcW w:w="1361" w:type="dxa"/>
            <w:vAlign w:val="center"/>
          </w:tcPr>
          <w:p>
            <w:pPr>
              <w:pStyle w:val="13"/>
            </w:pPr>
          </w:p>
        </w:tc>
        <w:tc>
          <w:tcPr>
            <w:tcW w:w="1361" w:type="dxa"/>
            <w:vAlign w:val="center"/>
          </w:tcPr>
          <w:p>
            <w:pPr>
              <w:pStyle w:val="13"/>
            </w:pPr>
            <w:r>
              <w:t>250.98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2110102</w:t>
            </w:r>
          </w:p>
        </w:tc>
        <w:tc>
          <w:tcPr>
            <w:tcW w:w="4535" w:type="dxa"/>
            <w:vAlign w:val="center"/>
          </w:tcPr>
          <w:p>
            <w:pPr>
              <w:pStyle w:val="12"/>
            </w:pPr>
            <w:r>
              <w:t>一般行政管理事务</w:t>
            </w:r>
          </w:p>
        </w:tc>
        <w:tc>
          <w:tcPr>
            <w:tcW w:w="1361" w:type="dxa"/>
            <w:vAlign w:val="center"/>
          </w:tcPr>
          <w:p>
            <w:pPr>
              <w:pStyle w:val="13"/>
            </w:pPr>
            <w:r>
              <w:t>250.98</w:t>
            </w:r>
          </w:p>
        </w:tc>
        <w:tc>
          <w:tcPr>
            <w:tcW w:w="1361" w:type="dxa"/>
            <w:vAlign w:val="center"/>
          </w:tcPr>
          <w:p>
            <w:pPr>
              <w:pStyle w:val="13"/>
            </w:pPr>
          </w:p>
        </w:tc>
        <w:tc>
          <w:tcPr>
            <w:tcW w:w="1361" w:type="dxa"/>
            <w:vAlign w:val="center"/>
          </w:tcPr>
          <w:p>
            <w:pPr>
              <w:pStyle w:val="13"/>
            </w:pPr>
            <w:r>
              <w:t>250.98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264.78</w:t>
            </w:r>
          </w:p>
        </w:tc>
        <w:tc>
          <w:tcPr>
            <w:tcW w:w="3402" w:type="dxa"/>
            <w:vAlign w:val="center"/>
          </w:tcPr>
          <w:p>
            <w:pPr>
              <w:pStyle w:val="12"/>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r>
              <w:t>264.78</w:t>
            </w:r>
          </w:p>
        </w:tc>
        <w:tc>
          <w:tcPr>
            <w:tcW w:w="1474" w:type="dxa"/>
            <w:vAlign w:val="center"/>
          </w:tcPr>
          <w:p>
            <w:pPr>
              <w:pStyle w:val="13"/>
            </w:pPr>
            <w:r>
              <w:t>264.78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264.78</w:t>
            </w:r>
          </w:p>
        </w:tc>
        <w:tc>
          <w:tcPr>
            <w:tcW w:w="3402" w:type="dxa"/>
            <w:vAlign w:val="center"/>
          </w:tcPr>
          <w:p>
            <w:pPr>
              <w:pStyle w:val="14"/>
            </w:pPr>
            <w:r>
              <w:t>本年支出合计</w:t>
            </w:r>
          </w:p>
        </w:tc>
        <w:tc>
          <w:tcPr>
            <w:tcW w:w="1474" w:type="dxa"/>
            <w:vAlign w:val="center"/>
          </w:tcPr>
          <w:p>
            <w:pPr>
              <w:pStyle w:val="15"/>
            </w:pPr>
            <w:r>
              <w:t>264.78</w:t>
            </w:r>
          </w:p>
        </w:tc>
        <w:tc>
          <w:tcPr>
            <w:tcW w:w="1474" w:type="dxa"/>
            <w:vAlign w:val="center"/>
          </w:tcPr>
          <w:p>
            <w:pPr>
              <w:pStyle w:val="15"/>
            </w:pPr>
            <w:r>
              <w:t>264.78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264.78</w:t>
            </w:r>
          </w:p>
        </w:tc>
        <w:tc>
          <w:tcPr>
            <w:tcW w:w="3402" w:type="dxa"/>
            <w:vAlign w:val="center"/>
          </w:tcPr>
          <w:p>
            <w:pPr>
              <w:pStyle w:val="14"/>
            </w:pPr>
            <w:r>
              <w:t>支出总计</w:t>
            </w:r>
          </w:p>
        </w:tc>
        <w:tc>
          <w:tcPr>
            <w:tcW w:w="1474" w:type="dxa"/>
            <w:vAlign w:val="center"/>
          </w:tcPr>
          <w:p>
            <w:pPr>
              <w:pStyle w:val="15"/>
            </w:pPr>
            <w:r>
              <w:t>264.78</w:t>
            </w:r>
          </w:p>
        </w:tc>
        <w:tc>
          <w:tcPr>
            <w:tcW w:w="1474" w:type="dxa"/>
            <w:vAlign w:val="center"/>
          </w:tcPr>
          <w:p>
            <w:pPr>
              <w:pStyle w:val="15"/>
            </w:pPr>
            <w:r>
              <w:t>264.78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264.78</w:t>
            </w:r>
          </w:p>
        </w:tc>
        <w:tc>
          <w:tcPr>
            <w:tcW w:w="2551" w:type="dxa"/>
            <w:vAlign w:val="center"/>
          </w:tcPr>
          <w:p>
            <w:pPr>
              <w:pStyle w:val="15"/>
            </w:pPr>
          </w:p>
        </w:tc>
        <w:tc>
          <w:tcPr>
            <w:tcW w:w="2551" w:type="dxa"/>
            <w:vAlign w:val="center"/>
          </w:tcPr>
          <w:p>
            <w:pPr>
              <w:pStyle w:val="15"/>
            </w:pPr>
            <w:r>
              <w:t>264.78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3"/>
            </w:pPr>
            <w:r>
              <w:t>264.78</w:t>
            </w:r>
          </w:p>
        </w:tc>
        <w:tc>
          <w:tcPr>
            <w:tcW w:w="2551" w:type="dxa"/>
            <w:vAlign w:val="center"/>
          </w:tcPr>
          <w:p>
            <w:pPr>
              <w:pStyle w:val="13"/>
            </w:pPr>
          </w:p>
        </w:tc>
        <w:tc>
          <w:tcPr>
            <w:tcW w:w="2551" w:type="dxa"/>
            <w:vAlign w:val="center"/>
          </w:tcPr>
          <w:p>
            <w:pPr>
              <w:pStyle w:val="13"/>
            </w:pPr>
            <w:r>
              <w:t>264.78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3"/>
            </w:pPr>
            <w:r>
              <w:t>250.98</w:t>
            </w:r>
          </w:p>
        </w:tc>
        <w:tc>
          <w:tcPr>
            <w:tcW w:w="2551" w:type="dxa"/>
            <w:vAlign w:val="center"/>
          </w:tcPr>
          <w:p>
            <w:pPr>
              <w:pStyle w:val="13"/>
            </w:pPr>
          </w:p>
        </w:tc>
        <w:tc>
          <w:tcPr>
            <w:tcW w:w="2551" w:type="dxa"/>
            <w:vAlign w:val="center"/>
          </w:tcPr>
          <w:p>
            <w:pPr>
              <w:pStyle w:val="13"/>
            </w:pPr>
            <w:r>
              <w:t>250.98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2110102</w:t>
            </w:r>
          </w:p>
        </w:tc>
        <w:tc>
          <w:tcPr>
            <w:tcW w:w="4535" w:type="dxa"/>
            <w:vAlign w:val="center"/>
          </w:tcPr>
          <w:p>
            <w:pPr>
              <w:pStyle w:val="12"/>
            </w:pPr>
            <w:r>
              <w:t>一般行政管理事务</w:t>
            </w:r>
          </w:p>
        </w:tc>
        <w:tc>
          <w:tcPr>
            <w:tcW w:w="2551" w:type="dxa"/>
            <w:vAlign w:val="center"/>
          </w:tcPr>
          <w:p>
            <w:pPr>
              <w:pStyle w:val="13"/>
            </w:pPr>
            <w:r>
              <w:t>250.98</w:t>
            </w:r>
          </w:p>
        </w:tc>
        <w:tc>
          <w:tcPr>
            <w:tcW w:w="2551" w:type="dxa"/>
            <w:vAlign w:val="center"/>
          </w:tcPr>
          <w:p>
            <w:pPr>
              <w:pStyle w:val="13"/>
            </w:pPr>
          </w:p>
        </w:tc>
        <w:tc>
          <w:tcPr>
            <w:tcW w:w="2551" w:type="dxa"/>
            <w:vAlign w:val="center"/>
          </w:tcPr>
          <w:p>
            <w:pPr>
              <w:pStyle w:val="13"/>
            </w:pPr>
            <w:r>
              <w:t>250.98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3"/>
            </w:pPr>
            <w:r>
              <w:t>13.80</w:t>
            </w:r>
          </w:p>
        </w:tc>
        <w:tc>
          <w:tcPr>
            <w:tcW w:w="2551" w:type="dxa"/>
            <w:vAlign w:val="center"/>
          </w:tcPr>
          <w:p>
            <w:pPr>
              <w:pStyle w:val="13"/>
            </w:pPr>
          </w:p>
        </w:tc>
        <w:tc>
          <w:tcPr>
            <w:tcW w:w="2551"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3"/>
            </w:pPr>
            <w:r>
              <w:t>13.80</w:t>
            </w:r>
          </w:p>
        </w:tc>
        <w:tc>
          <w:tcPr>
            <w:tcW w:w="2551" w:type="dxa"/>
            <w:vAlign w:val="center"/>
          </w:tcPr>
          <w:p>
            <w:pPr>
              <w:pStyle w:val="13"/>
            </w:pPr>
          </w:p>
        </w:tc>
        <w:tc>
          <w:tcPr>
            <w:tcW w:w="2551" w:type="dxa"/>
            <w:vAlign w:val="center"/>
          </w:tcPr>
          <w:p>
            <w:pPr>
              <w:pStyle w:val="13"/>
            </w:pPr>
            <w:r>
              <w:t>13.80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lang w:eastAsia="zh-CN"/>
        </w:rPr>
        <w:t>井陉矿区大气和水污染防治指挥部办公室</w:t>
      </w:r>
      <w:r>
        <w:rPr>
          <w:rFonts w:ascii="方正小标宋_GBK" w:hAnsi="方正小标宋_GBK" w:eastAsia="方正小标宋_GBK" w:cs="方正小标宋_GBK"/>
          <w:color w:val="000000"/>
          <w:sz w:val="44"/>
        </w:rPr>
        <w:t>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按照《预算法》、《地方预决算公开操作规程》和《关于进一步推进预算公开工作的实施意见》规定，现将矿区气水办本级2022年单位预算公开如下：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组织对全区大气污染防治工作进行综合检查。对道路、工地、矿山、农村面源污染进行督导检查，稳控扬尘污染。对全区重点排污企业环保设施运行、无组织排放、主要道路扬尘控制等进行远程视频和在线监控，督促其加强操作管理，减少污染物排放。建立健全全区重污染天气应急预警体系，督促各级各部门落实应急预警措施。</w:t>
      </w:r>
    </w:p>
    <w:p>
      <w:pPr>
        <w:pStyle w:val="17"/>
      </w:pPr>
      <w:r>
        <w:t>（二）负责与大气污染防治成员单位签订环保目标责任书，落实各级各部门责任。制定考核办法，定期将考核结果进行公布。牵头开展市政府对我区大气污染综合治理考核工作，力争考核名次位列全市中上游。组织相关部门开展大气污染综合治理联合执法工作。</w:t>
      </w:r>
    </w:p>
    <w:p>
      <w:pPr>
        <w:pStyle w:val="17"/>
      </w:pPr>
      <w:r>
        <w:t>(三）积极做好生态环境部、省环保厅、省大气办、市气水办等各级环保督察工作。</w:t>
      </w:r>
    </w:p>
    <w:p>
      <w:pPr>
        <w:pStyle w:val="17"/>
      </w:pPr>
      <w:r>
        <w:t>（四）组织全区各级各部门和重点企业开展大气污染防治有关工作的宣传报道和舆论监督工作；组织大气污染成员单位进行培训，增强执法监督能力，营造全社会关心环保、支持环保、参与环保的浓厚氛围。</w:t>
      </w:r>
    </w:p>
    <w:p>
      <w:pPr>
        <w:pStyle w:val="17"/>
      </w:pPr>
      <w:r>
        <w:t>（五）负责大气污染防治综合业务管理和机关综合事务管理。</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lang w:eastAsia="zh-CN"/>
              </w:rPr>
              <w:t>井陉矿区大气和水污染防治指挥部办公室本级</w:t>
            </w:r>
          </w:p>
        </w:tc>
        <w:tc>
          <w:tcPr>
            <w:tcW w:w="1843" w:type="dxa"/>
            <w:vAlign w:val="center"/>
          </w:tcPr>
          <w:p>
            <w:pPr>
              <w:pStyle w:val="11"/>
            </w:pPr>
            <w:r>
              <w:t>行政</w:t>
            </w:r>
          </w:p>
        </w:tc>
        <w:tc>
          <w:tcPr>
            <w:tcW w:w="2126" w:type="dxa"/>
            <w:vAlign w:val="center"/>
          </w:tcPr>
          <w:p>
            <w:pPr>
              <w:pStyle w:val="11"/>
            </w:pPr>
            <w:r>
              <w:t>副科级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按照预算管理有关规定，目前我区</w:t>
      </w:r>
      <w:r>
        <w:rPr>
          <w:rFonts w:hint="eastAsia"/>
          <w:lang w:eastAsia="zh-CN"/>
        </w:rPr>
        <w:t>单位</w:t>
      </w:r>
      <w:r>
        <w:t>预算的编制实行综合预算管理，即全部收入和支出都反映的预算中。井陉矿区大气和水污染防治指挥部办公室的收支包含在部门预算中。</w:t>
      </w:r>
    </w:p>
    <w:p>
      <w:pPr>
        <w:pStyle w:val="18"/>
      </w:pPr>
      <w:r>
        <w:t>1、收入说明</w:t>
      </w:r>
    </w:p>
    <w:p>
      <w:pPr>
        <w:pStyle w:val="18"/>
      </w:pPr>
      <w:r>
        <w:t>反映本单位当年全部收入。2022年预算收入264.78万元，其中：一般公共预算收入264.78万元，基金预算收入0万元，财政专户核拨收入0万元，其他来源收入0万元。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井陉矿区大气和水污染防治指挥部办公室年度部门预算中支出预算的总体情况。2022年部门支出预算为264.78万元，其中基本支出0万元，包括人员经费0万元和日常公用经费0万元；项目支出264.78万元，包括监测站点周边及第三方服务管理费13.8万元、大气污染防治专项业务费12万元、劳务派遣工资77.4万元、临时工工资16.32万元、雾炮车司机工资32.26万元、车辆运行维护91万元、14楼监控中心维护运行费12万元、国、省控监测站点电费及设施维护费10万元。</w:t>
      </w:r>
    </w:p>
    <w:p>
      <w:pPr>
        <w:pStyle w:val="18"/>
      </w:pPr>
      <w:r>
        <w:t>3、比上年增减情况</w:t>
      </w:r>
    </w:p>
    <w:p>
      <w:pPr>
        <w:pStyle w:val="18"/>
      </w:pPr>
      <w:r>
        <w:t>2022年单位预算收支安排264.78万元，较2021年减少449.14万元，其中：基支出减少0万元；项目支出减少449.14万元，原因为我单位今年无大额以前年度项目列支费用</w:t>
      </w:r>
    </w:p>
    <w:p>
      <w:pPr>
        <w:spacing w:before="10" w:after="10"/>
        <w:ind w:firstLine="640"/>
        <w:outlineLvl w:val="5"/>
      </w:pPr>
      <w:r>
        <w:rPr>
          <w:rFonts w:ascii="黑体" w:hAnsi="黑体" w:eastAsia="黑体" w:cs="黑体"/>
          <w:color w:val="000000"/>
          <w:sz w:val="32"/>
        </w:rPr>
        <w:t>三、机关运行经费安排情况</w:t>
      </w:r>
    </w:p>
    <w:p>
      <w:pPr>
        <w:pStyle w:val="19"/>
      </w:pPr>
      <w:r>
        <w:t>2022年，我单位机关运行经费共计安排0万元，因本单位人员组织关系尚未调入，均为借调人员和劳务派遣等人员故没有基本支出，所有费用均在</w:t>
      </w:r>
      <w:r>
        <w:rPr>
          <w:rFonts w:hint="eastAsia"/>
          <w:lang w:eastAsia="zh-CN"/>
        </w:rPr>
        <w:t>单位</w:t>
      </w:r>
      <w:r>
        <w:t>项目预算中支出。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我单位财政拨款“三公”经费0元，原因我单位组织人员关系尚未调入本单位，其余为劳务派遣人员、公益岗岗位及临时工，故我单位暂无“三公经费”预算支出。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ascii="黑体" w:hAnsi="黑体" w:eastAsia="黑体" w:cs="黑体"/>
          <w:color w:val="000000"/>
          <w:sz w:val="32"/>
          <w:lang w:eastAsia="zh-CN"/>
        </w:rPr>
      </w:pPr>
    </w:p>
    <w:p>
      <w:pPr>
        <w:ind w:firstLine="560"/>
      </w:pPr>
      <w:r>
        <w:rPr>
          <w:rFonts w:ascii="方正仿宋_GBK" w:hAnsi="方正仿宋_GBK" w:eastAsia="方正仿宋_GBK" w:cs="方正仿宋_GBK"/>
          <w:b/>
          <w:color w:val="000000"/>
          <w:sz w:val="28"/>
        </w:rPr>
        <w:t>1、14楼监控中心维护运行费绩效目标表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1.开展监控中心运行维护工作，达到数据中心准确及时的效果。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成本指标</w:t>
            </w:r>
          </w:p>
        </w:tc>
        <w:tc>
          <w:tcPr>
            <w:tcW w:w="2835" w:type="dxa"/>
            <w:vAlign w:val="center"/>
          </w:tcPr>
          <w:p>
            <w:pPr>
              <w:pStyle w:val="12"/>
            </w:pPr>
            <w:r>
              <w:t>总成本控制</w:t>
            </w:r>
          </w:p>
        </w:tc>
        <w:tc>
          <w:tcPr>
            <w:tcW w:w="2835" w:type="dxa"/>
            <w:vAlign w:val="center"/>
          </w:tcPr>
          <w:p>
            <w:pPr>
              <w:pStyle w:val="12"/>
            </w:pPr>
            <w:r>
              <w:t>总成本控制</w:t>
            </w:r>
          </w:p>
        </w:tc>
        <w:tc>
          <w:tcPr>
            <w:tcW w:w="2551" w:type="dxa"/>
            <w:vAlign w:val="center"/>
          </w:tcPr>
          <w:p>
            <w:pPr>
              <w:pStyle w:val="12"/>
            </w:pPr>
            <w:r>
              <w:t>12个</w:t>
            </w:r>
          </w:p>
        </w:tc>
        <w:tc>
          <w:tcPr>
            <w:tcW w:w="2268" w:type="dxa"/>
            <w:vAlign w:val="center"/>
          </w:tcPr>
          <w:p>
            <w:pPr>
              <w:pStyle w:val="12"/>
            </w:pPr>
            <w:r>
              <w:t>实际核对数量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网络使用保障月</w:t>
            </w:r>
          </w:p>
        </w:tc>
        <w:tc>
          <w:tcPr>
            <w:tcW w:w="2835" w:type="dxa"/>
            <w:vAlign w:val="center"/>
          </w:tcPr>
          <w:p>
            <w:pPr>
              <w:pStyle w:val="12"/>
            </w:pPr>
            <w:r>
              <w:t>网络使用保障月</w:t>
            </w:r>
          </w:p>
        </w:tc>
        <w:tc>
          <w:tcPr>
            <w:tcW w:w="2551" w:type="dxa"/>
            <w:vAlign w:val="center"/>
          </w:tcPr>
          <w:p>
            <w:pPr>
              <w:pStyle w:val="12"/>
            </w:pPr>
            <w:r>
              <w:t>12个</w:t>
            </w:r>
          </w:p>
        </w:tc>
        <w:tc>
          <w:tcPr>
            <w:tcW w:w="2268" w:type="dxa"/>
            <w:vAlign w:val="center"/>
          </w:tcPr>
          <w:p>
            <w:pPr>
              <w:pStyle w:val="12"/>
            </w:pPr>
            <w:r>
              <w:t>实际核对数量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网络质量保障率</w:t>
            </w:r>
          </w:p>
        </w:tc>
        <w:tc>
          <w:tcPr>
            <w:tcW w:w="2835" w:type="dxa"/>
            <w:vAlign w:val="center"/>
          </w:tcPr>
          <w:p>
            <w:pPr>
              <w:pStyle w:val="12"/>
            </w:pPr>
            <w:r>
              <w:t>网络质量保障率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运行维护及时率</w:t>
            </w:r>
          </w:p>
        </w:tc>
        <w:tc>
          <w:tcPr>
            <w:tcW w:w="2835" w:type="dxa"/>
            <w:vAlign w:val="center"/>
          </w:tcPr>
          <w:p>
            <w:pPr>
              <w:pStyle w:val="12"/>
            </w:pPr>
            <w:r>
              <w:t>运行维护及时率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2835" w:type="dxa"/>
            <w:vAlign w:val="center"/>
          </w:tcPr>
          <w:p>
            <w:pPr>
              <w:pStyle w:val="12"/>
            </w:pPr>
            <w:r>
              <w:t>业务保障率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生态环境改善率</w:t>
            </w:r>
          </w:p>
        </w:tc>
        <w:tc>
          <w:tcPr>
            <w:tcW w:w="2835" w:type="dxa"/>
            <w:vAlign w:val="center"/>
          </w:tcPr>
          <w:p>
            <w:pPr>
              <w:pStyle w:val="12"/>
            </w:pPr>
            <w:r>
              <w:t>生态环境改善率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问卷</w:t>
            </w:r>
          </w:p>
        </w:tc>
      </w:tr>
    </w:tbl>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rPr>
          <w:rFonts w:eastAsiaTheme="minorEastAsia"/>
          <w:lang w:eastAsia="zh-CN"/>
        </w:rPr>
      </w:pPr>
    </w:p>
    <w:p>
      <w:pPr>
        <w:spacing w:before="10" w:after="10"/>
        <w:outlineLvl w:val="5"/>
        <w:rPr>
          <w:rFonts w:eastAsiaTheme="minorEastAsia"/>
          <w:lang w:eastAsia="zh-CN"/>
        </w:rPr>
      </w:pPr>
    </w:p>
    <w:p>
      <w:pPr>
        <w:ind w:firstLine="560"/>
      </w:pPr>
      <w:r>
        <w:rPr>
          <w:rFonts w:ascii="方正仿宋_GBK" w:hAnsi="方正仿宋_GBK" w:eastAsia="方正仿宋_GBK" w:cs="方正仿宋_GBK"/>
          <w:b/>
          <w:color w:val="000000"/>
          <w:sz w:val="28"/>
        </w:rPr>
        <w:t>2、车辆运行维护绩效目标表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1.开展车辆运行维护工作，提高日常大气污染防治工作效率，达到大气污染防治最优化的效果。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维护车辆数量</w:t>
            </w:r>
          </w:p>
        </w:tc>
        <w:tc>
          <w:tcPr>
            <w:tcW w:w="2835" w:type="dxa"/>
            <w:vAlign w:val="center"/>
          </w:tcPr>
          <w:p>
            <w:pPr>
              <w:pStyle w:val="12"/>
            </w:pPr>
            <w:r>
              <w:t>维护车辆数量</w:t>
            </w:r>
          </w:p>
        </w:tc>
        <w:tc>
          <w:tcPr>
            <w:tcW w:w="2551" w:type="dxa"/>
            <w:vAlign w:val="center"/>
          </w:tcPr>
          <w:p>
            <w:pPr>
              <w:pStyle w:val="12"/>
            </w:pPr>
            <w:r>
              <w:t>5辆</w:t>
            </w:r>
          </w:p>
        </w:tc>
        <w:tc>
          <w:tcPr>
            <w:tcW w:w="2268" w:type="dxa"/>
            <w:vAlign w:val="center"/>
          </w:tcPr>
          <w:p>
            <w:pPr>
              <w:pStyle w:val="12"/>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车辆维修合格率</w:t>
            </w:r>
          </w:p>
        </w:tc>
        <w:tc>
          <w:tcPr>
            <w:tcW w:w="2835" w:type="dxa"/>
            <w:vAlign w:val="center"/>
          </w:tcPr>
          <w:p>
            <w:pPr>
              <w:pStyle w:val="12"/>
            </w:pPr>
            <w:r>
              <w:t>车辆维修合格率</w:t>
            </w:r>
          </w:p>
        </w:tc>
        <w:tc>
          <w:tcPr>
            <w:tcW w:w="2551" w:type="dxa"/>
            <w:vAlign w:val="center"/>
          </w:tcPr>
          <w:p>
            <w:pPr>
              <w:pStyle w:val="12"/>
            </w:pPr>
            <w:r>
              <w:t>≥90%</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车辆维护及时率</w:t>
            </w:r>
          </w:p>
        </w:tc>
        <w:tc>
          <w:tcPr>
            <w:tcW w:w="2835" w:type="dxa"/>
            <w:vAlign w:val="center"/>
          </w:tcPr>
          <w:p>
            <w:pPr>
              <w:pStyle w:val="12"/>
            </w:pPr>
            <w:r>
              <w:t>车辆维护及时率</w:t>
            </w:r>
          </w:p>
        </w:tc>
        <w:tc>
          <w:tcPr>
            <w:tcW w:w="2551" w:type="dxa"/>
            <w:vAlign w:val="center"/>
          </w:tcPr>
          <w:p>
            <w:pPr>
              <w:pStyle w:val="12"/>
            </w:pPr>
            <w:r>
              <w:t>≥90%</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t>91万元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车辆运行对业务工作的保障率</w:t>
            </w:r>
          </w:p>
        </w:tc>
        <w:tc>
          <w:tcPr>
            <w:tcW w:w="2835" w:type="dxa"/>
            <w:vAlign w:val="center"/>
          </w:tcPr>
          <w:p>
            <w:pPr>
              <w:pStyle w:val="12"/>
            </w:pPr>
            <w:r>
              <w:t>车辆运行对业务工作的保障率</w:t>
            </w:r>
          </w:p>
        </w:tc>
        <w:tc>
          <w:tcPr>
            <w:tcW w:w="2551" w:type="dxa"/>
            <w:vAlign w:val="center"/>
          </w:tcPr>
          <w:p>
            <w:pPr>
              <w:pStyle w:val="12"/>
            </w:pPr>
            <w:r>
              <w:t>≥90%</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项目对生态改善覆盖率</w:t>
            </w:r>
          </w:p>
        </w:tc>
        <w:tc>
          <w:tcPr>
            <w:tcW w:w="2835" w:type="dxa"/>
            <w:vAlign w:val="center"/>
          </w:tcPr>
          <w:p>
            <w:pPr>
              <w:pStyle w:val="12"/>
            </w:pPr>
            <w:r>
              <w:t>项目对生态改善覆盖率</w:t>
            </w:r>
          </w:p>
        </w:tc>
        <w:tc>
          <w:tcPr>
            <w:tcW w:w="2551" w:type="dxa"/>
            <w:vAlign w:val="center"/>
          </w:tcPr>
          <w:p>
            <w:pPr>
              <w:pStyle w:val="12"/>
            </w:pPr>
            <w:r>
              <w:t>≥90%</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车辆使用人员满意率</w:t>
            </w:r>
          </w:p>
        </w:tc>
        <w:tc>
          <w:tcPr>
            <w:tcW w:w="2835" w:type="dxa"/>
            <w:vAlign w:val="center"/>
          </w:tcPr>
          <w:p>
            <w:pPr>
              <w:pStyle w:val="12"/>
            </w:pPr>
            <w:r>
              <w:t>车辆使用人员满意率</w:t>
            </w:r>
          </w:p>
        </w:tc>
        <w:tc>
          <w:tcPr>
            <w:tcW w:w="2551" w:type="dxa"/>
            <w:vAlign w:val="center"/>
          </w:tcPr>
          <w:p>
            <w:pPr>
              <w:pStyle w:val="12"/>
            </w:pPr>
            <w:r>
              <w:t>≥90%</w:t>
            </w:r>
          </w:p>
        </w:tc>
        <w:tc>
          <w:tcPr>
            <w:tcW w:w="2268" w:type="dxa"/>
            <w:vAlign w:val="center"/>
          </w:tcPr>
          <w:p>
            <w:pPr>
              <w:pStyle w:val="12"/>
            </w:pPr>
            <w:r>
              <w:t>预算文本</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3、大气污染防治专项业务费绩效目标表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1.开展日常大气污染防治工作，提高日常工作效率，达到大气污染防治工作正常运转的效果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完成大气污染防治工作事件</w:t>
            </w:r>
          </w:p>
        </w:tc>
        <w:tc>
          <w:tcPr>
            <w:tcW w:w="2835" w:type="dxa"/>
            <w:vAlign w:val="center"/>
          </w:tcPr>
          <w:p>
            <w:pPr>
              <w:pStyle w:val="12"/>
            </w:pPr>
            <w:r>
              <w:t>完成大气污染防治工作事件</w:t>
            </w:r>
          </w:p>
        </w:tc>
        <w:tc>
          <w:tcPr>
            <w:tcW w:w="2551" w:type="dxa"/>
            <w:vAlign w:val="center"/>
          </w:tcPr>
          <w:p>
            <w:pPr>
              <w:pStyle w:val="12"/>
            </w:pPr>
            <w:r>
              <w:t>≥5件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工作完成合格率</w:t>
            </w:r>
          </w:p>
        </w:tc>
        <w:tc>
          <w:tcPr>
            <w:tcW w:w="2835" w:type="dxa"/>
            <w:vAlign w:val="center"/>
          </w:tcPr>
          <w:p>
            <w:pPr>
              <w:pStyle w:val="12"/>
            </w:pPr>
            <w:r>
              <w:t>工作完成合格率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大气污染防治工作开展及时率</w:t>
            </w:r>
          </w:p>
        </w:tc>
        <w:tc>
          <w:tcPr>
            <w:tcW w:w="2835" w:type="dxa"/>
            <w:vAlign w:val="center"/>
          </w:tcPr>
          <w:p>
            <w:pPr>
              <w:pStyle w:val="12"/>
            </w:pPr>
            <w:r>
              <w:t>大气污染防治工作开展及时率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2835" w:type="dxa"/>
            <w:vAlign w:val="center"/>
          </w:tcPr>
          <w:p>
            <w:pPr>
              <w:pStyle w:val="12"/>
            </w:pPr>
            <w:r>
              <w:t>总成本控制</w:t>
            </w:r>
          </w:p>
        </w:tc>
        <w:tc>
          <w:tcPr>
            <w:tcW w:w="2551" w:type="dxa"/>
            <w:vAlign w:val="center"/>
          </w:tcPr>
          <w:p>
            <w:pPr>
              <w:pStyle w:val="12"/>
            </w:pPr>
            <w:r>
              <w:t>12万元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生态环境改善持续率</w:t>
            </w:r>
          </w:p>
        </w:tc>
        <w:tc>
          <w:tcPr>
            <w:tcW w:w="2835" w:type="dxa"/>
            <w:vAlign w:val="center"/>
          </w:tcPr>
          <w:p>
            <w:pPr>
              <w:pStyle w:val="12"/>
            </w:pPr>
            <w:r>
              <w:t>生态环境改善持续率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业务保障力度</w:t>
            </w:r>
          </w:p>
        </w:tc>
        <w:tc>
          <w:tcPr>
            <w:tcW w:w="2835" w:type="dxa"/>
            <w:vAlign w:val="center"/>
          </w:tcPr>
          <w:p>
            <w:pPr>
              <w:pStyle w:val="12"/>
            </w:pPr>
            <w:r>
              <w:t>业务保障力度</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4、国、省控监测站点电费及设施维护费绩效目标表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1.开展监测站点设施工作，完成监测站点设备运行维护目标，达到设备不断电的效果。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电费不断电保障月份</w:t>
            </w:r>
          </w:p>
        </w:tc>
        <w:tc>
          <w:tcPr>
            <w:tcW w:w="2835" w:type="dxa"/>
            <w:vAlign w:val="center"/>
          </w:tcPr>
          <w:p>
            <w:pPr>
              <w:pStyle w:val="12"/>
            </w:pPr>
            <w:r>
              <w:t>电费不断电保障月份</w:t>
            </w:r>
          </w:p>
        </w:tc>
        <w:tc>
          <w:tcPr>
            <w:tcW w:w="2551" w:type="dxa"/>
            <w:vAlign w:val="center"/>
          </w:tcPr>
          <w:p>
            <w:pPr>
              <w:pStyle w:val="12"/>
            </w:pPr>
            <w:r>
              <w:t>12月</w:t>
            </w:r>
          </w:p>
        </w:tc>
        <w:tc>
          <w:tcPr>
            <w:tcW w:w="2268" w:type="dxa"/>
            <w:vAlign w:val="center"/>
          </w:tcPr>
          <w:p>
            <w:pPr>
              <w:pStyle w:val="12"/>
            </w:pPr>
            <w:r>
              <w:t>实际月份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电路正常工作率</w:t>
            </w:r>
          </w:p>
        </w:tc>
        <w:tc>
          <w:tcPr>
            <w:tcW w:w="2835" w:type="dxa"/>
            <w:vAlign w:val="center"/>
          </w:tcPr>
          <w:p>
            <w:pPr>
              <w:pStyle w:val="12"/>
            </w:pPr>
            <w:r>
              <w:t>电路正常工作率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电费及时缴纳率</w:t>
            </w:r>
          </w:p>
        </w:tc>
        <w:tc>
          <w:tcPr>
            <w:tcW w:w="2835" w:type="dxa"/>
            <w:vAlign w:val="center"/>
          </w:tcPr>
          <w:p>
            <w:pPr>
              <w:pStyle w:val="12"/>
            </w:pPr>
            <w:r>
              <w:t>电费及时缴纳率</w:t>
            </w:r>
          </w:p>
        </w:tc>
        <w:tc>
          <w:tcPr>
            <w:tcW w:w="2551" w:type="dxa"/>
            <w:vAlign w:val="center"/>
          </w:tcPr>
          <w:p>
            <w:pPr>
              <w:pStyle w:val="12"/>
            </w:pPr>
            <w:r>
              <w:t>100%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资金成本利用最大化率</w:t>
            </w:r>
          </w:p>
        </w:tc>
        <w:tc>
          <w:tcPr>
            <w:tcW w:w="2835" w:type="dxa"/>
            <w:vAlign w:val="center"/>
          </w:tcPr>
          <w:p>
            <w:pPr>
              <w:pStyle w:val="12"/>
            </w:pPr>
            <w:r>
              <w:t>资金成本利用最大化率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2835" w:type="dxa"/>
            <w:vAlign w:val="center"/>
          </w:tcPr>
          <w:p>
            <w:pPr>
              <w:pStyle w:val="12"/>
            </w:pPr>
            <w:r>
              <w:t>业务保障率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生态环境改善率</w:t>
            </w:r>
          </w:p>
        </w:tc>
        <w:tc>
          <w:tcPr>
            <w:tcW w:w="2835" w:type="dxa"/>
            <w:vAlign w:val="center"/>
          </w:tcPr>
          <w:p>
            <w:pPr>
              <w:pStyle w:val="12"/>
            </w:pPr>
            <w:r>
              <w:t>生态环境改善率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监测站点人员满意度</w:t>
            </w:r>
          </w:p>
        </w:tc>
        <w:tc>
          <w:tcPr>
            <w:tcW w:w="2835" w:type="dxa"/>
            <w:vAlign w:val="center"/>
          </w:tcPr>
          <w:p>
            <w:pPr>
              <w:pStyle w:val="12"/>
            </w:pPr>
            <w:r>
              <w:t>监测站点人员满意度</w:t>
            </w:r>
          </w:p>
        </w:tc>
        <w:tc>
          <w:tcPr>
            <w:tcW w:w="2551" w:type="dxa"/>
            <w:vAlign w:val="center"/>
          </w:tcPr>
          <w:p>
            <w:pPr>
              <w:pStyle w:val="12"/>
            </w:pPr>
            <w:r>
              <w:t>≥90%</w:t>
            </w:r>
          </w:p>
        </w:tc>
        <w:tc>
          <w:tcPr>
            <w:tcW w:w="2268" w:type="dxa"/>
            <w:vAlign w:val="center"/>
          </w:tcPr>
          <w:p>
            <w:pPr>
              <w:pStyle w:val="12"/>
            </w:pPr>
            <w:r>
              <w:t>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5、监测站点周边及第三方服务管理费绩效目标表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1.开展监测站点及第三方工作，实现监测站点正常运转目标，达到大气污染防治工作持续改善的效果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监测点维护数量</w:t>
            </w:r>
          </w:p>
        </w:tc>
        <w:tc>
          <w:tcPr>
            <w:tcW w:w="2835" w:type="dxa"/>
            <w:vAlign w:val="center"/>
          </w:tcPr>
          <w:p>
            <w:pPr>
              <w:pStyle w:val="12"/>
            </w:pPr>
            <w:r>
              <w:t>监测点维护数量</w:t>
            </w:r>
          </w:p>
        </w:tc>
        <w:tc>
          <w:tcPr>
            <w:tcW w:w="2551" w:type="dxa"/>
            <w:vAlign w:val="center"/>
          </w:tcPr>
          <w:p>
            <w:pPr>
              <w:pStyle w:val="12"/>
            </w:pPr>
            <w:r>
              <w:t>2个</w:t>
            </w:r>
          </w:p>
        </w:tc>
        <w:tc>
          <w:tcPr>
            <w:tcW w:w="2268" w:type="dxa"/>
            <w:vAlign w:val="center"/>
          </w:tcPr>
          <w:p>
            <w:pPr>
              <w:pStyle w:val="12"/>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生态监测点覆盖率</w:t>
            </w:r>
          </w:p>
        </w:tc>
        <w:tc>
          <w:tcPr>
            <w:tcW w:w="2835" w:type="dxa"/>
            <w:vAlign w:val="center"/>
          </w:tcPr>
          <w:p>
            <w:pPr>
              <w:pStyle w:val="12"/>
            </w:pPr>
            <w:r>
              <w:t>生态监测点覆盖率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监测点正常运转率</w:t>
            </w:r>
          </w:p>
        </w:tc>
        <w:tc>
          <w:tcPr>
            <w:tcW w:w="2835" w:type="dxa"/>
            <w:vAlign w:val="center"/>
          </w:tcPr>
          <w:p>
            <w:pPr>
              <w:pStyle w:val="12"/>
            </w:pPr>
            <w:r>
              <w:t>监测点正常运转率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2835" w:type="dxa"/>
            <w:vAlign w:val="center"/>
          </w:tcPr>
          <w:p>
            <w:pPr>
              <w:pStyle w:val="12"/>
            </w:pPr>
            <w:r>
              <w:t>总成本控制</w:t>
            </w:r>
          </w:p>
        </w:tc>
        <w:tc>
          <w:tcPr>
            <w:tcW w:w="2551" w:type="dxa"/>
            <w:vAlign w:val="center"/>
          </w:tcPr>
          <w:p>
            <w:pPr>
              <w:pStyle w:val="12"/>
            </w:pPr>
            <w:r>
              <w:t>13.8万元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生态效益指标</w:t>
            </w:r>
          </w:p>
        </w:tc>
        <w:tc>
          <w:tcPr>
            <w:tcW w:w="2835" w:type="dxa"/>
            <w:vAlign w:val="center"/>
          </w:tcPr>
          <w:p>
            <w:pPr>
              <w:pStyle w:val="12"/>
            </w:pPr>
            <w:r>
              <w:t>生态环境改善持续性</w:t>
            </w:r>
          </w:p>
        </w:tc>
        <w:tc>
          <w:tcPr>
            <w:tcW w:w="2835" w:type="dxa"/>
            <w:vAlign w:val="center"/>
          </w:tcPr>
          <w:p>
            <w:pPr>
              <w:pStyle w:val="12"/>
            </w:pPr>
            <w:r>
              <w:t>生态环境改善持续性</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监测点运行持续性</w:t>
            </w:r>
          </w:p>
        </w:tc>
        <w:tc>
          <w:tcPr>
            <w:tcW w:w="2835" w:type="dxa"/>
            <w:vAlign w:val="center"/>
          </w:tcPr>
          <w:p>
            <w:pPr>
              <w:pStyle w:val="12"/>
            </w:pPr>
            <w:r>
              <w:t>监测点运行持续性</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群众对生态环境满意度</w:t>
            </w:r>
          </w:p>
        </w:tc>
        <w:tc>
          <w:tcPr>
            <w:tcW w:w="2835" w:type="dxa"/>
            <w:vAlign w:val="center"/>
          </w:tcPr>
          <w:p>
            <w:pPr>
              <w:pStyle w:val="12"/>
            </w:pPr>
            <w:r>
              <w:t>群众对生态环境满意度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6、劳务派遣工资绩效目标表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1.开展劳务派遣招聘工作，实现人员队伍壮大目标，达到正常开展日常工作效果。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聘请劳务派遣人员数</w:t>
            </w:r>
          </w:p>
        </w:tc>
        <w:tc>
          <w:tcPr>
            <w:tcW w:w="2835" w:type="dxa"/>
            <w:vAlign w:val="center"/>
          </w:tcPr>
          <w:p>
            <w:pPr>
              <w:pStyle w:val="12"/>
            </w:pPr>
            <w:r>
              <w:t>聘请劳务派遣人员数</w:t>
            </w:r>
          </w:p>
        </w:tc>
        <w:tc>
          <w:tcPr>
            <w:tcW w:w="2551" w:type="dxa"/>
            <w:vAlign w:val="center"/>
          </w:tcPr>
          <w:p>
            <w:pPr>
              <w:pStyle w:val="12"/>
            </w:pPr>
            <w:r>
              <w:t>15人</w:t>
            </w:r>
          </w:p>
        </w:tc>
        <w:tc>
          <w:tcPr>
            <w:tcW w:w="2268" w:type="dxa"/>
            <w:vAlign w:val="center"/>
          </w:tcPr>
          <w:p>
            <w:pPr>
              <w:pStyle w:val="12"/>
            </w:pPr>
            <w:r>
              <w:t>劳务合同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工作完成保障率</w:t>
            </w:r>
          </w:p>
        </w:tc>
        <w:tc>
          <w:tcPr>
            <w:tcW w:w="2835" w:type="dxa"/>
            <w:vAlign w:val="center"/>
          </w:tcPr>
          <w:p>
            <w:pPr>
              <w:pStyle w:val="12"/>
            </w:pPr>
            <w:r>
              <w:t>工作完成保障率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工资发放时限</w:t>
            </w:r>
          </w:p>
        </w:tc>
        <w:tc>
          <w:tcPr>
            <w:tcW w:w="2835" w:type="dxa"/>
            <w:vAlign w:val="center"/>
          </w:tcPr>
          <w:p>
            <w:pPr>
              <w:pStyle w:val="12"/>
            </w:pPr>
            <w:r>
              <w:t>工资发放时限</w:t>
            </w:r>
          </w:p>
        </w:tc>
        <w:tc>
          <w:tcPr>
            <w:tcW w:w="2551" w:type="dxa"/>
            <w:vAlign w:val="center"/>
          </w:tcPr>
          <w:p>
            <w:pPr>
              <w:pStyle w:val="12"/>
            </w:pPr>
            <w:r>
              <w:t>≤10天</w:t>
            </w:r>
          </w:p>
        </w:tc>
        <w:tc>
          <w:tcPr>
            <w:tcW w:w="2268" w:type="dxa"/>
            <w:vAlign w:val="center"/>
          </w:tcPr>
          <w:p>
            <w:pPr>
              <w:pStyle w:val="12"/>
            </w:pPr>
            <w:r>
              <w:t>劳动时限要求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项目支出总成本控制数</w:t>
            </w:r>
          </w:p>
        </w:tc>
        <w:tc>
          <w:tcPr>
            <w:tcW w:w="2835" w:type="dxa"/>
            <w:vAlign w:val="center"/>
          </w:tcPr>
          <w:p>
            <w:pPr>
              <w:pStyle w:val="12"/>
            </w:pPr>
            <w:r>
              <w:t>项目支出总成本控制数</w:t>
            </w:r>
          </w:p>
        </w:tc>
        <w:tc>
          <w:tcPr>
            <w:tcW w:w="2551" w:type="dxa"/>
            <w:vAlign w:val="center"/>
          </w:tcPr>
          <w:p>
            <w:pPr>
              <w:pStyle w:val="12"/>
            </w:pPr>
            <w:r>
              <w:t>≤77.4万元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带动人员就业数</w:t>
            </w:r>
          </w:p>
        </w:tc>
        <w:tc>
          <w:tcPr>
            <w:tcW w:w="2835" w:type="dxa"/>
            <w:vAlign w:val="center"/>
          </w:tcPr>
          <w:p>
            <w:pPr>
              <w:pStyle w:val="12"/>
            </w:pPr>
            <w:r>
              <w:t>带动人员就业数</w:t>
            </w:r>
          </w:p>
        </w:tc>
        <w:tc>
          <w:tcPr>
            <w:tcW w:w="2551" w:type="dxa"/>
            <w:vAlign w:val="center"/>
          </w:tcPr>
          <w:p>
            <w:pPr>
              <w:pStyle w:val="12"/>
            </w:pPr>
            <w:r>
              <w:t>15人</w:t>
            </w:r>
          </w:p>
        </w:tc>
        <w:tc>
          <w:tcPr>
            <w:tcW w:w="2268" w:type="dxa"/>
            <w:vAlign w:val="center"/>
          </w:tcPr>
          <w:p>
            <w:pPr>
              <w:pStyle w:val="12"/>
            </w:pPr>
            <w:r>
              <w:t>劳务合同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生态环境持续改善率</w:t>
            </w:r>
          </w:p>
        </w:tc>
        <w:tc>
          <w:tcPr>
            <w:tcW w:w="2835" w:type="dxa"/>
            <w:vAlign w:val="center"/>
          </w:tcPr>
          <w:p>
            <w:pPr>
              <w:pStyle w:val="12"/>
            </w:pPr>
            <w:r>
              <w:t>生态环境持续改善率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劳务派遣满意度</w:t>
            </w:r>
          </w:p>
        </w:tc>
        <w:tc>
          <w:tcPr>
            <w:tcW w:w="2835" w:type="dxa"/>
            <w:vAlign w:val="center"/>
          </w:tcPr>
          <w:p>
            <w:pPr>
              <w:pStyle w:val="12"/>
            </w:pPr>
            <w:r>
              <w:t>劳务派遣满意度</w:t>
            </w:r>
          </w:p>
        </w:tc>
        <w:tc>
          <w:tcPr>
            <w:tcW w:w="2551" w:type="dxa"/>
            <w:vAlign w:val="center"/>
          </w:tcPr>
          <w:p>
            <w:pPr>
              <w:pStyle w:val="12"/>
            </w:pPr>
            <w:r>
              <w:t>≥90%</w:t>
            </w:r>
          </w:p>
        </w:tc>
        <w:tc>
          <w:tcPr>
            <w:tcW w:w="2268" w:type="dxa"/>
            <w:vAlign w:val="center"/>
          </w:tcPr>
          <w:p>
            <w:pPr>
              <w:pStyle w:val="12"/>
            </w:pPr>
            <w:r>
              <w:t>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7、临时工工资绩效目标表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1.开展临时工日常维护工作，实现监测站点周边工作正常运转目标，达到大气污染防治工作效率提升的效果。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聘请临时工人数</w:t>
            </w:r>
          </w:p>
        </w:tc>
        <w:tc>
          <w:tcPr>
            <w:tcW w:w="2835" w:type="dxa"/>
            <w:vAlign w:val="center"/>
          </w:tcPr>
          <w:p>
            <w:pPr>
              <w:pStyle w:val="12"/>
            </w:pPr>
            <w:r>
              <w:t>聘请临时工人数</w:t>
            </w:r>
          </w:p>
        </w:tc>
        <w:tc>
          <w:tcPr>
            <w:tcW w:w="2551" w:type="dxa"/>
            <w:vAlign w:val="center"/>
          </w:tcPr>
          <w:p>
            <w:pPr>
              <w:pStyle w:val="12"/>
            </w:pPr>
            <w:r>
              <w:t>8人</w:t>
            </w:r>
          </w:p>
        </w:tc>
        <w:tc>
          <w:tcPr>
            <w:tcW w:w="2268"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工作完成保证率</w:t>
            </w:r>
          </w:p>
        </w:tc>
        <w:tc>
          <w:tcPr>
            <w:tcW w:w="2835" w:type="dxa"/>
            <w:vAlign w:val="center"/>
          </w:tcPr>
          <w:p>
            <w:pPr>
              <w:pStyle w:val="12"/>
            </w:pPr>
            <w:r>
              <w:t>工作完成保证率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工资发放时间时限</w:t>
            </w:r>
          </w:p>
        </w:tc>
        <w:tc>
          <w:tcPr>
            <w:tcW w:w="2835" w:type="dxa"/>
            <w:vAlign w:val="center"/>
          </w:tcPr>
          <w:p>
            <w:pPr>
              <w:pStyle w:val="12"/>
            </w:pPr>
            <w:r>
              <w:t>工资发放时间时限</w:t>
            </w:r>
          </w:p>
        </w:tc>
        <w:tc>
          <w:tcPr>
            <w:tcW w:w="2551" w:type="dxa"/>
            <w:vAlign w:val="center"/>
          </w:tcPr>
          <w:p>
            <w:pPr>
              <w:pStyle w:val="12"/>
            </w:pPr>
            <w:r>
              <w:t>≤10天</w:t>
            </w:r>
          </w:p>
        </w:tc>
        <w:tc>
          <w:tcPr>
            <w:tcW w:w="2268" w:type="dxa"/>
            <w:vAlign w:val="center"/>
          </w:tcPr>
          <w:p>
            <w:pPr>
              <w:pStyle w:val="12"/>
            </w:pPr>
            <w:r>
              <w:t>合同时限要求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总支出成本控制数</w:t>
            </w:r>
          </w:p>
        </w:tc>
        <w:tc>
          <w:tcPr>
            <w:tcW w:w="2835" w:type="dxa"/>
            <w:vAlign w:val="center"/>
          </w:tcPr>
          <w:p>
            <w:pPr>
              <w:pStyle w:val="12"/>
            </w:pPr>
            <w:r>
              <w:t>总支出成本控制数</w:t>
            </w:r>
          </w:p>
        </w:tc>
        <w:tc>
          <w:tcPr>
            <w:tcW w:w="2551" w:type="dxa"/>
            <w:vAlign w:val="center"/>
          </w:tcPr>
          <w:p>
            <w:pPr>
              <w:pStyle w:val="12"/>
            </w:pPr>
            <w:r>
              <w:t>≤16.32万元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带动就业人数</w:t>
            </w:r>
          </w:p>
        </w:tc>
        <w:tc>
          <w:tcPr>
            <w:tcW w:w="2835" w:type="dxa"/>
            <w:vAlign w:val="center"/>
          </w:tcPr>
          <w:p>
            <w:pPr>
              <w:pStyle w:val="12"/>
            </w:pPr>
            <w:r>
              <w:t>带动就业人数</w:t>
            </w:r>
          </w:p>
        </w:tc>
        <w:tc>
          <w:tcPr>
            <w:tcW w:w="2551" w:type="dxa"/>
            <w:vAlign w:val="center"/>
          </w:tcPr>
          <w:p>
            <w:pPr>
              <w:pStyle w:val="12"/>
            </w:pPr>
            <w:r>
              <w:t>8人</w:t>
            </w:r>
          </w:p>
        </w:tc>
        <w:tc>
          <w:tcPr>
            <w:tcW w:w="2268"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生态环境改善率</w:t>
            </w:r>
          </w:p>
        </w:tc>
        <w:tc>
          <w:tcPr>
            <w:tcW w:w="2835" w:type="dxa"/>
            <w:vAlign w:val="center"/>
          </w:tcPr>
          <w:p>
            <w:pPr>
              <w:pStyle w:val="12"/>
            </w:pPr>
            <w:r>
              <w:t>生态环境改善率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临时工满意度</w:t>
            </w:r>
          </w:p>
        </w:tc>
        <w:tc>
          <w:tcPr>
            <w:tcW w:w="2835" w:type="dxa"/>
            <w:vAlign w:val="center"/>
          </w:tcPr>
          <w:p>
            <w:pPr>
              <w:pStyle w:val="12"/>
            </w:pPr>
            <w:r>
              <w:t>劳务派遣人员满意度</w:t>
            </w:r>
          </w:p>
        </w:tc>
        <w:tc>
          <w:tcPr>
            <w:tcW w:w="2551" w:type="dxa"/>
            <w:vAlign w:val="center"/>
          </w:tcPr>
          <w:p>
            <w:pPr>
              <w:pStyle w:val="12"/>
            </w:pPr>
            <w:r>
              <w:t>≥90%</w:t>
            </w:r>
          </w:p>
        </w:tc>
        <w:tc>
          <w:tcPr>
            <w:tcW w:w="2268" w:type="dxa"/>
            <w:vAlign w:val="center"/>
          </w:tcPr>
          <w:p>
            <w:pPr>
              <w:pStyle w:val="12"/>
            </w:pPr>
            <w:r>
              <w:t>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8、雾炮车司机工资绩效目标表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1.开展雾炮车司机日常雾炮作业工作，实现监测站点及周边环境方式目标，达到监测站点周边环境整治效果。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聘请雾炮车司机数</w:t>
            </w:r>
          </w:p>
        </w:tc>
        <w:tc>
          <w:tcPr>
            <w:tcW w:w="2835" w:type="dxa"/>
            <w:vAlign w:val="center"/>
          </w:tcPr>
          <w:p>
            <w:pPr>
              <w:pStyle w:val="12"/>
            </w:pPr>
            <w:r>
              <w:t>聘请雾炮车司机数</w:t>
            </w:r>
          </w:p>
        </w:tc>
        <w:tc>
          <w:tcPr>
            <w:tcW w:w="2551" w:type="dxa"/>
            <w:vAlign w:val="center"/>
          </w:tcPr>
          <w:p>
            <w:pPr>
              <w:pStyle w:val="12"/>
            </w:pPr>
            <w:r>
              <w:t>8人</w:t>
            </w:r>
          </w:p>
        </w:tc>
        <w:tc>
          <w:tcPr>
            <w:tcW w:w="2268"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工作完成保障率</w:t>
            </w:r>
          </w:p>
        </w:tc>
        <w:tc>
          <w:tcPr>
            <w:tcW w:w="2835" w:type="dxa"/>
            <w:vAlign w:val="center"/>
          </w:tcPr>
          <w:p>
            <w:pPr>
              <w:pStyle w:val="12"/>
            </w:pPr>
            <w:r>
              <w:t>工作完成保障率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工资发放时间及时率</w:t>
            </w:r>
          </w:p>
        </w:tc>
        <w:tc>
          <w:tcPr>
            <w:tcW w:w="2835" w:type="dxa"/>
            <w:vAlign w:val="center"/>
          </w:tcPr>
          <w:p>
            <w:pPr>
              <w:pStyle w:val="12"/>
            </w:pPr>
            <w:r>
              <w:t>工资发放时间时限</w:t>
            </w:r>
          </w:p>
        </w:tc>
        <w:tc>
          <w:tcPr>
            <w:tcW w:w="2551" w:type="dxa"/>
            <w:vAlign w:val="center"/>
          </w:tcPr>
          <w:p>
            <w:pPr>
              <w:pStyle w:val="12"/>
            </w:pPr>
            <w:r>
              <w:t>≤10天</w:t>
            </w:r>
          </w:p>
        </w:tc>
        <w:tc>
          <w:tcPr>
            <w:tcW w:w="2268" w:type="dxa"/>
            <w:vAlign w:val="center"/>
          </w:tcPr>
          <w:p>
            <w:pPr>
              <w:pStyle w:val="12"/>
            </w:pPr>
            <w:r>
              <w:t>工资发放时限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项目总支出控制金额</w:t>
            </w:r>
          </w:p>
        </w:tc>
        <w:tc>
          <w:tcPr>
            <w:tcW w:w="2835" w:type="dxa"/>
            <w:vAlign w:val="center"/>
          </w:tcPr>
          <w:p>
            <w:pPr>
              <w:pStyle w:val="12"/>
            </w:pPr>
            <w:r>
              <w:t>项目总支出控制金额</w:t>
            </w:r>
          </w:p>
        </w:tc>
        <w:tc>
          <w:tcPr>
            <w:tcW w:w="2551" w:type="dxa"/>
            <w:vAlign w:val="center"/>
          </w:tcPr>
          <w:p>
            <w:pPr>
              <w:pStyle w:val="12"/>
            </w:pPr>
            <w:r>
              <w:t>≤32.26万元</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带动就业人数</w:t>
            </w:r>
          </w:p>
        </w:tc>
        <w:tc>
          <w:tcPr>
            <w:tcW w:w="2835" w:type="dxa"/>
            <w:vAlign w:val="center"/>
          </w:tcPr>
          <w:p>
            <w:pPr>
              <w:pStyle w:val="12"/>
            </w:pPr>
            <w:r>
              <w:t>带动就业人数</w:t>
            </w:r>
          </w:p>
        </w:tc>
        <w:tc>
          <w:tcPr>
            <w:tcW w:w="2551" w:type="dxa"/>
            <w:vAlign w:val="center"/>
          </w:tcPr>
          <w:p>
            <w:pPr>
              <w:pStyle w:val="12"/>
            </w:pPr>
            <w:r>
              <w:t>8人</w:t>
            </w:r>
          </w:p>
        </w:tc>
        <w:tc>
          <w:tcPr>
            <w:tcW w:w="2268"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可持续改善率</w:t>
            </w:r>
          </w:p>
        </w:tc>
        <w:tc>
          <w:tcPr>
            <w:tcW w:w="2835" w:type="dxa"/>
            <w:vAlign w:val="center"/>
          </w:tcPr>
          <w:p>
            <w:pPr>
              <w:pStyle w:val="12"/>
            </w:pPr>
            <w:r>
              <w:t>可持续改善率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w:t>
            </w:r>
          </w:p>
        </w:tc>
        <w:tc>
          <w:tcPr>
            <w:tcW w:w="2268" w:type="dxa"/>
            <w:vAlign w:val="center"/>
          </w:tcPr>
          <w:p>
            <w:pPr>
              <w:pStyle w:val="12"/>
            </w:pPr>
            <w: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司机满意度</w:t>
            </w:r>
          </w:p>
        </w:tc>
        <w:tc>
          <w:tcPr>
            <w:tcW w:w="2835" w:type="dxa"/>
            <w:vAlign w:val="center"/>
          </w:tcPr>
          <w:p>
            <w:pPr>
              <w:pStyle w:val="12"/>
            </w:pPr>
            <w:r>
              <w:t>司机满意度</w:t>
            </w:r>
          </w:p>
        </w:tc>
        <w:tc>
          <w:tcPr>
            <w:tcW w:w="2551" w:type="dxa"/>
            <w:vAlign w:val="center"/>
          </w:tcPr>
          <w:p>
            <w:pPr>
              <w:pStyle w:val="12"/>
            </w:pPr>
            <w:r>
              <w:t>≥90%</w:t>
            </w:r>
          </w:p>
        </w:tc>
        <w:tc>
          <w:tcPr>
            <w:tcW w:w="2268" w:type="dxa"/>
            <w:vAlign w:val="center"/>
          </w:tcPr>
          <w:p>
            <w:pPr>
              <w:pStyle w:val="12"/>
            </w:pPr>
            <w:r>
              <w:t>问卷</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w:t>
      </w:r>
      <w:r>
        <w:rPr>
          <w:rFonts w:hint="eastAsia" w:eastAsia="方正仿宋_GBK"/>
          <w:color w:val="000000"/>
          <w:sz w:val="28"/>
          <w:lang w:eastAsia="zh-CN"/>
        </w:rPr>
        <w:t>井陉矿区大气和水污染防治指挥部办公室</w:t>
      </w:r>
      <w:r>
        <w:rPr>
          <w:rFonts w:eastAsia="方正仿宋_GBK"/>
          <w:color w:val="000000"/>
          <w:sz w:val="28"/>
        </w:rPr>
        <w:t>本级安排政府采购预算29.20万元。具体内容见下表。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302001</w:t>
            </w:r>
            <w:r>
              <w:rPr>
                <w:rFonts w:hint="eastAsia"/>
                <w:lang w:eastAsia="zh-CN"/>
              </w:rPr>
              <w:t>井陉矿区大气和水污染防治指挥部办公室本级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29.20</w:t>
            </w:r>
          </w:p>
        </w:tc>
        <w:tc>
          <w:tcPr>
            <w:tcW w:w="964" w:type="dxa"/>
            <w:vAlign w:val="center"/>
          </w:tcPr>
          <w:p>
            <w:pPr>
              <w:pStyle w:val="15"/>
            </w:pPr>
            <w:r>
              <w:t>29.20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29.20</w:t>
            </w:r>
          </w:p>
        </w:tc>
        <w:tc>
          <w:tcPr>
            <w:tcW w:w="964" w:type="dxa"/>
            <w:vAlign w:val="center"/>
          </w:tcPr>
          <w:p>
            <w:pPr>
              <w:pStyle w:val="15"/>
            </w:pPr>
            <w:r>
              <w:t>29.20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车辆运行维护</w:t>
            </w:r>
          </w:p>
        </w:tc>
        <w:tc>
          <w:tcPr>
            <w:tcW w:w="964" w:type="dxa"/>
            <w:vAlign w:val="center"/>
          </w:tcPr>
          <w:p>
            <w:pPr>
              <w:pStyle w:val="13"/>
            </w:pPr>
            <w:r>
              <w:t>91.00</w:t>
            </w:r>
          </w:p>
        </w:tc>
        <w:tc>
          <w:tcPr>
            <w:tcW w:w="1134" w:type="dxa"/>
            <w:vAlign w:val="center"/>
          </w:tcPr>
          <w:p>
            <w:pPr>
              <w:pStyle w:val="12"/>
            </w:pPr>
            <w:r>
              <w:t>车辆维修和保养服务</w:t>
            </w:r>
          </w:p>
        </w:tc>
        <w:tc>
          <w:tcPr>
            <w:tcW w:w="1134" w:type="dxa"/>
            <w:vAlign w:val="center"/>
          </w:tcPr>
          <w:p>
            <w:pPr>
              <w:pStyle w:val="12"/>
            </w:pPr>
            <w:r>
              <w:t>C050301</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车辆运行维护</w:t>
            </w:r>
          </w:p>
        </w:tc>
        <w:tc>
          <w:tcPr>
            <w:tcW w:w="964" w:type="dxa"/>
            <w:vAlign w:val="center"/>
          </w:tcPr>
          <w:p>
            <w:pPr>
              <w:pStyle w:val="13"/>
            </w:pPr>
            <w:r>
              <w:t>91.00</w:t>
            </w:r>
          </w:p>
        </w:tc>
        <w:tc>
          <w:tcPr>
            <w:tcW w:w="1134" w:type="dxa"/>
            <w:vAlign w:val="center"/>
          </w:tcPr>
          <w:p>
            <w:pPr>
              <w:pStyle w:val="12"/>
            </w:pPr>
            <w:r>
              <w:t>车辆加油服务</w:t>
            </w:r>
          </w:p>
        </w:tc>
        <w:tc>
          <w:tcPr>
            <w:tcW w:w="1134" w:type="dxa"/>
            <w:vAlign w:val="center"/>
          </w:tcPr>
          <w:p>
            <w:pPr>
              <w:pStyle w:val="12"/>
            </w:pPr>
            <w:r>
              <w:t>C050302</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大气污染防治专项业务费</w:t>
            </w:r>
          </w:p>
        </w:tc>
        <w:tc>
          <w:tcPr>
            <w:tcW w:w="964" w:type="dxa"/>
            <w:vAlign w:val="center"/>
          </w:tcPr>
          <w:p>
            <w:pPr>
              <w:pStyle w:val="13"/>
            </w:pPr>
            <w:r>
              <w:t>12.00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1"/>
            </w:pPr>
            <w:r>
              <w:t>箱</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ascii="方正小标宋_GBK" w:hAnsi="方正小标宋_GBK" w:cs="方正小标宋_GBK" w:eastAsiaTheme="minorEastAsia"/>
          <w:color w:val="000000"/>
          <w:sz w:val="36"/>
          <w:lang w:eastAsia="zh-CN"/>
        </w:rPr>
      </w:pPr>
      <w:r>
        <w:rPr>
          <w:rFonts w:hint="eastAsia" w:eastAsia="方正仿宋_GBK"/>
          <w:color w:val="000000"/>
          <w:sz w:val="28"/>
          <w:lang w:eastAsia="zh-CN"/>
        </w:rPr>
        <w:t>井陉矿区大气和水污染防治指挥部办公室</w:t>
      </w:r>
      <w:r>
        <w:rPr>
          <w:rFonts w:eastAsia="方正仿宋_GBK"/>
          <w:color w:val="000000"/>
          <w:sz w:val="28"/>
        </w:rPr>
        <w:t>本级上年末固定资产金额为</w:t>
      </w:r>
      <w:r>
        <w:rPr>
          <w:rFonts w:hint="eastAsia" w:eastAsia="方正仿宋_GBK"/>
          <w:color w:val="000000"/>
          <w:sz w:val="28"/>
          <w:lang w:eastAsia="zh-CN"/>
        </w:rPr>
        <w:t>1638.53</w:t>
      </w:r>
      <w:r>
        <w:rPr>
          <w:rFonts w:eastAsia="方正仿宋_GBK"/>
          <w:color w:val="000000"/>
          <w:sz w:val="28"/>
        </w:rPr>
        <w:t>万元（详见下表）。本年度拟购置固定资产总额为0.00万元</w:t>
      </w:r>
      <w:r>
        <w:rPr>
          <w:rFonts w:hint="eastAsia" w:eastAsia="方正仿宋_GBK"/>
          <w:color w:val="000000"/>
          <w:sz w:val="28"/>
          <w:lang w:eastAsia="zh-CN"/>
        </w:rPr>
        <w:t>。</w:t>
      </w: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shd w:val="clear" w:color="auto" w:fill="auto"/>
            <w:vAlign w:val="center"/>
          </w:tcPr>
          <w:p>
            <w:pPr>
              <w:spacing w:line="300" w:lineRule="exact"/>
              <w:rPr>
                <w:rFonts w:ascii="方正小标宋_GBK" w:eastAsia="方正小标宋_GBK"/>
              </w:rPr>
            </w:pPr>
            <w:r>
              <w:rPr>
                <w:rFonts w:ascii="方正小标宋_GBK" w:eastAsia="方正小标宋_GBK"/>
              </w:rPr>
              <w:t>302001</w:t>
            </w:r>
            <w:r>
              <w:rPr>
                <w:rFonts w:hint="eastAsia"/>
                <w:lang w:eastAsia="zh-CN"/>
              </w:rPr>
              <w:t>井陉矿区大气和水污染防治指挥部办公室本级</w:t>
            </w:r>
          </w:p>
        </w:tc>
        <w:tc>
          <w:tcPr>
            <w:tcW w:w="5670"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rPr>
            </w:pPr>
            <w:r>
              <w:rPr>
                <w:rFonts w:hint="eastAsia" w:ascii="方正小标宋_GBK" w:eastAsia="方正小标宋_GBK"/>
              </w:rPr>
              <w:t>截止时间：</w:t>
            </w:r>
            <w:r>
              <w:rPr>
                <w:rFonts w:ascii="方正小标宋_GBK" w:eastAsia="方正小标宋_GBK"/>
              </w:rPr>
              <w:t>202</w:t>
            </w:r>
            <w:r>
              <w:rPr>
                <w:rFonts w:hint="eastAsia" w:ascii="方正小标宋_GBK" w:eastAsiaTheme="minorEastAsia"/>
                <w:lang w:eastAsia="zh-CN"/>
              </w:rPr>
              <w:t>1</w:t>
            </w:r>
            <w:r>
              <w:rPr>
                <w:rFonts w:ascii="方正小标宋_GBK" w:eastAsia="方正小标宋_GBK"/>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hint="eastAsia" w:ascii="方正书宋_GBK" w:eastAsia="方正书宋_GBK"/>
              </w:rPr>
              <w:t>　　　　　　　　资产总额</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Theme="minorEastAsia"/>
                <w:lang w:eastAsia="zh-CN"/>
              </w:rPr>
            </w:pPr>
            <w:r>
              <w:rPr>
                <w:rFonts w:hint="eastAsia" w:ascii="方正书宋_GBK" w:eastAsiaTheme="minorEastAsia"/>
                <w:lang w:eastAsia="zh-CN"/>
              </w:rPr>
              <w:t>1638.53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、房屋（平方米）</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hint="eastAsia" w:ascii="方正书宋_GBK" w:eastAsia="方正书宋_GBK"/>
              </w:rPr>
              <w:t>　　其中：办公用房（平方米）</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rPr>
              <w:t>、车辆（台、辆）</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rPr>
                <w:rFonts w:ascii="方正书宋_GBK" w:eastAsia="方正书宋_GBK"/>
              </w:rPr>
            </w:pPr>
            <w:r>
              <w:rPr>
                <w:rFonts w:ascii="方正书宋_GBK" w:eastAsia="方正书宋_GBK"/>
              </w:rPr>
              <w:t>4</w:t>
            </w:r>
            <w:r>
              <w:rPr>
                <w:rFonts w:hint="eastAsia" w:ascii="方正书宋_GBK" w:eastAsia="方正书宋_GBK"/>
              </w:rPr>
              <w:t>、其他固定资产</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ascii="方正书宋_GBK" w:eastAsiaTheme="minorEastAsia"/>
                <w:lang w:eastAsia="zh-CN"/>
              </w:rPr>
            </w:pPr>
            <w:r>
              <w:rPr>
                <w:rFonts w:hint="eastAsia" w:ascii="方正书宋_GBK" w:eastAsiaTheme="minorEastAsia"/>
                <w:lang w:eastAsia="zh-CN"/>
              </w:rPr>
              <w:t>1638.53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方正仿宋_GBK"/>
          <w:color w:val="000000"/>
          <w:sz w:val="28"/>
          <w:lang w:eastAsia="zh-CN"/>
        </w:rPr>
        <w:t>各单位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bookmarkStart w:id="1" w:name="_GoBack"/>
      <w:bookmarkEnd w:id="1"/>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5MzY1OTE3YWFmYjRkNTFjNjY5MmI2OTliMTUyMGMifQ=="/>
  </w:docVars>
  <w:rsids>
    <w:rsidRoot w:val="00000000"/>
    <w:rsid w:val="401C3737"/>
    <w:rsid w:val="584509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6683</Words>
  <Characters>7491</Characters>
  <Lines>0</Lines>
  <Paragraphs>0</Paragraphs>
  <TotalTime>1</TotalTime>
  <ScaleCrop>false</ScaleCrop>
  <LinksUpToDate>false</LinksUpToDate>
  <CharactersWithSpaces>7666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2023-08-01T10:38:14Z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B92CD0AED9DA406A95807385DF576780_12</vt:lpwstr>
  </property>
</Properties>
</file>