
<file path=[Content_Types].xml><?xml version="1.0" encoding="utf-8"?>
<Types xmlns="http://schemas.openxmlformats.org/package/2006/content-types">
  <Default Extension="xml" ContentType="application/xml"/>
  <Default Extension="bin" ContentType="application/vnd.openxmlformats-officedocument.oleObject"/>
  <Default Extension="emf" ContentType="image/x-e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center"/>
        <w:rPr>
          <w:rFonts w:hint="eastAsia" w:ascii="方正小标宋_GBK" w:hAnsi="Times New Roman" w:eastAsia="方正小标宋_GBK" w:cs="Times New Roman"/>
          <w:bCs/>
          <w:sz w:val="44"/>
          <w:szCs w:val="44"/>
          <w:lang w:eastAsia="zh-CN"/>
        </w:rPr>
      </w:pPr>
      <w:bookmarkStart w:id="8" w:name="_GoBack"/>
      <w:bookmarkEnd w:id="8"/>
      <w:r>
        <w:rPr>
          <w:rFonts w:hint="eastAsia" w:ascii="方正小标宋_GBK" w:hAnsi="Times New Roman" w:eastAsia="方正小标宋_GBK" w:cs="Times New Roman"/>
          <w:bCs/>
          <w:sz w:val="44"/>
          <w:szCs w:val="44"/>
        </w:rPr>
        <w:t>井陉矿区</w:t>
      </w:r>
      <w:r>
        <w:rPr>
          <w:rFonts w:hint="eastAsia" w:ascii="方正小标宋_GBK" w:hAnsi="Times New Roman" w:eastAsia="方正小标宋_GBK" w:cs="Times New Roman"/>
          <w:bCs/>
          <w:sz w:val="44"/>
          <w:szCs w:val="44"/>
          <w:lang w:eastAsia="zh-CN"/>
        </w:rPr>
        <w:t>人大常委会办公室</w:t>
      </w:r>
    </w:p>
    <w:p>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2020年部门预算信息公开情况说明</w:t>
      </w:r>
    </w:p>
    <w:p>
      <w:pPr>
        <w:ind w:firstLine="640"/>
        <w:rPr>
          <w:rFonts w:ascii="Times New Roman" w:hAnsi="Times New Roman" w:eastAsia="仿宋" w:cs="Times New Roman"/>
          <w:sz w:val="32"/>
          <w:szCs w:val="32"/>
        </w:rPr>
      </w:pP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按照《预算法》、《地方预决算公开操作规程》和《河北省省级预算公开办法》规定，现将</w:t>
      </w:r>
      <w:r>
        <w:rPr>
          <w:rFonts w:hint="eastAsia" w:ascii="仿宋" w:hAnsi="仿宋" w:eastAsia="仿宋" w:cs="仿宋"/>
          <w:sz w:val="30"/>
          <w:szCs w:val="30"/>
        </w:rPr>
        <w:t>井陉矿区</w:t>
      </w:r>
      <w:r>
        <w:rPr>
          <w:rFonts w:hint="eastAsia" w:ascii="仿宋" w:hAnsi="仿宋" w:eastAsia="仿宋" w:cs="仿宋"/>
          <w:sz w:val="30"/>
          <w:szCs w:val="30"/>
          <w:lang w:eastAsia="zh-CN"/>
        </w:rPr>
        <w:t>人大常委会办公室</w:t>
      </w:r>
      <w:r>
        <w:rPr>
          <w:rFonts w:hint="eastAsia" w:ascii="Times New Roman" w:hAnsi="Times New Roman" w:eastAsia="仿宋" w:cs="Times New Roman"/>
          <w:sz w:val="32"/>
          <w:szCs w:val="32"/>
        </w:rPr>
        <w:t>2020年部门预算公开如下：</w:t>
      </w:r>
    </w:p>
    <w:p>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pPr>
        <w:spacing w:line="500" w:lineRule="exact"/>
        <w:ind w:firstLine="560"/>
        <w:rPr>
          <w:rFonts w:ascii="仿宋" w:hAnsi="仿宋" w:eastAsia="仿宋" w:cs="仿宋"/>
          <w:sz w:val="30"/>
          <w:szCs w:val="30"/>
        </w:rPr>
      </w:pPr>
      <w:r>
        <w:rPr>
          <w:rFonts w:hint="eastAsia" w:ascii="仿宋" w:hAnsi="仿宋" w:eastAsia="仿宋" w:cs="仿宋"/>
          <w:sz w:val="30"/>
          <w:szCs w:val="30"/>
        </w:rPr>
        <w:t>一、</w:t>
      </w:r>
      <w:r>
        <w:rPr>
          <w:rFonts w:ascii="仿宋" w:hAnsi="仿宋" w:eastAsia="仿宋" w:cs="仿宋"/>
          <w:sz w:val="30"/>
          <w:szCs w:val="30"/>
        </w:rPr>
        <w:t>突出人大代表主体作用，围绕全区工作大局建言献策。1、紧扣中心大局，积极参政议政。2关注民生热点，深入调研研究。3、紧抓履职着力点，认真建言献策。</w:t>
      </w:r>
    </w:p>
    <w:p>
      <w:pPr>
        <w:spacing w:line="500" w:lineRule="exact"/>
        <w:ind w:firstLine="560"/>
        <w:rPr>
          <w:rFonts w:ascii="仿宋" w:hAnsi="仿宋" w:eastAsia="仿宋" w:cs="仿宋"/>
          <w:sz w:val="30"/>
          <w:szCs w:val="30"/>
        </w:rPr>
      </w:pPr>
      <w:r>
        <w:rPr>
          <w:rFonts w:ascii="仿宋" w:hAnsi="仿宋" w:eastAsia="仿宋" w:cs="仿宋"/>
          <w:sz w:val="30"/>
          <w:szCs w:val="30"/>
        </w:rPr>
        <w:t>二、始终坚持人大工作与党政工作同频共振，全力助推重点工作开展。1、主动融入中心工作。2、倾力服务大局发展。3、深入开展调查研究。4着力推进依法治区。</w:t>
      </w:r>
    </w:p>
    <w:p>
      <w:pPr>
        <w:spacing w:line="500" w:lineRule="exact"/>
        <w:ind w:firstLine="560"/>
        <w:rPr>
          <w:rFonts w:ascii="仿宋" w:hAnsi="仿宋" w:eastAsia="仿宋" w:cs="仿宋"/>
          <w:sz w:val="30"/>
          <w:szCs w:val="30"/>
        </w:rPr>
      </w:pPr>
      <w:r>
        <w:rPr>
          <w:rFonts w:ascii="仿宋" w:hAnsi="仿宋" w:eastAsia="仿宋" w:cs="仿宋"/>
          <w:sz w:val="30"/>
          <w:szCs w:val="30"/>
        </w:rPr>
        <w:t>三、充分发挥自身独特优势，着力提升履行职能的水平和成效。1、强化代表培训，提升履职能力。2、充分利用“代表之家（站）”作为平台，积极开展代表活动，充分发挥代表作用。3、贯彻落实省、市、区委全会精神，努力强化自身建设。4、大力加强党的建设，深入开展反腐倡廉。</w:t>
      </w:r>
    </w:p>
    <w:p>
      <w:pPr>
        <w:spacing w:line="560" w:lineRule="exact"/>
        <w:ind w:firstLine="602" w:firstLineChars="200"/>
        <w:rPr>
          <w:rFonts w:hint="eastAsia" w:ascii="仿宋" w:hAnsi="仿宋" w:eastAsia="仿宋" w:cs="仿宋"/>
          <w:sz w:val="30"/>
          <w:szCs w:val="30"/>
        </w:rPr>
      </w:pPr>
      <w:r>
        <w:rPr>
          <w:rFonts w:hint="eastAsia" w:ascii="仿宋" w:hAnsi="仿宋" w:eastAsia="仿宋" w:cs="仿宋"/>
          <w:b/>
          <w:sz w:val="30"/>
          <w:szCs w:val="30"/>
        </w:rPr>
        <w:t>机构设置：</w:t>
      </w:r>
    </w:p>
    <w:p>
      <w:pPr>
        <w:jc w:val="center"/>
        <w:outlineLvl w:val="0"/>
        <w:rPr>
          <w:rFonts w:hint="eastAsia" w:ascii="仿宋" w:hAnsi="仿宋" w:eastAsia="仿宋" w:cs="仿宋"/>
          <w:sz w:val="30"/>
          <w:szCs w:val="30"/>
        </w:rPr>
      </w:pPr>
      <w:r>
        <w:rPr>
          <w:rFonts w:hint="eastAsia" w:ascii="仿宋" w:hAnsi="仿宋" w:eastAsia="仿宋" w:cs="仿宋"/>
          <w:sz w:val="30"/>
          <w:szCs w:val="30"/>
        </w:rPr>
        <w:t>部门机构设置情况</w:t>
      </w:r>
    </w:p>
    <w:tbl>
      <w:tblPr>
        <w:tblStyle w:val="10"/>
        <w:tblpPr w:leftFromText="180" w:rightFromText="180" w:vertAnchor="text" w:horzAnchor="page" w:tblpX="1492" w:tblpY="230"/>
        <w:tblOverlap w:val="never"/>
        <w:tblW w:w="9400"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452"/>
        <w:gridCol w:w="933"/>
        <w:gridCol w:w="1225"/>
        <w:gridCol w:w="379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trPr>
        <w:tc>
          <w:tcPr>
            <w:tcW w:w="3452" w:type="dxa"/>
            <w:vMerge w:val="restart"/>
            <w:vAlign w:val="center"/>
          </w:tcPr>
          <w:p>
            <w:pPr>
              <w:spacing w:line="300" w:lineRule="exact"/>
              <w:jc w:val="center"/>
              <w:rPr>
                <w:rFonts w:hint="eastAsia" w:ascii="宋体" w:hAnsi="宋体" w:cs="宋体"/>
                <w:b/>
                <w:szCs w:val="24"/>
              </w:rPr>
            </w:pPr>
            <w:r>
              <w:rPr>
                <w:rFonts w:hint="eastAsia" w:ascii="宋体" w:hAnsi="宋体" w:cs="宋体"/>
                <w:b/>
                <w:szCs w:val="24"/>
              </w:rPr>
              <w:t>单位名称</w:t>
            </w:r>
          </w:p>
        </w:tc>
        <w:tc>
          <w:tcPr>
            <w:tcW w:w="933" w:type="dxa"/>
            <w:vMerge w:val="restart"/>
            <w:vAlign w:val="center"/>
          </w:tcPr>
          <w:p>
            <w:pPr>
              <w:spacing w:line="300" w:lineRule="exact"/>
              <w:jc w:val="center"/>
              <w:rPr>
                <w:rFonts w:hint="eastAsia" w:ascii="宋体" w:hAnsi="宋体" w:cs="宋体"/>
                <w:b/>
                <w:szCs w:val="24"/>
              </w:rPr>
            </w:pPr>
            <w:r>
              <w:rPr>
                <w:rFonts w:hint="eastAsia" w:ascii="宋体" w:hAnsi="宋体" w:cs="宋体"/>
                <w:b/>
                <w:szCs w:val="24"/>
              </w:rPr>
              <w:t>单位性质</w:t>
            </w:r>
          </w:p>
        </w:tc>
        <w:tc>
          <w:tcPr>
            <w:tcW w:w="1225" w:type="dxa"/>
            <w:vMerge w:val="restart"/>
            <w:vAlign w:val="center"/>
          </w:tcPr>
          <w:p>
            <w:pPr>
              <w:spacing w:line="300" w:lineRule="exact"/>
              <w:jc w:val="center"/>
              <w:rPr>
                <w:rFonts w:hint="eastAsia" w:ascii="宋体" w:hAnsi="宋体" w:cs="宋体"/>
                <w:b/>
                <w:szCs w:val="24"/>
              </w:rPr>
            </w:pPr>
            <w:r>
              <w:rPr>
                <w:rFonts w:hint="eastAsia" w:ascii="宋体" w:hAnsi="宋体" w:cs="宋体"/>
                <w:b/>
                <w:szCs w:val="24"/>
              </w:rPr>
              <w:t>单位规格</w:t>
            </w:r>
          </w:p>
        </w:tc>
        <w:tc>
          <w:tcPr>
            <w:tcW w:w="3790" w:type="dxa"/>
            <w:vMerge w:val="restart"/>
            <w:vAlign w:val="center"/>
          </w:tcPr>
          <w:p>
            <w:pPr>
              <w:spacing w:line="300" w:lineRule="exact"/>
              <w:jc w:val="center"/>
              <w:rPr>
                <w:rFonts w:hint="eastAsia" w:ascii="宋体" w:hAnsi="宋体" w:cs="宋体"/>
                <w:b/>
                <w:szCs w:val="24"/>
              </w:rPr>
            </w:pPr>
            <w:r>
              <w:rPr>
                <w:rFonts w:hint="eastAsia" w:ascii="宋体" w:hAnsi="宋体" w:cs="宋体"/>
                <w:b/>
                <w:szCs w:val="24"/>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trPr>
        <w:tc>
          <w:tcPr>
            <w:tcW w:w="3452" w:type="dxa"/>
            <w:vMerge w:val="continue"/>
            <w:tcBorders>
              <w:top w:val="single" w:color="000000" w:sz="6" w:space="0"/>
              <w:left w:val="single" w:color="000000" w:sz="6" w:space="0"/>
              <w:right w:val="single" w:color="000000" w:sz="6" w:space="0"/>
            </w:tcBorders>
            <w:vAlign w:val="center"/>
          </w:tcPr>
          <w:p/>
        </w:tc>
        <w:tc>
          <w:tcPr>
            <w:tcW w:w="933" w:type="dxa"/>
            <w:vMerge w:val="continue"/>
            <w:tcBorders>
              <w:top w:val="single" w:color="000000" w:sz="6" w:space="0"/>
              <w:left w:val="single" w:color="000000" w:sz="6" w:space="0"/>
              <w:right w:val="single" w:color="000000" w:sz="6" w:space="0"/>
            </w:tcBorders>
            <w:vAlign w:val="center"/>
          </w:tcPr>
          <w:p/>
        </w:tc>
        <w:tc>
          <w:tcPr>
            <w:tcW w:w="1225" w:type="dxa"/>
            <w:vMerge w:val="continue"/>
            <w:tcBorders>
              <w:top w:val="single" w:color="000000" w:sz="6" w:space="0"/>
              <w:left w:val="single" w:color="000000" w:sz="6" w:space="0"/>
              <w:right w:val="single" w:color="000000" w:sz="6" w:space="0"/>
            </w:tcBorders>
            <w:vAlign w:val="center"/>
          </w:tcPr>
          <w:p/>
        </w:tc>
        <w:tc>
          <w:tcPr>
            <w:tcW w:w="3790" w:type="dxa"/>
            <w:vMerge w:val="continue"/>
            <w:tcBorders>
              <w:top w:val="single" w:color="000000" w:sz="6" w:space="0"/>
              <w:left w:val="single" w:color="000000" w:sz="6" w:space="0"/>
              <w:right w:val="single" w:color="000000" w:sz="6" w:space="0"/>
            </w:tcBorders>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rPr>
        <w:tc>
          <w:tcPr>
            <w:tcW w:w="3452" w:type="dxa"/>
            <w:tcBorders>
              <w:top w:val="single" w:color="000000" w:sz="6" w:space="0"/>
              <w:left w:val="single" w:color="000000" w:sz="6" w:space="0"/>
              <w:right w:val="single" w:color="000000" w:sz="6" w:space="0"/>
            </w:tcBorders>
            <w:vAlign w:val="center"/>
          </w:tcPr>
          <w:p>
            <w:pPr>
              <w:spacing w:line="300" w:lineRule="exact"/>
              <w:jc w:val="left"/>
              <w:rPr>
                <w:rFonts w:hint="eastAsia" w:ascii="宋体" w:hAnsi="宋体" w:cs="宋体"/>
              </w:rPr>
            </w:pPr>
            <w:r>
              <w:rPr>
                <w:rFonts w:hint="eastAsia" w:ascii="宋体" w:hAnsi="宋体" w:cs="宋体"/>
              </w:rPr>
              <w:t>石家庄市井陉矿区人民代表大会常务委员会办公室</w:t>
            </w:r>
          </w:p>
        </w:tc>
        <w:tc>
          <w:tcPr>
            <w:tcW w:w="933" w:type="dxa"/>
            <w:tcBorders>
              <w:top w:val="single" w:color="000000" w:sz="6" w:space="0"/>
              <w:left w:val="single" w:color="000000" w:sz="6" w:space="0"/>
              <w:right w:val="single" w:color="000000" w:sz="6" w:space="0"/>
            </w:tcBorders>
            <w:vAlign w:val="center"/>
          </w:tcPr>
          <w:p>
            <w:pPr>
              <w:spacing w:line="300" w:lineRule="exact"/>
              <w:jc w:val="center"/>
              <w:rPr>
                <w:rFonts w:hint="eastAsia" w:ascii="宋体" w:hAnsi="宋体" w:cs="宋体"/>
              </w:rPr>
            </w:pPr>
            <w:r>
              <w:rPr>
                <w:rFonts w:hint="eastAsia" w:ascii="宋体" w:hAnsi="宋体" w:cs="宋体"/>
              </w:rPr>
              <w:t>行政</w:t>
            </w:r>
          </w:p>
        </w:tc>
        <w:tc>
          <w:tcPr>
            <w:tcW w:w="1225" w:type="dxa"/>
            <w:tcBorders>
              <w:top w:val="single" w:color="000000" w:sz="6" w:space="0"/>
              <w:left w:val="single" w:color="000000" w:sz="6" w:space="0"/>
              <w:right w:val="single" w:color="000000" w:sz="6" w:space="0"/>
            </w:tcBorders>
            <w:vAlign w:val="center"/>
          </w:tcPr>
          <w:p>
            <w:pPr>
              <w:spacing w:line="300" w:lineRule="exact"/>
              <w:jc w:val="center"/>
              <w:rPr>
                <w:rFonts w:hint="eastAsia" w:ascii="宋体" w:hAnsi="宋体" w:cs="宋体"/>
              </w:rPr>
            </w:pPr>
            <w:r>
              <w:rPr>
                <w:rFonts w:hint="eastAsia" w:ascii="宋体" w:hAnsi="宋体" w:cs="宋体"/>
              </w:rPr>
              <w:t>正处级</w:t>
            </w:r>
          </w:p>
        </w:tc>
        <w:tc>
          <w:tcPr>
            <w:tcW w:w="3790" w:type="dxa"/>
            <w:tcBorders>
              <w:top w:val="single" w:color="000000" w:sz="6" w:space="0"/>
              <w:left w:val="single" w:color="000000" w:sz="6" w:space="0"/>
              <w:right w:val="single" w:color="000000" w:sz="6" w:space="0"/>
            </w:tcBorders>
            <w:vAlign w:val="center"/>
          </w:tcPr>
          <w:p>
            <w:pPr>
              <w:spacing w:line="300" w:lineRule="exact"/>
              <w:jc w:val="center"/>
              <w:rPr>
                <w:rFonts w:hint="eastAsia" w:ascii="宋体" w:hAnsi="宋体" w:cs="宋体"/>
              </w:rPr>
            </w:pPr>
            <w:r>
              <w:rPr>
                <w:rFonts w:hint="eastAsia" w:ascii="宋体" w:hAnsi="宋体" w:cs="宋体"/>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rPr>
        <w:tc>
          <w:tcPr>
            <w:tcW w:w="3452" w:type="dxa"/>
            <w:tcBorders>
              <w:top w:val="single" w:color="000000" w:sz="6" w:space="0"/>
              <w:left w:val="single" w:color="000000" w:sz="6" w:space="0"/>
              <w:right w:val="single" w:color="000000" w:sz="6" w:space="0"/>
            </w:tcBorders>
            <w:vAlign w:val="center"/>
          </w:tcPr>
          <w:p>
            <w:pPr>
              <w:spacing w:line="300" w:lineRule="exact"/>
              <w:jc w:val="left"/>
              <w:rPr>
                <w:rFonts w:hint="eastAsia" w:ascii="宋体" w:hAnsi="宋体" w:cs="宋体"/>
              </w:rPr>
            </w:pPr>
          </w:p>
        </w:tc>
        <w:tc>
          <w:tcPr>
            <w:tcW w:w="933" w:type="dxa"/>
            <w:tcBorders>
              <w:top w:val="single" w:color="000000" w:sz="6" w:space="0"/>
              <w:left w:val="single" w:color="000000" w:sz="6" w:space="0"/>
              <w:right w:val="single" w:color="000000" w:sz="6" w:space="0"/>
            </w:tcBorders>
            <w:vAlign w:val="center"/>
          </w:tcPr>
          <w:p>
            <w:pPr>
              <w:spacing w:line="300" w:lineRule="exact"/>
              <w:jc w:val="center"/>
              <w:rPr>
                <w:rFonts w:hint="eastAsia" w:ascii="宋体" w:hAnsi="宋体" w:cs="宋体"/>
              </w:rPr>
            </w:pPr>
          </w:p>
        </w:tc>
        <w:tc>
          <w:tcPr>
            <w:tcW w:w="1225" w:type="dxa"/>
            <w:tcBorders>
              <w:top w:val="single" w:color="000000" w:sz="6" w:space="0"/>
              <w:left w:val="single" w:color="000000" w:sz="6" w:space="0"/>
              <w:right w:val="single" w:color="000000" w:sz="6" w:space="0"/>
            </w:tcBorders>
            <w:vAlign w:val="center"/>
          </w:tcPr>
          <w:p>
            <w:pPr>
              <w:spacing w:line="300" w:lineRule="exact"/>
              <w:jc w:val="center"/>
              <w:rPr>
                <w:rFonts w:hint="eastAsia" w:ascii="宋体" w:hAnsi="宋体" w:cs="宋体"/>
              </w:rPr>
            </w:pPr>
          </w:p>
        </w:tc>
        <w:tc>
          <w:tcPr>
            <w:tcW w:w="3790" w:type="dxa"/>
            <w:tcBorders>
              <w:top w:val="single" w:color="000000" w:sz="6" w:space="0"/>
              <w:left w:val="single" w:color="000000" w:sz="6" w:space="0"/>
              <w:right w:val="single" w:color="000000" w:sz="6" w:space="0"/>
            </w:tcBorders>
            <w:vAlign w:val="center"/>
          </w:tcPr>
          <w:p>
            <w:pPr>
              <w:spacing w:line="300" w:lineRule="exact"/>
              <w:jc w:val="center"/>
              <w:rPr>
                <w:rFonts w:hint="eastAsia" w:ascii="宋体" w:hAnsi="宋体" w:cs="宋体"/>
              </w:rPr>
            </w:pPr>
          </w:p>
        </w:tc>
      </w:tr>
    </w:tbl>
    <w:p>
      <w:pPr>
        <w:ind w:firstLine="640"/>
        <w:rPr>
          <w:rFonts w:hint="eastAsia" w:ascii="黑体" w:hAnsi="黑体" w:eastAsia="黑体" w:cs="Times New Roman"/>
          <w:sz w:val="32"/>
          <w:szCs w:val="32"/>
        </w:rPr>
      </w:pPr>
    </w:p>
    <w:p>
      <w:pPr>
        <w:ind w:firstLine="640"/>
        <w:rPr>
          <w:rFonts w:hint="eastAsia" w:ascii="黑体" w:hAnsi="黑体" w:eastAsia="黑体" w:cs="Times New Roman"/>
          <w:sz w:val="32"/>
          <w:szCs w:val="32"/>
        </w:rPr>
      </w:pPr>
    </w:p>
    <w:p>
      <w:pPr>
        <w:ind w:firstLine="640"/>
        <w:rPr>
          <w:rFonts w:hint="eastAsia" w:ascii="黑体" w:hAnsi="黑体" w:eastAsia="黑体" w:cs="Times New Roman"/>
          <w:sz w:val="32"/>
          <w:szCs w:val="32"/>
        </w:rPr>
      </w:pPr>
    </w:p>
    <w:p>
      <w:pPr>
        <w:ind w:firstLine="640"/>
        <w:rPr>
          <w:rFonts w:hint="eastAsia" w:ascii="黑体" w:hAnsi="黑体" w:eastAsia="黑体" w:cs="Times New Roman"/>
          <w:sz w:val="32"/>
          <w:szCs w:val="32"/>
        </w:rPr>
      </w:pPr>
    </w:p>
    <w:p>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pPr>
        <w:spacing w:line="560" w:lineRule="exact"/>
        <w:ind w:firstLine="600" w:firstLineChars="200"/>
        <w:rPr>
          <w:rFonts w:hint="eastAsia" w:ascii="仿宋" w:hAnsi="仿宋" w:eastAsia="仿宋" w:cs="仿宋"/>
          <w:sz w:val="30"/>
          <w:szCs w:val="30"/>
        </w:rPr>
      </w:pPr>
      <w:r>
        <w:rPr>
          <w:rFonts w:hint="eastAsia" w:ascii="仿宋" w:hAnsi="仿宋" w:eastAsia="仿宋" w:cs="仿宋"/>
          <w:sz w:val="30"/>
          <w:szCs w:val="30"/>
        </w:rPr>
        <w:t>按照预算管理有关规定，目前我区部门预算的编制实行综合预算制度，即全部收入和支出都反映在预算中。</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反映本部门当年全部收入。2020年预算收入</w:t>
      </w:r>
      <w:r>
        <w:rPr>
          <w:rFonts w:hint="eastAsia" w:ascii="Times New Roman" w:hAnsi="Times New Roman" w:eastAsia="仿宋" w:cs="Times New Roman"/>
          <w:sz w:val="32"/>
          <w:szCs w:val="32"/>
          <w:lang w:val="en-US" w:eastAsia="zh-CN"/>
        </w:rPr>
        <w:t>398.78</w:t>
      </w:r>
      <w:r>
        <w:rPr>
          <w:rFonts w:hint="eastAsia" w:ascii="Times New Roman" w:hAnsi="Times New Roman" w:eastAsia="仿宋" w:cs="Times New Roman"/>
          <w:sz w:val="32"/>
          <w:szCs w:val="32"/>
        </w:rPr>
        <w:t>万元，其中：一般公共预算收入</w:t>
      </w:r>
      <w:r>
        <w:rPr>
          <w:rFonts w:hint="eastAsia" w:ascii="Times New Roman" w:hAnsi="Times New Roman" w:eastAsia="仿宋" w:cs="Times New Roman"/>
          <w:sz w:val="32"/>
          <w:szCs w:val="32"/>
          <w:lang w:val="en-US" w:eastAsia="zh-CN"/>
        </w:rPr>
        <w:t>398.78</w:t>
      </w:r>
      <w:r>
        <w:rPr>
          <w:rFonts w:hint="eastAsia" w:ascii="Times New Roman" w:hAnsi="Times New Roman" w:eastAsia="仿宋" w:cs="Times New Roman"/>
          <w:sz w:val="32"/>
          <w:szCs w:val="32"/>
        </w:rPr>
        <w:t>万元，基金预算收入0万元，财政专户核拨收入0万元，其他来源收入0万元。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pPr>
        <w:ind w:firstLine="640"/>
        <w:rPr>
          <w:rFonts w:hint="eastAsia" w:ascii="Times New Roman" w:hAnsi="Times New Roman" w:eastAsia="仿宋" w:cs="Times New Roman"/>
          <w:sz w:val="32"/>
          <w:szCs w:val="32"/>
          <w:lang w:eastAsia="zh-CN"/>
        </w:rPr>
      </w:pPr>
      <w:r>
        <w:rPr>
          <w:rFonts w:hint="eastAsia" w:ascii="Times New Roman" w:hAnsi="Times New Roman" w:eastAsia="仿宋" w:cs="Times New Roman"/>
          <w:sz w:val="32"/>
          <w:szCs w:val="32"/>
        </w:rPr>
        <w:t>收支预算总表支出栏、基本支出表、项目支出表按经济分类和支出功能分类科目编制，</w:t>
      </w:r>
      <w:r>
        <w:rPr>
          <w:rFonts w:hint="eastAsia" w:ascii="仿宋" w:hAnsi="仿宋" w:eastAsia="仿宋" w:cs="仿宋"/>
          <w:sz w:val="30"/>
          <w:szCs w:val="30"/>
        </w:rPr>
        <w:t>反映矿区</w:t>
      </w:r>
      <w:r>
        <w:rPr>
          <w:rFonts w:hint="eastAsia" w:ascii="仿宋" w:hAnsi="仿宋" w:eastAsia="仿宋" w:cs="仿宋"/>
          <w:sz w:val="30"/>
          <w:szCs w:val="30"/>
          <w:lang w:eastAsia="zh-CN"/>
        </w:rPr>
        <w:t>人大常委会办公室</w:t>
      </w:r>
      <w:r>
        <w:rPr>
          <w:rFonts w:hint="eastAsia" w:ascii="仿宋" w:hAnsi="仿宋" w:eastAsia="仿宋" w:cs="仿宋"/>
          <w:sz w:val="30"/>
          <w:szCs w:val="30"/>
        </w:rPr>
        <w:t>年度部门预算中支出预算的总体情况</w:t>
      </w:r>
      <w:r>
        <w:rPr>
          <w:rFonts w:hint="eastAsia" w:ascii="仿宋" w:hAnsi="仿宋" w:eastAsia="仿宋" w:cs="仿宋"/>
          <w:sz w:val="30"/>
          <w:szCs w:val="30"/>
          <w:lang w:eastAsia="zh-CN"/>
        </w:rPr>
        <w:t>。</w:t>
      </w:r>
      <w:r>
        <w:rPr>
          <w:rFonts w:hint="eastAsia" w:ascii="Times New Roman" w:hAnsi="Times New Roman" w:eastAsia="仿宋" w:cs="Times New Roman"/>
          <w:sz w:val="32"/>
          <w:szCs w:val="32"/>
        </w:rPr>
        <w:t>2020年部门支出预算为</w:t>
      </w:r>
      <w:r>
        <w:rPr>
          <w:rFonts w:hint="eastAsia" w:ascii="Times New Roman" w:hAnsi="Times New Roman" w:eastAsia="仿宋" w:cs="Times New Roman"/>
          <w:sz w:val="32"/>
          <w:szCs w:val="32"/>
          <w:lang w:val="en-US" w:eastAsia="zh-CN"/>
        </w:rPr>
        <w:t>398.78</w:t>
      </w:r>
      <w:r>
        <w:rPr>
          <w:rFonts w:hint="eastAsia" w:ascii="Times New Roman" w:hAnsi="Times New Roman" w:eastAsia="仿宋" w:cs="Times New Roman"/>
          <w:sz w:val="32"/>
          <w:szCs w:val="32"/>
        </w:rPr>
        <w:t>万元，其中基本支出</w:t>
      </w:r>
      <w:r>
        <w:rPr>
          <w:rFonts w:hint="eastAsia" w:ascii="Times New Roman" w:hAnsi="Times New Roman" w:eastAsia="仿宋" w:cs="Times New Roman"/>
          <w:sz w:val="32"/>
          <w:szCs w:val="32"/>
          <w:lang w:val="en-US" w:eastAsia="zh-CN"/>
        </w:rPr>
        <w:t>345.38</w:t>
      </w:r>
      <w:r>
        <w:rPr>
          <w:rFonts w:hint="eastAsia" w:ascii="Times New Roman" w:hAnsi="Times New Roman" w:eastAsia="仿宋" w:cs="Times New Roman"/>
          <w:sz w:val="32"/>
          <w:szCs w:val="32"/>
        </w:rPr>
        <w:t>万元，包括人员经费</w:t>
      </w:r>
      <w:r>
        <w:rPr>
          <w:rFonts w:hint="eastAsia" w:ascii="Times New Roman" w:hAnsi="Times New Roman" w:eastAsia="仿宋" w:cs="Times New Roman"/>
          <w:sz w:val="32"/>
          <w:szCs w:val="32"/>
          <w:lang w:val="en-US" w:eastAsia="zh-CN"/>
        </w:rPr>
        <w:t>312.21</w:t>
      </w:r>
      <w:r>
        <w:rPr>
          <w:rFonts w:hint="eastAsia" w:ascii="Times New Roman" w:hAnsi="Times New Roman" w:eastAsia="仿宋" w:cs="Times New Roman"/>
          <w:sz w:val="32"/>
          <w:szCs w:val="32"/>
        </w:rPr>
        <w:t>万元和日常公用经费</w:t>
      </w:r>
      <w:r>
        <w:rPr>
          <w:rFonts w:hint="eastAsia" w:ascii="Times New Roman" w:hAnsi="Times New Roman" w:eastAsia="仿宋" w:cs="Times New Roman"/>
          <w:sz w:val="32"/>
          <w:szCs w:val="32"/>
          <w:lang w:val="en-US" w:eastAsia="zh-CN"/>
        </w:rPr>
        <w:t>33.17</w:t>
      </w:r>
      <w:r>
        <w:rPr>
          <w:rFonts w:hint="eastAsia" w:ascii="Times New Roman" w:hAnsi="Times New Roman" w:eastAsia="仿宋" w:cs="Times New Roman"/>
          <w:sz w:val="32"/>
          <w:szCs w:val="32"/>
        </w:rPr>
        <w:t>万元；项目支出</w:t>
      </w:r>
      <w:r>
        <w:rPr>
          <w:rFonts w:hint="eastAsia" w:ascii="Times New Roman" w:hAnsi="Times New Roman" w:eastAsia="仿宋" w:cs="Times New Roman"/>
          <w:sz w:val="32"/>
          <w:szCs w:val="32"/>
          <w:lang w:val="en-US" w:eastAsia="zh-CN"/>
        </w:rPr>
        <w:t>53.4</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eastAsia="zh-CN"/>
        </w:rPr>
        <w:t>。</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pPr>
        <w:ind w:firstLine="640"/>
        <w:rPr>
          <w:rFonts w:ascii="Times New Roman" w:hAnsi="Times New Roman" w:eastAsia="仿宋" w:cs="Times New Roman"/>
          <w:sz w:val="32"/>
          <w:szCs w:val="32"/>
        </w:rPr>
      </w:pPr>
      <w:r>
        <w:rPr>
          <w:rFonts w:hint="eastAsia" w:ascii="Times New Roman" w:hAnsi="Times New Roman" w:eastAsia="仿宋" w:cs="Times New Roman"/>
          <w:color w:val="000000"/>
          <w:sz w:val="32"/>
          <w:szCs w:val="32"/>
        </w:rPr>
        <w:t>2020年部门预算收支安排</w:t>
      </w:r>
      <w:r>
        <w:rPr>
          <w:rFonts w:hint="eastAsia" w:ascii="Times New Roman" w:hAnsi="Times New Roman" w:eastAsia="仿宋" w:cs="Times New Roman"/>
          <w:color w:val="000000"/>
          <w:sz w:val="32"/>
          <w:szCs w:val="32"/>
          <w:lang w:val="en-US" w:eastAsia="zh-CN"/>
        </w:rPr>
        <w:t>398.78</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较2019年</w:t>
      </w:r>
      <w:r>
        <w:rPr>
          <w:rFonts w:hint="eastAsia" w:ascii="Times New Roman" w:hAnsi="Times New Roman" w:eastAsia="仿宋" w:cs="Times New Roman"/>
          <w:sz w:val="32"/>
          <w:szCs w:val="32"/>
          <w:lang w:eastAsia="zh-CN"/>
        </w:rPr>
        <w:t>减少</w:t>
      </w:r>
      <w:r>
        <w:rPr>
          <w:rFonts w:hint="eastAsia" w:ascii="Times New Roman" w:hAnsi="Times New Roman" w:eastAsia="仿宋" w:cs="Times New Roman"/>
          <w:sz w:val="32"/>
          <w:szCs w:val="32"/>
          <w:lang w:val="en-US" w:eastAsia="zh-CN"/>
        </w:rPr>
        <w:t>22.17</w:t>
      </w:r>
      <w:r>
        <w:rPr>
          <w:rFonts w:hint="eastAsia" w:ascii="Times New Roman" w:hAnsi="Times New Roman" w:eastAsia="仿宋" w:cs="Times New Roman"/>
          <w:sz w:val="32"/>
          <w:szCs w:val="32"/>
        </w:rPr>
        <w:t>万元，其中：基本支出</w:t>
      </w:r>
      <w:r>
        <w:rPr>
          <w:rFonts w:hint="eastAsia" w:ascii="Times New Roman" w:hAnsi="Times New Roman" w:eastAsia="仿宋" w:cs="Times New Roman"/>
          <w:sz w:val="32"/>
          <w:szCs w:val="32"/>
          <w:lang w:eastAsia="zh-CN"/>
        </w:rPr>
        <w:t>增加</w:t>
      </w:r>
      <w:r>
        <w:rPr>
          <w:rFonts w:hint="eastAsia" w:ascii="Times New Roman" w:hAnsi="Times New Roman" w:eastAsia="仿宋" w:cs="Times New Roman"/>
          <w:sz w:val="32"/>
          <w:szCs w:val="32"/>
          <w:lang w:val="en-US" w:eastAsia="zh-CN"/>
        </w:rPr>
        <w:t>0.83</w:t>
      </w:r>
      <w:r>
        <w:rPr>
          <w:rFonts w:hint="eastAsia" w:ascii="Times New Roman" w:hAnsi="Times New Roman" w:eastAsia="仿宋" w:cs="Times New Roman"/>
          <w:sz w:val="32"/>
          <w:szCs w:val="32"/>
        </w:rPr>
        <w:t>万元，</w:t>
      </w:r>
      <w:r>
        <w:rPr>
          <w:rFonts w:hint="eastAsia" w:ascii="仿宋" w:hAnsi="仿宋" w:eastAsia="仿宋" w:cs="仿宋"/>
          <w:sz w:val="30"/>
          <w:szCs w:val="30"/>
        </w:rPr>
        <w:t>原因是人员经费的增加</w:t>
      </w:r>
      <w:r>
        <w:rPr>
          <w:rFonts w:hint="eastAsia" w:ascii="Times New Roman" w:hAnsi="Times New Roman" w:eastAsia="仿宋" w:cs="Times New Roman"/>
          <w:sz w:val="32"/>
          <w:szCs w:val="32"/>
        </w:rPr>
        <w:t>；项目支出</w:t>
      </w:r>
      <w:r>
        <w:rPr>
          <w:rFonts w:hint="eastAsia" w:ascii="Times New Roman" w:hAnsi="Times New Roman" w:eastAsia="仿宋" w:cs="Times New Roman"/>
          <w:sz w:val="32"/>
          <w:szCs w:val="32"/>
          <w:lang w:eastAsia="zh-CN"/>
        </w:rPr>
        <w:t>减少</w:t>
      </w:r>
      <w:r>
        <w:rPr>
          <w:rFonts w:hint="eastAsia" w:ascii="Times New Roman" w:hAnsi="Times New Roman" w:eastAsia="仿宋" w:cs="Times New Roman"/>
          <w:sz w:val="32"/>
          <w:szCs w:val="32"/>
          <w:lang w:val="en-US" w:eastAsia="zh-CN"/>
        </w:rPr>
        <w:t>2</w:t>
      </w:r>
      <w:r>
        <w:rPr>
          <w:rFonts w:hint="eastAsia" w:ascii="Times New Roman" w:hAnsi="Times New Roman" w:eastAsia="仿宋" w:cs="Times New Roman"/>
          <w:sz w:val="32"/>
          <w:szCs w:val="32"/>
        </w:rPr>
        <w:t>3万元</w:t>
      </w:r>
      <w:r>
        <w:rPr>
          <w:rFonts w:hint="eastAsia" w:ascii="Times New Roman" w:hAnsi="Times New Roman" w:eastAsia="仿宋" w:cs="Times New Roman"/>
          <w:sz w:val="32"/>
          <w:szCs w:val="32"/>
          <w:lang w:eastAsia="zh-CN"/>
        </w:rPr>
        <w:t>，原因是比去年减少了</w:t>
      </w:r>
      <w:r>
        <w:rPr>
          <w:rFonts w:hint="eastAsia" w:ascii="仿宋" w:hAnsi="仿宋" w:eastAsia="仿宋" w:cs="仿宋"/>
          <w:sz w:val="30"/>
          <w:szCs w:val="30"/>
          <w:lang w:eastAsia="zh-CN"/>
        </w:rPr>
        <w:t>县级预算联网监督项目，并缩减了其他项目支出金额</w:t>
      </w:r>
      <w:r>
        <w:rPr>
          <w:rFonts w:hint="eastAsia" w:ascii="Times New Roman" w:hAnsi="Times New Roman" w:eastAsia="仿宋" w:cs="Times New Roman"/>
          <w:color w:val="0000FF"/>
          <w:sz w:val="32"/>
          <w:szCs w:val="32"/>
        </w:rPr>
        <w:t>。</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pPr>
        <w:spacing w:line="560" w:lineRule="exact"/>
        <w:ind w:firstLine="640"/>
        <w:rPr>
          <w:rFonts w:hint="eastAsia" w:ascii="仿宋" w:hAnsi="仿宋" w:eastAsia="仿宋" w:cs="仿宋"/>
          <w:sz w:val="30"/>
          <w:szCs w:val="30"/>
        </w:rPr>
      </w:pPr>
      <w:r>
        <w:rPr>
          <w:rFonts w:hint="eastAsia" w:ascii="Times New Roman" w:hAnsi="Times New Roman" w:eastAsia="仿宋" w:cs="Times New Roman"/>
          <w:sz w:val="32"/>
          <w:szCs w:val="32"/>
        </w:rPr>
        <w:t>2020年，我部门机关运行经费共计安排</w:t>
      </w:r>
      <w:r>
        <w:rPr>
          <w:rFonts w:hint="eastAsia" w:ascii="Times New Roman" w:hAnsi="Times New Roman" w:eastAsia="仿宋" w:cs="Times New Roman"/>
          <w:sz w:val="32"/>
          <w:szCs w:val="32"/>
          <w:lang w:val="en-US" w:eastAsia="zh-CN"/>
        </w:rPr>
        <w:t>33.17</w:t>
      </w:r>
      <w:r>
        <w:rPr>
          <w:rFonts w:hint="eastAsia" w:ascii="Times New Roman" w:hAnsi="Times New Roman" w:eastAsia="仿宋" w:cs="Times New Roman"/>
          <w:sz w:val="32"/>
          <w:szCs w:val="32"/>
        </w:rPr>
        <w:t>万元，</w:t>
      </w:r>
      <w:r>
        <w:rPr>
          <w:rFonts w:hint="eastAsia" w:ascii="仿宋" w:hAnsi="仿宋" w:eastAsia="仿宋" w:cs="仿宋"/>
          <w:sz w:val="30"/>
          <w:szCs w:val="30"/>
        </w:rPr>
        <w:t>主要用于</w:t>
      </w:r>
      <w:r>
        <w:rPr>
          <w:rFonts w:hint="eastAsia" w:ascii="仿宋" w:hAnsi="仿宋" w:eastAsia="仿宋" w:cs="仿宋"/>
          <w:sz w:val="30"/>
          <w:szCs w:val="30"/>
          <w:lang w:eastAsia="zh-CN"/>
        </w:rPr>
        <w:t>该部门</w:t>
      </w:r>
      <w:r>
        <w:rPr>
          <w:rFonts w:hint="eastAsia" w:ascii="仿宋" w:hAnsi="仿宋" w:eastAsia="仿宋" w:cs="仿宋"/>
          <w:sz w:val="30"/>
          <w:szCs w:val="30"/>
        </w:rPr>
        <w:t>的</w:t>
      </w:r>
      <w:r>
        <w:rPr>
          <w:rFonts w:hint="eastAsia" w:ascii="仿宋" w:hAnsi="仿宋" w:eastAsia="仿宋" w:cs="仿宋"/>
          <w:sz w:val="30"/>
          <w:szCs w:val="30"/>
          <w:lang w:eastAsia="zh-CN"/>
        </w:rPr>
        <w:t>各项公用经费</w:t>
      </w:r>
      <w:r>
        <w:rPr>
          <w:rFonts w:hint="eastAsia" w:ascii="仿宋" w:hAnsi="仿宋" w:eastAsia="仿宋" w:cs="仿宋"/>
          <w:sz w:val="30"/>
          <w:szCs w:val="30"/>
        </w:rPr>
        <w:t>，包括办公及印刷费、邮电费、差旅费、取暖费、公务用车运行维护费以及其他费用等日常运行支出。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2020年，我部门财政拨款“三公”经费预算安排</w:t>
      </w:r>
      <w:r>
        <w:rPr>
          <w:rFonts w:hint="eastAsia" w:ascii="Times New Roman" w:hAnsi="Times New Roman" w:eastAsia="仿宋" w:cs="Times New Roman"/>
          <w:sz w:val="32"/>
          <w:szCs w:val="32"/>
          <w:lang w:val="en-US" w:eastAsia="zh-CN"/>
        </w:rPr>
        <w:t>24.23</w:t>
      </w:r>
      <w:r>
        <w:rPr>
          <w:rFonts w:hint="eastAsia" w:ascii="Times New Roman" w:hAnsi="Times New Roman" w:eastAsia="仿宋" w:cs="Times New Roman"/>
          <w:sz w:val="32"/>
          <w:szCs w:val="32"/>
        </w:rPr>
        <w:t>万元，其中：因公出国（境）费</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万元；公务用车购置及运维费</w:t>
      </w:r>
      <w:r>
        <w:rPr>
          <w:rFonts w:hint="eastAsia" w:ascii="Times New Roman" w:hAnsi="Times New Roman" w:eastAsia="仿宋" w:cs="Times New Roman"/>
          <w:sz w:val="32"/>
          <w:szCs w:val="32"/>
          <w:lang w:val="en-US" w:eastAsia="zh-CN"/>
        </w:rPr>
        <w:t>8</w:t>
      </w:r>
      <w:r>
        <w:rPr>
          <w:rFonts w:hint="eastAsia" w:ascii="Times New Roman" w:hAnsi="Times New Roman" w:eastAsia="仿宋" w:cs="Times New Roman"/>
          <w:sz w:val="32"/>
          <w:szCs w:val="32"/>
        </w:rPr>
        <w:t>万元（其中：公务用车购置费0万元，公务用车运行维护费</w:t>
      </w:r>
      <w:r>
        <w:rPr>
          <w:rFonts w:hint="eastAsia" w:ascii="Times New Roman" w:hAnsi="Times New Roman" w:eastAsia="仿宋" w:cs="Times New Roman"/>
          <w:sz w:val="32"/>
          <w:szCs w:val="32"/>
          <w:lang w:val="en-US" w:eastAsia="zh-CN"/>
        </w:rPr>
        <w:t>8</w:t>
      </w:r>
      <w:r>
        <w:rPr>
          <w:rFonts w:hint="eastAsia" w:ascii="Times New Roman" w:hAnsi="Times New Roman" w:eastAsia="仿宋" w:cs="Times New Roman"/>
          <w:sz w:val="32"/>
          <w:szCs w:val="32"/>
        </w:rPr>
        <w:t>万元)；公务接待费</w:t>
      </w:r>
      <w:r>
        <w:rPr>
          <w:rFonts w:hint="eastAsia" w:ascii="Times New Roman" w:hAnsi="Times New Roman" w:eastAsia="仿宋" w:cs="Times New Roman"/>
          <w:sz w:val="32"/>
          <w:szCs w:val="32"/>
          <w:lang w:val="en-US" w:eastAsia="zh-CN"/>
        </w:rPr>
        <w:t>0.23</w:t>
      </w:r>
      <w:r>
        <w:rPr>
          <w:rFonts w:hint="eastAsia" w:ascii="Times New Roman" w:hAnsi="Times New Roman" w:eastAsia="仿宋" w:cs="Times New Roman"/>
          <w:sz w:val="32"/>
          <w:szCs w:val="32"/>
        </w:rPr>
        <w:t>万元。“三公”经费</w:t>
      </w:r>
      <w:r>
        <w:rPr>
          <w:rFonts w:hint="eastAsia" w:ascii="Times New Roman" w:hAnsi="Times New Roman" w:eastAsia="仿宋" w:cs="Times New Roman"/>
          <w:sz w:val="32"/>
          <w:szCs w:val="32"/>
          <w:lang w:eastAsia="zh-CN"/>
        </w:rPr>
        <w:t>与</w:t>
      </w:r>
      <w:r>
        <w:rPr>
          <w:rFonts w:hint="eastAsia" w:ascii="Times New Roman" w:hAnsi="Times New Roman" w:eastAsia="仿宋" w:cs="Times New Roman"/>
          <w:sz w:val="32"/>
          <w:szCs w:val="32"/>
        </w:rPr>
        <w:t>上年持平，无增减变化。</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pPr>
        <w:ind w:firstLine="640" w:firstLineChars="200"/>
        <w:jc w:val="left"/>
        <w:rPr>
          <w:rFonts w:ascii="Times New Roman" w:hAnsi="Times New Roman" w:eastAsia="仿宋" w:cs="Times New Roman"/>
          <w:sz w:val="32"/>
          <w:szCs w:val="32"/>
        </w:rPr>
      </w:pPr>
      <w:bookmarkStart w:id="0" w:name="_Toc471398463"/>
      <w:r>
        <w:rPr>
          <w:rFonts w:hint="eastAsia" w:ascii="Times New Roman" w:hAnsi="Times New Roman" w:eastAsia="方正仿宋_GBK" w:cs="Times New Roman"/>
          <w:b/>
          <w:sz w:val="32"/>
          <w:szCs w:val="32"/>
        </w:rPr>
        <w:t>第一部分  部门整体绩效目标</w:t>
      </w:r>
    </w:p>
    <w:p>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（一）总体绩效目标</w:t>
      </w:r>
      <w:bookmarkStart w:id="1" w:name="_Toc29484628"/>
      <w:bookmarkEnd w:id="1"/>
      <w:r>
        <w:rPr>
          <w:rFonts w:hint="eastAsia" w:ascii="Times New Roman" w:hAnsi="Times New Roman" w:eastAsia="方正仿宋_GBK" w:cs="Times New Roman"/>
          <w:b/>
          <w:vanish/>
          <w:sz w:val="32"/>
          <w:szCs w:val="32"/>
        </w:rPr>
        <w:t>{ TC 总体绩效目标 \f A \l 1 }</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ind w:firstLine="560"/>
        <w:rPr>
          <w:rFonts w:ascii="新宋体" w:hAnsi="新宋体" w:eastAsia="新宋体"/>
          <w:sz w:val="28"/>
        </w:rPr>
      </w:pPr>
      <w:r>
        <w:rPr>
          <w:rFonts w:ascii="新宋体" w:hAnsi="新宋体" w:eastAsia="新宋体"/>
          <w:sz w:val="28"/>
        </w:rPr>
        <w:t>2020年是落实我区“十三五”规划的关键一年，也是区十五届人大及其常委会深入学习贯彻习近平总书记关于坚持和完善人民代表大会重要思想，保持和巩固“不忘初心、牢记使命”主题教育成果，推动全区人大工作再上新台阶的重要一年，做好今年的工作意义十分重大。在新的一年里，我们将在中共井陉矿区委的坚强领导下，全面</w:t>
      </w:r>
      <w:r>
        <w:rPr>
          <w:rFonts w:hint="eastAsia" w:ascii="新宋体" w:hAnsi="新宋体" w:eastAsia="新宋体"/>
          <w:sz w:val="28"/>
          <w:lang w:eastAsia="zh-CN"/>
        </w:rPr>
        <w:t>学习贯彻习近平新时代中国特色社会主义思想和党的十九大精神</w:t>
      </w:r>
      <w:r>
        <w:rPr>
          <w:rFonts w:ascii="新宋体" w:hAnsi="新宋体" w:eastAsia="新宋体"/>
          <w:sz w:val="28"/>
        </w:rPr>
        <w:t>，紧紧围绕“加快跨越转型，推进绿色发展，建设绿色矿区”的奋斗目标和区委十一届六次全会决策部署，主动适应经济发展新常态，围绕中心，服务大局，依法履职，不断加大监督力度，持续开展工作创新，充分发挥人大制度的特点和优势，积极回应群众关切，为全面建成小康社会，加快跨越转型、推进绿色发展、建设幸福矿区做出应有的贡献。</w:t>
      </w:r>
    </w:p>
    <w:p>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（二）分项绩效目标</w:t>
      </w:r>
      <w:bookmarkStart w:id="2" w:name="_Toc29484629"/>
      <w:bookmarkEnd w:id="2"/>
      <w:r>
        <w:rPr>
          <w:rFonts w:hint="eastAsia" w:ascii="Times New Roman" w:hAnsi="Times New Roman" w:eastAsia="方正仿宋_GBK" w:cs="Times New Roman"/>
          <w:b/>
          <w:vanish/>
          <w:sz w:val="32"/>
          <w:szCs w:val="32"/>
        </w:rPr>
        <w:t>{ TC 分项绩效目标 \f A \l 1 }</w:t>
      </w:r>
    </w:p>
    <w:p>
      <w:pPr>
        <w:pStyle w:val="15"/>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rPr>
          <w:rFonts w:ascii="Times New Roman" w:hAnsi="Times New Roman" w:eastAsia="Times New Roman"/>
          <w:sz w:val="32"/>
        </w:rPr>
      </w:pPr>
      <w:r>
        <w:rPr>
          <w:sz w:val="32"/>
        </w:rPr>
        <w:t>1、会议费</w:t>
      </w:r>
    </w:p>
    <w:p>
      <w:pPr>
        <w:pStyle w:val="15"/>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rPr>
          <w:rFonts w:ascii="Times New Roman" w:hAnsi="Times New Roman" w:eastAsia="Times New Roman"/>
          <w:sz w:val="32"/>
        </w:rPr>
      </w:pPr>
      <w:r>
        <w:rPr>
          <w:sz w:val="32"/>
        </w:rPr>
        <w:t xml:space="preserve">   绩效目标：圆满完成全会</w:t>
      </w:r>
    </w:p>
    <w:p>
      <w:pPr>
        <w:pStyle w:val="15"/>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rPr>
          <w:rFonts w:ascii="Times New Roman" w:hAnsi="Times New Roman" w:eastAsia="Times New Roman"/>
          <w:sz w:val="32"/>
        </w:rPr>
      </w:pPr>
      <w:r>
        <w:rPr>
          <w:sz w:val="32"/>
        </w:rPr>
        <w:t xml:space="preserve">   绩效指标：每年年初全区</w:t>
      </w:r>
      <w:r>
        <w:rPr>
          <w:rFonts w:ascii="Times New Roman" w:hAnsi="Times New Roman" w:eastAsia="Times New Roman"/>
          <w:sz w:val="32"/>
        </w:rPr>
        <w:t>“</w:t>
      </w:r>
      <w:r>
        <w:rPr>
          <w:sz w:val="32"/>
        </w:rPr>
        <w:t>两会</w:t>
      </w:r>
      <w:r>
        <w:rPr>
          <w:rFonts w:ascii="Times New Roman" w:hAnsi="Times New Roman" w:eastAsia="Times New Roman"/>
          <w:sz w:val="32"/>
        </w:rPr>
        <w:t>”</w:t>
      </w:r>
      <w:r>
        <w:rPr>
          <w:sz w:val="32"/>
        </w:rPr>
        <w:t>的文字印刷后勤保障等</w:t>
      </w:r>
    </w:p>
    <w:p>
      <w:pPr>
        <w:pStyle w:val="15"/>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rPr>
          <w:rFonts w:ascii="Times New Roman" w:hAnsi="Times New Roman" w:eastAsia="Times New Roman"/>
          <w:sz w:val="32"/>
        </w:rPr>
      </w:pPr>
      <w:r>
        <w:rPr>
          <w:sz w:val="32"/>
        </w:rPr>
        <w:t>2、学习调研考察</w:t>
      </w:r>
    </w:p>
    <w:p>
      <w:pPr>
        <w:pStyle w:val="15"/>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rPr>
          <w:rFonts w:ascii="Times New Roman" w:hAnsi="Times New Roman" w:eastAsia="Times New Roman"/>
          <w:sz w:val="32"/>
        </w:rPr>
      </w:pPr>
      <w:r>
        <w:rPr>
          <w:sz w:val="32"/>
        </w:rPr>
        <w:t xml:space="preserve">   绩效目标：组织委员外出学习调研考察</w:t>
      </w:r>
    </w:p>
    <w:p>
      <w:pPr>
        <w:pStyle w:val="15"/>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rPr>
          <w:rFonts w:ascii="Times New Roman" w:hAnsi="Times New Roman" w:eastAsia="Times New Roman"/>
          <w:sz w:val="32"/>
        </w:rPr>
      </w:pPr>
      <w:r>
        <w:rPr>
          <w:sz w:val="32"/>
        </w:rPr>
        <w:t xml:space="preserve">   绩效指标：委员学习调研考察不少于4次</w:t>
      </w:r>
    </w:p>
    <w:p>
      <w:pPr>
        <w:pStyle w:val="15"/>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rPr>
          <w:rFonts w:ascii="Times New Roman" w:hAnsi="Times New Roman" w:eastAsia="Times New Roman"/>
          <w:sz w:val="32"/>
        </w:rPr>
      </w:pPr>
      <w:r>
        <w:rPr>
          <w:sz w:val="32"/>
        </w:rPr>
        <w:t>3、人大代表活动经费</w:t>
      </w:r>
    </w:p>
    <w:p>
      <w:pPr>
        <w:pStyle w:val="15"/>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rPr>
          <w:rFonts w:ascii="Times New Roman" w:hAnsi="Times New Roman" w:eastAsia="Times New Roman"/>
          <w:sz w:val="32"/>
        </w:rPr>
      </w:pPr>
      <w:r>
        <w:rPr>
          <w:sz w:val="32"/>
        </w:rPr>
        <w:t xml:space="preserve">  绩效目标：组织代表开展活动，为我区发展提出意见和建议</w:t>
      </w:r>
    </w:p>
    <w:p>
      <w:pPr>
        <w:pStyle w:val="15"/>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rPr>
          <w:rFonts w:ascii="Times New Roman" w:hAnsi="Times New Roman" w:eastAsia="Times New Roman"/>
          <w:sz w:val="32"/>
        </w:rPr>
      </w:pPr>
      <w:r>
        <w:rPr>
          <w:sz w:val="32"/>
        </w:rPr>
        <w:t xml:space="preserve">  绩效指标：组织代表召开常委会、座谈会，通过视察调研等形式为全区发展提出合理化意见和建议</w:t>
      </w:r>
    </w:p>
    <w:p>
      <w:pPr>
        <w:pStyle w:val="15"/>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rPr>
          <w:rFonts w:ascii="Times New Roman" w:hAnsi="Times New Roman" w:eastAsia="Times New Roman"/>
          <w:sz w:val="32"/>
        </w:rPr>
      </w:pPr>
      <w:r>
        <w:rPr>
          <w:sz w:val="32"/>
        </w:rPr>
        <w:t>4、印刷经费</w:t>
      </w:r>
    </w:p>
    <w:p>
      <w:pPr>
        <w:pStyle w:val="15"/>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rPr>
          <w:rFonts w:ascii="Times New Roman" w:hAnsi="Times New Roman" w:eastAsia="Times New Roman"/>
          <w:sz w:val="32"/>
        </w:rPr>
      </w:pPr>
      <w:r>
        <w:rPr>
          <w:sz w:val="32"/>
        </w:rPr>
        <w:t xml:space="preserve">   绩效目标：人大红头文件、学习资料、公告、代表履职手册等印刷。</w:t>
      </w:r>
    </w:p>
    <w:p>
      <w:pPr>
        <w:pStyle w:val="15"/>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rPr>
          <w:rFonts w:ascii="Times New Roman" w:hAnsi="Times New Roman" w:eastAsia="Times New Roman"/>
          <w:sz w:val="32"/>
        </w:rPr>
      </w:pPr>
      <w:r>
        <w:rPr>
          <w:sz w:val="32"/>
        </w:rPr>
        <w:t xml:space="preserve">   绩效指标：完成各项印刷</w:t>
      </w:r>
    </w:p>
    <w:p>
      <w:pPr>
        <w:pStyle w:val="15"/>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rPr>
          <w:rFonts w:ascii="Times New Roman" w:hAnsi="Times New Roman" w:eastAsia="Times New Roman"/>
          <w:sz w:val="32"/>
        </w:rPr>
      </w:pPr>
      <w:r>
        <w:rPr>
          <w:sz w:val="32"/>
        </w:rPr>
        <w:t>5、预决算集中审查经费</w:t>
      </w:r>
    </w:p>
    <w:p>
      <w:pPr>
        <w:pStyle w:val="15"/>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rPr>
          <w:rFonts w:ascii="Times New Roman" w:hAnsi="Times New Roman" w:eastAsia="Times New Roman"/>
          <w:sz w:val="32"/>
        </w:rPr>
      </w:pPr>
      <w:r>
        <w:rPr>
          <w:sz w:val="32"/>
        </w:rPr>
        <w:t xml:space="preserve">    绩效目标：完成对财政预算集中审查</w:t>
      </w:r>
    </w:p>
    <w:p>
      <w:pPr>
        <w:pStyle w:val="15"/>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rPr>
          <w:rFonts w:ascii="Times New Roman" w:hAnsi="Times New Roman" w:eastAsia="Times New Roman"/>
          <w:sz w:val="32"/>
        </w:rPr>
      </w:pPr>
      <w:r>
        <w:rPr>
          <w:sz w:val="32"/>
        </w:rPr>
        <w:t xml:space="preserve">    绩效指标：</w:t>
      </w:r>
      <w:r>
        <w:rPr>
          <w:rFonts w:ascii="宋体" w:hAnsi="宋体" w:eastAsia="宋体"/>
          <w:sz w:val="32"/>
        </w:rPr>
        <w:t>规范政府收支行为对财政预决算进行集中审查</w:t>
      </w:r>
    </w:p>
    <w:p>
      <w:pPr>
        <w:pStyle w:val="15"/>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rPr>
          <w:rFonts w:ascii="Times New Roman" w:hAnsi="Times New Roman" w:eastAsia="Times New Roman"/>
          <w:sz w:val="32"/>
        </w:rPr>
      </w:pPr>
      <w:r>
        <w:rPr>
          <w:sz w:val="32"/>
        </w:rPr>
        <w:t>6、党建工作经费：</w:t>
      </w:r>
    </w:p>
    <w:p>
      <w:pPr>
        <w:pStyle w:val="15"/>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rPr>
          <w:rFonts w:ascii="Times New Roman" w:hAnsi="Times New Roman" w:eastAsia="Times New Roman"/>
          <w:sz w:val="32"/>
        </w:rPr>
      </w:pPr>
      <w:r>
        <w:rPr>
          <w:sz w:val="32"/>
        </w:rPr>
        <w:t xml:space="preserve">    绩效目标：为党建工作提供保障</w:t>
      </w:r>
    </w:p>
    <w:p>
      <w:pPr>
        <w:pStyle w:val="15"/>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rPr>
          <w:rFonts w:ascii="Times New Roman" w:hAnsi="Times New Roman" w:eastAsia="Times New Roman"/>
          <w:sz w:val="32"/>
        </w:rPr>
      </w:pPr>
      <w:r>
        <w:rPr>
          <w:sz w:val="32"/>
        </w:rPr>
        <w:t xml:space="preserve">    绩效指标：购买些党建办公用品及展牌等</w:t>
      </w:r>
    </w:p>
    <w:p>
      <w:pPr>
        <w:pStyle w:val="15"/>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rPr>
          <w:rFonts w:ascii="Times New Roman" w:hAnsi="Times New Roman" w:eastAsia="Times New Roman"/>
          <w:sz w:val="32"/>
        </w:rPr>
      </w:pPr>
      <w:r>
        <w:rPr>
          <w:sz w:val="32"/>
        </w:rPr>
        <w:t>7、人大代表之家（站）运行经费</w:t>
      </w:r>
    </w:p>
    <w:p>
      <w:pPr>
        <w:pStyle w:val="15"/>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rPr>
          <w:rFonts w:ascii="Times New Roman" w:hAnsi="Times New Roman" w:eastAsia="Times New Roman"/>
          <w:sz w:val="32"/>
        </w:rPr>
      </w:pPr>
      <w:r>
        <w:rPr>
          <w:sz w:val="32"/>
        </w:rPr>
        <w:t xml:space="preserve">   绩效目标：代表之家（站）升级改造，为代表履职搭建良好平台</w:t>
      </w:r>
    </w:p>
    <w:p>
      <w:pPr>
        <w:pStyle w:val="15"/>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rPr>
          <w:rFonts w:ascii="Times New Roman" w:hAnsi="Times New Roman" w:eastAsia="Times New Roman"/>
          <w:sz w:val="32"/>
        </w:rPr>
      </w:pPr>
      <w:r>
        <w:rPr>
          <w:sz w:val="32"/>
        </w:rPr>
        <w:t xml:space="preserve">   绩效指标：代表之家（站）日常运作费用，为代表提供服务</w:t>
      </w:r>
    </w:p>
    <w:p>
      <w:pPr>
        <w:pStyle w:val="15"/>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rPr>
          <w:rFonts w:ascii="Times New Roman" w:hAnsi="Times New Roman" w:eastAsia="Times New Roman"/>
          <w:sz w:val="32"/>
        </w:rPr>
      </w:pPr>
      <w:r>
        <w:rPr>
          <w:sz w:val="32"/>
        </w:rPr>
        <w:t>8、专门委员会活动经费</w:t>
      </w:r>
    </w:p>
    <w:p>
      <w:pPr>
        <w:pStyle w:val="15"/>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rPr>
          <w:rFonts w:ascii="Times New Roman" w:hAnsi="Times New Roman" w:eastAsia="Times New Roman"/>
          <w:sz w:val="32"/>
        </w:rPr>
      </w:pPr>
      <w:r>
        <w:rPr>
          <w:sz w:val="32"/>
        </w:rPr>
        <w:t xml:space="preserve">   绩效目标：</w:t>
      </w:r>
      <w:r>
        <w:rPr>
          <w:rFonts w:ascii="宋体" w:hAnsi="宋体" w:eastAsia="宋体"/>
          <w:sz w:val="32"/>
        </w:rPr>
        <w:t>根据2020年工作安排，人大办及各工作委员会、老干部科、信访科开展各项活动产生的办公差旅印刷会议等费用</w:t>
      </w:r>
    </w:p>
    <w:p>
      <w:pPr>
        <w:pStyle w:val="15"/>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rPr>
          <w:rFonts w:ascii="Times New Roman" w:hAnsi="Times New Roman" w:eastAsia="Times New Roman"/>
          <w:sz w:val="32"/>
        </w:rPr>
      </w:pPr>
      <w:r>
        <w:rPr>
          <w:sz w:val="32"/>
        </w:rPr>
        <w:t xml:space="preserve">   绩效指标：保障各委办各项工作顺利开展</w:t>
      </w:r>
    </w:p>
    <w:p>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（三）工作保障措施</w:t>
      </w:r>
      <w:bookmarkStart w:id="3" w:name="_Toc29484630"/>
      <w:bookmarkEnd w:id="3"/>
      <w:r>
        <w:rPr>
          <w:rFonts w:hint="eastAsia" w:ascii="Times New Roman" w:hAnsi="Times New Roman" w:eastAsia="方正仿宋_GBK" w:cs="Times New Roman"/>
          <w:b/>
          <w:vanish/>
          <w:sz w:val="32"/>
          <w:szCs w:val="32"/>
        </w:rPr>
        <w:t>{ TC 工作保障措施 \f A \l 1 }</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rPr>
          <w:rFonts w:ascii="新宋体" w:hAnsi="新宋体" w:eastAsia="新宋体"/>
          <w:sz w:val="28"/>
        </w:rPr>
      </w:pPr>
      <w:r>
        <w:rPr>
          <w:rFonts w:hint="eastAsia" w:ascii="Times New Roman" w:hAnsi="Times New Roman" w:eastAsia="仿宋" w:cs="Times New Roman"/>
          <w:sz w:val="32"/>
          <w:szCs w:val="32"/>
          <w:lang w:eastAsia="zh-CN"/>
        </w:rPr>
        <w:t>一、</w:t>
      </w:r>
      <w:r>
        <w:rPr>
          <w:rFonts w:ascii="新宋体" w:hAnsi="新宋体" w:eastAsia="新宋体"/>
          <w:sz w:val="28"/>
        </w:rPr>
        <w:t>不断深化监督工作；二、依法决定重大事项；三、深化选举任免工作；四、发挥代表主体作用；五、提升依法履职能力；六、继续加大创新力度。</w:t>
      </w:r>
    </w:p>
    <w:p>
      <w:pPr>
        <w:autoSpaceDE w:val="0"/>
        <w:autoSpaceDN w:val="0"/>
        <w:adjustRightInd w:val="0"/>
        <w:ind w:left="198" w:firstLine="640" w:firstLineChars="200"/>
        <w:jc w:val="left"/>
        <w:rPr>
          <w:rFonts w:hint="eastAsia" w:ascii="Times New Roman" w:hAnsi="Times New Roman" w:eastAsia="方正仿宋_GBK" w:cs="Times New Roman"/>
          <w:b/>
          <w:sz w:val="32"/>
          <w:szCs w:val="32"/>
        </w:rPr>
        <w:sectPr>
          <w:pgSz w:w="11906" w:h="16838"/>
          <w:pgMar w:top="1021" w:right="1361" w:bottom="1021" w:left="1361" w:header="851" w:footer="992" w:gutter="0"/>
          <w:cols w:space="720" w:num="1"/>
          <w:docGrid w:type="lines" w:linePitch="312" w:charSpace="0"/>
        </w:sectPr>
      </w:pPr>
    </w:p>
    <w:p>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第二部分  预算项目绩效目标</w:t>
      </w:r>
    </w:p>
    <w:p>
      <w:pPr>
        <w:ind w:firstLine="420" w:firstLineChars="200"/>
        <w:jc w:val="left"/>
        <w:outlineLvl w:val="1"/>
        <w:rPr>
          <w:rFonts w:ascii="Times New Roman" w:hAnsi="宋体"/>
          <w:b/>
          <w:sz w:val="28"/>
        </w:rPr>
      </w:pPr>
      <w:r>
        <w:object>
          <v:shape id="_x0000_i1025" o:spt="75" type="#_x0000_t75" style="height:455.15pt;width:722.75pt;" o:ole="t" filled="f" o:preferrelative="t" stroked="f" coordsize="21600,21600">
            <v:path/>
            <v:fill on="f" focussize="0,0"/>
            <v:stroke on="f" color="#000000"/>
            <v:imagedata r:id="rId6" o:title="image1"/>
            <o:lock v:ext="edit" aspectratio="t"/>
            <w10:wrap type="none"/>
            <w10:anchorlock/>
          </v:shape>
          <o:OLEObject Type="Embed" ProgID="Package" ShapeID="_x0000_i1025" DrawAspect="Content" ObjectID="_1468075725" r:id="rId5">
            <o:LockedField>false</o:LockedField>
          </o:OLEObject>
        </w:object>
      </w:r>
      <w:r>
        <w:object>
          <v:shape id="_x0000_i1026" o:spt="75" type="#_x0000_t75" style="height:470.2pt;width:731.25pt;" o:ole="t" filled="f" o:preferrelative="t" stroked="f" coordsize="21600,21600">
            <v:path/>
            <v:fill on="f" focussize="0,0"/>
            <v:stroke on="f" color="#000000"/>
            <v:imagedata r:id="rId8" o:title="image2"/>
            <o:lock v:ext="edit" aspectratio="t"/>
            <w10:wrap type="none"/>
            <w10:anchorlock/>
          </v:shape>
          <o:OLEObject Type="Embed" ProgID="Package" ShapeID="_x0000_i1026" DrawAspect="Content" ObjectID="_1468075726" r:id="rId7">
            <o:LockedField>false</o:LockedField>
          </o:OLEObject>
        </w:object>
      </w:r>
      <w:r>
        <w:object>
          <v:shape id="_x0000_i1027" o:spt="75" type="#_x0000_t75" style="height:460.5pt;width:731.25pt;" o:ole="t" filled="f" o:preferrelative="t" stroked="f" coordsize="21600,21600">
            <v:path/>
            <v:fill on="f" focussize="0,0"/>
            <v:stroke on="f" color="#000000"/>
            <v:imagedata r:id="rId10" o:title="image3"/>
            <o:lock v:ext="edit" aspectratio="t"/>
            <w10:wrap type="none"/>
            <w10:anchorlock/>
          </v:shape>
          <o:OLEObject Type="Embed" ProgID="Package" ShapeID="_x0000_i1027" DrawAspect="Content" ObjectID="_1468075727" r:id="rId9">
            <o:LockedField>false</o:LockedField>
          </o:OLEObject>
        </w:object>
      </w:r>
      <w:r>
        <w:object>
          <v:shape id="_x0000_i1028" o:spt="75" type="#_x0000_t75" style="height:437.2pt;width:731.25pt;" o:ole="t" filled="f" o:preferrelative="t" stroked="f" coordsize="21600,21600">
            <v:path/>
            <v:fill on="f" focussize="0,0"/>
            <v:stroke on="f" color="#000000"/>
            <v:imagedata r:id="rId12" o:title="image4"/>
            <o:lock v:ext="edit" aspectratio="t"/>
            <w10:wrap type="none"/>
            <w10:anchorlock/>
          </v:shape>
          <o:OLEObject Type="Embed" ProgID="Package" ShapeID="_x0000_i1028" DrawAspect="Content" ObjectID="_1468075728" r:id="rId11">
            <o:LockedField>false</o:LockedField>
          </o:OLEObject>
        </w:object>
      </w:r>
      <w:r>
        <w:object>
          <v:shape id="_x0000_i1029" o:spt="75" type="#_x0000_t75" style="height:460.5pt;width:731.25pt;" o:ole="t" filled="f" o:preferrelative="t" stroked="f" coordsize="21600,21600">
            <v:path/>
            <v:fill on="f" focussize="0,0"/>
            <v:stroke on="f" color="#000000"/>
            <v:imagedata r:id="rId14" o:title="image5"/>
            <o:lock v:ext="edit" aspectratio="t"/>
            <w10:wrap type="none"/>
            <w10:anchorlock/>
          </v:shape>
          <o:OLEObject Type="Embed" ProgID="Package" ShapeID="_x0000_i1029" DrawAspect="Content" ObjectID="_1468075729" r:id="rId13">
            <o:LockedField>false</o:LockedField>
          </o:OLEObject>
        </w:object>
      </w:r>
      <w:r>
        <w:object>
          <v:shape id="_x0000_i1030" o:spt="75" type="#_x0000_t75" style="height:460.5pt;width:731.25pt;" o:ole="t" filled="f" o:preferrelative="t" stroked="f" coordsize="21600,21600">
            <v:path/>
            <v:fill on="f" focussize="0,0"/>
            <v:stroke on="f" color="#000000"/>
            <v:imagedata r:id="rId16" o:title="image6"/>
            <o:lock v:ext="edit" aspectratio="t"/>
            <w10:wrap type="none"/>
            <w10:anchorlock/>
          </v:shape>
          <o:OLEObject Type="Embed" ProgID="Package" ShapeID="_x0000_i1030" DrawAspect="Content" ObjectID="_1468075730" r:id="rId15">
            <o:LockedField>false</o:LockedField>
          </o:OLEObject>
        </w:object>
      </w:r>
      <w:r>
        <w:object>
          <v:shape id="_x0000_i1031" o:spt="75" type="#_x0000_t75" style="height:437.2pt;width:731.25pt;" o:ole="t" filled="f" o:preferrelative="t" stroked="f" coordsize="21600,21600">
            <v:path/>
            <v:fill on="f" focussize="0,0"/>
            <v:stroke on="f" color="#000000"/>
            <v:imagedata r:id="rId18" o:title="image7"/>
            <o:lock v:ext="edit" aspectratio="t"/>
            <w10:wrap type="none"/>
            <w10:anchorlock/>
          </v:shape>
          <o:OLEObject Type="Embed" ProgID="Package" ShapeID="_x0000_i1031" DrawAspect="Content" ObjectID="_1468075731" r:id="rId17">
            <o:LockedField>false</o:LockedField>
          </o:OLEObject>
        </w:object>
      </w:r>
      <w:r>
        <w:object>
          <v:shape id="_x0000_i1032" o:spt="75" type="#_x0000_t75" style="height:460.5pt;width:731.25pt;" o:ole="t" filled="f" o:preferrelative="t" stroked="f" coordsize="21600,21600">
            <v:path/>
            <v:fill on="f" focussize="0,0"/>
            <v:stroke on="f" color="#000000"/>
            <v:imagedata r:id="rId20" o:title="image8"/>
            <o:lock v:ext="edit" aspectratio="t"/>
            <w10:wrap type="none"/>
            <w10:anchorlock/>
          </v:shape>
          <o:OLEObject Type="Embed" ProgID="Package" ShapeID="_x0000_i1032" DrawAspect="Content" ObjectID="_1468075732" r:id="rId19">
            <o:LockedField>false</o:LockedField>
          </o:OLEObject>
        </w:object>
      </w:r>
      <w:r>
        <w:object>
          <v:shape id="_x0000_i1033" o:spt="75" type="#_x0000_t75" style="height:484.5pt;width:731.25pt;" o:ole="t" filled="f" o:preferrelative="t" stroked="f" coordsize="21600,21600">
            <v:path/>
            <v:fill on="f" focussize="0,0"/>
            <v:stroke on="f" color="#000000"/>
            <v:imagedata r:id="rId22" o:title="image9"/>
            <o:lock v:ext="edit" aspectratio="t"/>
            <w10:wrap type="none"/>
            <w10:anchorlock/>
          </v:shape>
          <o:OLEObject Type="Embed" ProgID="Package" ShapeID="_x0000_i1033" DrawAspect="Content" ObjectID="_1468075733" r:id="rId21">
            <o:LockedField>false</o:LockedField>
          </o:OLEObject>
        </w:object>
      </w:r>
      <w:bookmarkStart w:id="4" w:name="_Toc29484641"/>
      <w:bookmarkEnd w:id="4"/>
      <w:r>
        <w:rPr>
          <w:rFonts w:ascii="方正仿宋_GBK" w:eastAsia="方正仿宋_GBK"/>
          <w:b/>
          <w:vanish/>
          <w:sz w:val="28"/>
        </w:rPr>
        <w:t xml:space="preserve">{ </w:t>
      </w:r>
      <w:r>
        <w:rPr>
          <w:rFonts w:hint="eastAsia" w:ascii="方正仿宋_GBK" w:eastAsia="方正仿宋_GBK"/>
          <w:b/>
          <w:vanish/>
          <w:sz w:val="28"/>
        </w:rPr>
        <w:t>TC 10、省人大办公厅办公用房修缮及基础设施改造资金（预内基建）绩效目标表 \f C \l 1</w:t>
      </w:r>
      <w:r>
        <w:rPr>
          <w:rFonts w:ascii="方正仿宋_GBK" w:eastAsia="方正仿宋_GBK"/>
          <w:b/>
          <w:vanish/>
          <w:sz w:val="28"/>
        </w:rPr>
        <w:t xml:space="preserve"> }</w:t>
      </w:r>
    </w:p>
    <w:bookmarkEnd w:id="0"/>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pPr>
        <w:ind w:firstLine="640" w:firstLineChars="200"/>
        <w:outlineLvl w:val="0"/>
        <w:rPr>
          <w:rFonts w:ascii="Times New Roman" w:hAnsi="Times New Roman" w:eastAsia="仿宋" w:cs="Times New Roman"/>
          <w:sz w:val="32"/>
          <w:szCs w:val="24"/>
        </w:rPr>
      </w:pPr>
      <w:bookmarkStart w:id="5" w:name="_Toc471398468"/>
      <w:r>
        <w:rPr>
          <w:rFonts w:ascii="Times New Roman" w:hAnsi="Times New Roman" w:eastAsia="仿宋" w:cs="Times New Roman"/>
          <w:sz w:val="32"/>
          <w:szCs w:val="24"/>
        </w:rPr>
        <w:t xml:space="preserve"> 20</w:t>
      </w:r>
      <w:r>
        <w:rPr>
          <w:rFonts w:hint="eastAsia" w:ascii="Times New Roman" w:hAnsi="Times New Roman" w:eastAsia="仿宋" w:cs="Times New Roman"/>
          <w:sz w:val="32"/>
          <w:szCs w:val="24"/>
        </w:rPr>
        <w:t>20</w:t>
      </w:r>
      <w:r>
        <w:rPr>
          <w:rFonts w:ascii="Times New Roman" w:hAnsi="Times New Roman" w:eastAsia="仿宋" w:cs="Times New Roman"/>
          <w:sz w:val="32"/>
          <w:szCs w:val="24"/>
        </w:rPr>
        <w:t>年，</w:t>
      </w:r>
      <w:r>
        <w:rPr>
          <w:rFonts w:hint="eastAsia" w:ascii="Times New Roman" w:hAnsi="Times New Roman" w:eastAsia="仿宋" w:cs="Times New Roman"/>
          <w:sz w:val="32"/>
          <w:szCs w:val="24"/>
        </w:rPr>
        <w:t>我部门</w:t>
      </w:r>
      <w:r>
        <w:rPr>
          <w:rFonts w:ascii="Times New Roman" w:hAnsi="Times New Roman" w:eastAsia="仿宋" w:cs="Times New Roman"/>
          <w:sz w:val="32"/>
          <w:szCs w:val="24"/>
        </w:rPr>
        <w:t>安排政府采购预算</w:t>
      </w:r>
      <w:r>
        <w:rPr>
          <w:rFonts w:hint="eastAsia" w:ascii="Times New Roman" w:hAnsi="Times New Roman" w:eastAsia="仿宋" w:cs="Times New Roman"/>
          <w:sz w:val="32"/>
          <w:szCs w:val="24"/>
          <w:lang w:val="en-US" w:eastAsia="zh-CN"/>
        </w:rPr>
        <w:t>20.9</w:t>
      </w:r>
      <w:r>
        <w:rPr>
          <w:rFonts w:ascii="Times New Roman" w:hAnsi="Times New Roman" w:eastAsia="仿宋" w:cs="Times New Roman"/>
          <w:sz w:val="32"/>
          <w:szCs w:val="24"/>
        </w:rPr>
        <w:t>万元。具体内容见下表。</w:t>
      </w:r>
      <w:bookmarkEnd w:id="5"/>
    </w:p>
    <w:p>
      <w:pPr>
        <w:spacing w:line="240" w:lineRule="auto"/>
        <w:ind w:firstLine="640" w:firstLineChars="200"/>
        <w:jc w:val="center"/>
        <w:outlineLvl w:val="0"/>
        <w:rPr>
          <w:rFonts w:hint="eastAsia" w:ascii="Times New Roman" w:hAnsi="宋体" w:eastAsia="宋体" w:cs="宋体"/>
          <w:b/>
          <w:sz w:val="32"/>
          <w:u w:val="none"/>
          <w:lang w:eastAsia="zh-CN"/>
        </w:rPr>
      </w:pPr>
      <w:r>
        <w:rPr>
          <w:rFonts w:hint="eastAsia" w:ascii="方正小标宋_GBK" w:hAnsi="方正小标宋_GBK" w:eastAsia="方正小标宋_GBK" w:cs="方正小标宋_GBK"/>
          <w:b/>
          <w:sz w:val="32"/>
          <w:u w:val="none"/>
          <w:lang w:eastAsia="zh-CN"/>
        </w:rPr>
        <w:t>部门政府采购预算</w:t>
      </w:r>
      <w:bookmarkStart w:id="6" w:name="_Toc12989"/>
      <w:bookmarkStart w:id="7" w:name="_Toc28360"/>
      <w:r>
        <w:rPr>
          <w:rFonts w:hint="eastAsia" w:ascii="方正小标宋_GBK" w:hAnsi="方正小标宋_GBK" w:eastAsia="方正小标宋_GBK" w:cs="方正小标宋_GBK"/>
          <w:b/>
          <w:vanish/>
          <w:sz w:val="32"/>
          <w:u w:val="none"/>
          <w:lang w:eastAsia="zh-CN"/>
        </w:rPr>
        <w:t>{ TC 部门政府采购预算 \f A \l 1 }</w:t>
      </w:r>
      <w:bookmarkEnd w:id="6"/>
      <w:bookmarkEnd w:id="7"/>
    </w:p>
    <w:tbl>
      <w:tblPr>
        <w:tblStyle w:val="10"/>
        <w:tblW w:w="1550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84"/>
        <w:gridCol w:w="1134"/>
        <w:gridCol w:w="1531"/>
        <w:gridCol w:w="1531"/>
        <w:gridCol w:w="709"/>
        <w:gridCol w:w="907"/>
        <w:gridCol w:w="907"/>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8703" w:type="dxa"/>
            <w:gridSpan w:val="7"/>
            <w:tcBorders>
              <w:top w:val="single" w:color="FFFFFF" w:sz="6" w:space="0"/>
              <w:left w:val="single" w:color="FFFFFF" w:sz="6" w:space="0"/>
              <w:right w:val="single" w:color="FFFFFF" w:sz="6" w:space="0"/>
            </w:tcBorders>
            <w:vAlign w:val="center"/>
          </w:tcPr>
          <w:p>
            <w:pPr>
              <w:spacing w:line="300" w:lineRule="exact"/>
              <w:jc w:val="left"/>
              <w:outlineLvl w:val="9"/>
              <w:rPr>
                <w:rFonts w:hint="eastAsia" w:ascii="方正小标宋_GBK" w:hAnsi="方正小标宋_GBK" w:eastAsia="方正小标宋_GBK" w:cs="方正小标宋_GBK"/>
                <w:b/>
                <w:sz w:val="24"/>
                <w:u w:val="none"/>
                <w:vertAlign w:val="baseline"/>
                <w:lang w:eastAsia="zh-CN"/>
              </w:rPr>
            </w:pPr>
            <w:r>
              <w:rPr>
                <w:rFonts w:hint="eastAsia" w:ascii="方正小标宋_GBK" w:hAnsi="方正小标宋_GBK" w:eastAsia="方正小标宋_GBK" w:cs="方正小标宋_GBK"/>
                <w:b/>
                <w:sz w:val="24"/>
                <w:u w:val="none"/>
                <w:vertAlign w:val="baseline"/>
                <w:lang w:eastAsia="zh-CN"/>
              </w:rPr>
              <w:t>101矿区人民代表大会会常务委员会办公室</w:t>
            </w:r>
          </w:p>
        </w:tc>
        <w:tc>
          <w:tcPr>
            <w:tcW w:w="6804" w:type="dxa"/>
            <w:gridSpan w:val="6"/>
            <w:tcBorders>
              <w:top w:val="single" w:color="FFFFFF" w:sz="6" w:space="0"/>
              <w:left w:val="single" w:color="FFFFFF" w:sz="6" w:space="0"/>
              <w:right w:val="single" w:color="FFFFFF" w:sz="6" w:space="0"/>
            </w:tcBorders>
            <w:vAlign w:val="center"/>
          </w:tcPr>
          <w:p>
            <w:pPr>
              <w:spacing w:line="300" w:lineRule="exact"/>
              <w:jc w:val="right"/>
              <w:outlineLvl w:val="9"/>
              <w:rPr>
                <w:rFonts w:hint="eastAsia" w:ascii="方正书宋_GBK" w:hAnsi="方正书宋_GBK" w:eastAsia="方正书宋_GBK" w:cs="方正书宋_GBK"/>
                <w:b/>
                <w:sz w:val="24"/>
                <w:u w:val="none"/>
                <w:vertAlign w:val="baseline"/>
                <w:lang w:eastAsia="zh-CN"/>
              </w:rPr>
            </w:pPr>
            <w:r>
              <w:rPr>
                <w:rFonts w:hint="eastAsia" w:ascii="方正书宋_GBK" w:hAnsi="方正书宋_GBK" w:eastAsia="方正书宋_GBK" w:cs="方正书宋_GBK"/>
                <w:b/>
                <w:sz w:val="24"/>
                <w:u w:val="none"/>
                <w:vertAlign w:val="baseline"/>
                <w:lang w:eastAsia="zh-CN"/>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118" w:type="dxa"/>
            <w:gridSpan w:val="2"/>
            <w:tcBorders>
              <w:top w:val="single" w:color="000000" w:sz="6" w:space="0"/>
              <w:left w:val="single" w:color="000000" w:sz="6" w:space="0"/>
              <w:right w:val="single" w:color="000000" w:sz="6" w:space="0"/>
            </w:tcBorders>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政府采购项目来源</w:t>
            </w:r>
          </w:p>
        </w:tc>
        <w:tc>
          <w:tcPr>
            <w:tcW w:w="1531" w:type="dxa"/>
            <w:vMerge w:val="restart"/>
            <w:tcBorders>
              <w:top w:val="single" w:color="000000" w:sz="6" w:space="0"/>
              <w:left w:val="single" w:color="000000" w:sz="6" w:space="0"/>
              <w:right w:val="single" w:color="000000" w:sz="6" w:space="0"/>
            </w:tcBorders>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采购物品名称</w:t>
            </w:r>
          </w:p>
        </w:tc>
        <w:tc>
          <w:tcPr>
            <w:tcW w:w="1531" w:type="dxa"/>
            <w:vMerge w:val="restart"/>
            <w:tcBorders>
              <w:top w:val="single" w:color="000000" w:sz="6" w:space="0"/>
              <w:left w:val="single" w:color="000000" w:sz="6" w:space="0"/>
              <w:right w:val="single" w:color="000000" w:sz="6" w:space="0"/>
            </w:tcBorders>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政府采购目录序号</w:t>
            </w:r>
          </w:p>
        </w:tc>
        <w:tc>
          <w:tcPr>
            <w:tcW w:w="709" w:type="dxa"/>
            <w:vMerge w:val="restart"/>
            <w:tcBorders>
              <w:top w:val="single" w:color="000000" w:sz="6" w:space="0"/>
              <w:left w:val="single" w:color="000000" w:sz="6" w:space="0"/>
              <w:right w:val="single" w:color="000000" w:sz="6" w:space="0"/>
            </w:tcBorders>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计量  单位</w:t>
            </w:r>
          </w:p>
        </w:tc>
        <w:tc>
          <w:tcPr>
            <w:tcW w:w="907" w:type="dxa"/>
            <w:vMerge w:val="restart"/>
            <w:tcBorders>
              <w:top w:val="single" w:color="000000" w:sz="6" w:space="0"/>
              <w:left w:val="single" w:color="000000" w:sz="6" w:space="0"/>
              <w:right w:val="single" w:color="000000" w:sz="6" w:space="0"/>
            </w:tcBorders>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数量</w:t>
            </w:r>
          </w:p>
        </w:tc>
        <w:tc>
          <w:tcPr>
            <w:tcW w:w="907" w:type="dxa"/>
            <w:vMerge w:val="restart"/>
            <w:tcBorders>
              <w:top w:val="single" w:color="000000" w:sz="6" w:space="0"/>
              <w:left w:val="single" w:color="000000" w:sz="6" w:space="0"/>
              <w:right w:val="single" w:color="000000" w:sz="6" w:space="0"/>
            </w:tcBorders>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单价</w:t>
            </w:r>
          </w:p>
        </w:tc>
        <w:tc>
          <w:tcPr>
            <w:tcW w:w="6804" w:type="dxa"/>
            <w:gridSpan w:val="6"/>
            <w:tcBorders>
              <w:top w:val="single" w:color="000000" w:sz="6" w:space="0"/>
              <w:left w:val="single" w:color="000000" w:sz="6" w:space="0"/>
              <w:right w:val="single" w:color="000000" w:sz="6" w:space="0"/>
            </w:tcBorders>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84" w:type="dxa"/>
            <w:tcBorders>
              <w:top w:val="single" w:color="000000" w:sz="6" w:space="0"/>
              <w:left w:val="single" w:color="000000" w:sz="6" w:space="0"/>
              <w:right w:val="single" w:color="000000" w:sz="6" w:space="0"/>
            </w:tcBorders>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项目名称</w:t>
            </w:r>
          </w:p>
        </w:tc>
        <w:tc>
          <w:tcPr>
            <w:tcW w:w="1134" w:type="dxa"/>
            <w:tcBorders>
              <w:top w:val="single" w:color="000000" w:sz="6" w:space="0"/>
              <w:left w:val="single" w:color="000000" w:sz="6" w:space="0"/>
              <w:right w:val="single" w:color="000000" w:sz="6" w:space="0"/>
            </w:tcBorders>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预算资金</w:t>
            </w:r>
          </w:p>
        </w:tc>
        <w:tc>
          <w:tcPr>
            <w:tcW w:w="1531" w:type="dxa"/>
            <w:vMerge w:val="continue"/>
            <w:tcBorders>
              <w:top w:val="single" w:color="000000" w:sz="6" w:space="0"/>
              <w:left w:val="single" w:color="000000" w:sz="6" w:space="0"/>
              <w:right w:val="single" w:color="000000" w:sz="6" w:space="0"/>
            </w:tcBorders>
          </w:tcPr>
          <w:p/>
        </w:tc>
        <w:tc>
          <w:tcPr>
            <w:tcW w:w="1531" w:type="dxa"/>
            <w:vMerge w:val="continue"/>
            <w:tcBorders>
              <w:top w:val="single" w:color="000000" w:sz="6" w:space="0"/>
              <w:left w:val="single" w:color="000000" w:sz="6" w:space="0"/>
              <w:right w:val="single" w:color="000000" w:sz="6" w:space="0"/>
            </w:tcBorders>
          </w:tcPr>
          <w:p/>
        </w:tc>
        <w:tc>
          <w:tcPr>
            <w:tcW w:w="709" w:type="dxa"/>
            <w:vMerge w:val="continue"/>
            <w:tcBorders>
              <w:top w:val="single" w:color="000000" w:sz="6" w:space="0"/>
              <w:left w:val="single" w:color="000000" w:sz="6" w:space="0"/>
              <w:right w:val="single" w:color="000000" w:sz="6" w:space="0"/>
            </w:tcBorders>
          </w:tcPr>
          <w:p/>
        </w:tc>
        <w:tc>
          <w:tcPr>
            <w:tcW w:w="907" w:type="dxa"/>
            <w:vMerge w:val="continue"/>
            <w:tcBorders>
              <w:top w:val="single" w:color="000000" w:sz="6" w:space="0"/>
              <w:left w:val="single" w:color="000000" w:sz="6" w:space="0"/>
              <w:right w:val="single" w:color="000000" w:sz="6" w:space="0"/>
            </w:tcBorders>
          </w:tcPr>
          <w:p/>
        </w:tc>
        <w:tc>
          <w:tcPr>
            <w:tcW w:w="907" w:type="dxa"/>
            <w:vMerge w:val="continue"/>
            <w:tcBorders>
              <w:top w:val="single" w:color="000000" w:sz="6" w:space="0"/>
              <w:left w:val="single" w:color="000000" w:sz="6" w:space="0"/>
              <w:right w:val="single" w:color="000000" w:sz="6" w:space="0"/>
            </w:tcBorders>
          </w:tcPr>
          <w:p/>
        </w:tc>
        <w:tc>
          <w:tcPr>
            <w:tcW w:w="1134" w:type="dxa"/>
            <w:tcBorders>
              <w:top w:val="single" w:color="000000" w:sz="6" w:space="0"/>
              <w:left w:val="single" w:color="000000" w:sz="6" w:space="0"/>
              <w:right w:val="single" w:color="000000" w:sz="6" w:space="0"/>
            </w:tcBorders>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合计</w:t>
            </w:r>
          </w:p>
        </w:tc>
        <w:tc>
          <w:tcPr>
            <w:tcW w:w="1134" w:type="dxa"/>
            <w:tcBorders>
              <w:top w:val="single" w:color="000000" w:sz="6" w:space="0"/>
              <w:left w:val="single" w:color="000000" w:sz="6" w:space="0"/>
              <w:right w:val="single" w:color="000000" w:sz="6" w:space="0"/>
            </w:tcBorders>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一般公共预算拨款</w:t>
            </w:r>
          </w:p>
        </w:tc>
        <w:tc>
          <w:tcPr>
            <w:tcW w:w="1134" w:type="dxa"/>
            <w:tcBorders>
              <w:top w:val="single" w:color="000000" w:sz="6" w:space="0"/>
              <w:left w:val="single" w:color="000000" w:sz="6" w:space="0"/>
              <w:right w:val="single" w:color="000000" w:sz="6" w:space="0"/>
            </w:tcBorders>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基金预算拨款</w:t>
            </w:r>
          </w:p>
        </w:tc>
        <w:tc>
          <w:tcPr>
            <w:tcW w:w="1134" w:type="dxa"/>
            <w:tcBorders>
              <w:top w:val="single" w:color="000000" w:sz="6" w:space="0"/>
              <w:left w:val="single" w:color="000000" w:sz="6" w:space="0"/>
              <w:right w:val="single" w:color="000000" w:sz="6" w:space="0"/>
            </w:tcBorders>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国有资本经营预算拨款</w:t>
            </w:r>
          </w:p>
        </w:tc>
        <w:tc>
          <w:tcPr>
            <w:tcW w:w="1134" w:type="dxa"/>
            <w:tcBorders>
              <w:top w:val="single" w:color="000000" w:sz="6" w:space="0"/>
              <w:left w:val="single" w:color="000000" w:sz="6" w:space="0"/>
              <w:right w:val="single" w:color="000000" w:sz="6" w:space="0"/>
            </w:tcBorders>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财政专户核拨</w:t>
            </w:r>
          </w:p>
        </w:tc>
        <w:tc>
          <w:tcPr>
            <w:tcW w:w="1134" w:type="dxa"/>
            <w:tcBorders>
              <w:top w:val="single" w:color="000000" w:sz="6" w:space="0"/>
              <w:left w:val="single" w:color="000000" w:sz="6" w:space="0"/>
              <w:right w:val="single" w:color="000000" w:sz="6" w:space="0"/>
            </w:tcBorders>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其他来源收入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tcBorders>
              <w:top w:val="single" w:color="000000" w:sz="6" w:space="0"/>
              <w:left w:val="single" w:color="000000" w:sz="6" w:space="0"/>
              <w:right w:val="single" w:color="000000" w:sz="6" w:space="0"/>
            </w:tcBorders>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矿区人民代表大会会常务委员会办公室机关小计</w:t>
            </w:r>
          </w:p>
        </w:tc>
        <w:tc>
          <w:tcPr>
            <w:tcW w:w="1134" w:type="dxa"/>
            <w:tcBorders>
              <w:top w:val="single" w:color="000000" w:sz="6" w:space="0"/>
              <w:left w:val="single" w:color="000000" w:sz="6" w:space="0"/>
              <w:right w:val="single" w:color="000000" w:sz="6" w:space="0"/>
            </w:tcBorders>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p>
        </w:tc>
        <w:tc>
          <w:tcPr>
            <w:tcW w:w="1531" w:type="dxa"/>
            <w:tcBorders>
              <w:top w:val="single" w:color="000000" w:sz="6" w:space="0"/>
              <w:left w:val="single" w:color="000000" w:sz="6" w:space="0"/>
              <w:right w:val="single" w:color="000000" w:sz="6" w:space="0"/>
            </w:tcBorders>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p>
        </w:tc>
        <w:tc>
          <w:tcPr>
            <w:tcW w:w="1531" w:type="dxa"/>
            <w:tcBorders>
              <w:top w:val="single" w:color="000000" w:sz="6" w:space="0"/>
              <w:left w:val="single" w:color="000000" w:sz="6" w:space="0"/>
              <w:right w:val="single" w:color="000000" w:sz="6" w:space="0"/>
            </w:tcBorders>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p>
        </w:tc>
        <w:tc>
          <w:tcPr>
            <w:tcW w:w="709" w:type="dxa"/>
            <w:tcBorders>
              <w:top w:val="single" w:color="000000" w:sz="6" w:space="0"/>
              <w:left w:val="single" w:color="000000" w:sz="6" w:space="0"/>
              <w:right w:val="single" w:color="000000" w:sz="6" w:space="0"/>
            </w:tcBorders>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p>
        </w:tc>
        <w:tc>
          <w:tcPr>
            <w:tcW w:w="907" w:type="dxa"/>
            <w:tcBorders>
              <w:top w:val="single" w:color="000000" w:sz="6" w:space="0"/>
              <w:left w:val="single" w:color="000000" w:sz="6" w:space="0"/>
              <w:right w:val="single" w:color="000000" w:sz="6" w:space="0"/>
            </w:tcBorders>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p>
        </w:tc>
        <w:tc>
          <w:tcPr>
            <w:tcW w:w="907" w:type="dxa"/>
            <w:tcBorders>
              <w:top w:val="single" w:color="000000" w:sz="6" w:space="0"/>
              <w:left w:val="single" w:color="000000" w:sz="6" w:space="0"/>
              <w:right w:val="single" w:color="000000" w:sz="6" w:space="0"/>
            </w:tcBorders>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p>
        </w:tc>
        <w:tc>
          <w:tcPr>
            <w:tcW w:w="1134" w:type="dxa"/>
            <w:tcBorders>
              <w:top w:val="single" w:color="000000" w:sz="6" w:space="0"/>
              <w:left w:val="single" w:color="000000" w:sz="6" w:space="0"/>
              <w:right w:val="single" w:color="000000" w:sz="6" w:space="0"/>
            </w:tcBorders>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20.90</w:t>
            </w:r>
          </w:p>
        </w:tc>
        <w:tc>
          <w:tcPr>
            <w:tcW w:w="1134" w:type="dxa"/>
            <w:tcBorders>
              <w:top w:val="single" w:color="000000" w:sz="6" w:space="0"/>
              <w:left w:val="single" w:color="000000" w:sz="6" w:space="0"/>
              <w:right w:val="single" w:color="000000" w:sz="6" w:space="0"/>
            </w:tcBorders>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20.90</w:t>
            </w:r>
          </w:p>
        </w:tc>
        <w:tc>
          <w:tcPr>
            <w:tcW w:w="1134" w:type="dxa"/>
            <w:tcBorders>
              <w:top w:val="single" w:color="000000" w:sz="6" w:space="0"/>
              <w:left w:val="single" w:color="000000" w:sz="6" w:space="0"/>
              <w:right w:val="single" w:color="000000" w:sz="6" w:space="0"/>
            </w:tcBorders>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p>
        </w:tc>
        <w:tc>
          <w:tcPr>
            <w:tcW w:w="1134" w:type="dxa"/>
            <w:tcBorders>
              <w:top w:val="single" w:color="000000" w:sz="6" w:space="0"/>
              <w:left w:val="single" w:color="000000" w:sz="6" w:space="0"/>
              <w:right w:val="single" w:color="000000" w:sz="6" w:space="0"/>
            </w:tcBorders>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p>
        </w:tc>
        <w:tc>
          <w:tcPr>
            <w:tcW w:w="1134" w:type="dxa"/>
            <w:tcBorders>
              <w:top w:val="single" w:color="000000" w:sz="6" w:space="0"/>
              <w:left w:val="single" w:color="000000" w:sz="6" w:space="0"/>
              <w:right w:val="single" w:color="000000" w:sz="6" w:space="0"/>
            </w:tcBorders>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p>
        </w:tc>
        <w:tc>
          <w:tcPr>
            <w:tcW w:w="1134" w:type="dxa"/>
            <w:tcBorders>
              <w:top w:val="single" w:color="000000" w:sz="6" w:space="0"/>
              <w:left w:val="single" w:color="000000" w:sz="6" w:space="0"/>
              <w:right w:val="single" w:color="000000" w:sz="6" w:space="0"/>
            </w:tcBorders>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tcBorders>
              <w:top w:val="single" w:color="000000" w:sz="6" w:space="0"/>
              <w:left w:val="single" w:color="000000" w:sz="6" w:space="0"/>
              <w:right w:val="single" w:color="000000" w:sz="6" w:space="0"/>
            </w:tcBorders>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印刷费</w:t>
            </w:r>
          </w:p>
        </w:tc>
        <w:tc>
          <w:tcPr>
            <w:tcW w:w="1134" w:type="dxa"/>
            <w:tcBorders>
              <w:top w:val="single" w:color="000000" w:sz="6" w:space="0"/>
              <w:left w:val="single" w:color="000000" w:sz="6" w:space="0"/>
              <w:right w:val="single" w:color="000000" w:sz="6" w:space="0"/>
            </w:tcBorders>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6.00</w:t>
            </w:r>
          </w:p>
        </w:tc>
        <w:tc>
          <w:tcPr>
            <w:tcW w:w="1531" w:type="dxa"/>
            <w:tcBorders>
              <w:top w:val="single" w:color="000000" w:sz="6" w:space="0"/>
              <w:left w:val="single" w:color="000000" w:sz="6" w:space="0"/>
              <w:right w:val="single" w:color="000000" w:sz="6" w:space="0"/>
            </w:tcBorders>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其他印刷品</w:t>
            </w:r>
          </w:p>
        </w:tc>
        <w:tc>
          <w:tcPr>
            <w:tcW w:w="1531" w:type="dxa"/>
            <w:tcBorders>
              <w:top w:val="single" w:color="000000" w:sz="6" w:space="0"/>
              <w:left w:val="single" w:color="000000" w:sz="6" w:space="0"/>
              <w:right w:val="single" w:color="000000" w:sz="6" w:space="0"/>
            </w:tcBorders>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A080299</w:t>
            </w:r>
          </w:p>
        </w:tc>
        <w:tc>
          <w:tcPr>
            <w:tcW w:w="709" w:type="dxa"/>
            <w:tcBorders>
              <w:top w:val="single" w:color="000000" w:sz="6" w:space="0"/>
              <w:left w:val="single" w:color="000000" w:sz="6" w:space="0"/>
              <w:right w:val="single" w:color="000000" w:sz="6" w:space="0"/>
            </w:tcBorders>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包</w:t>
            </w:r>
          </w:p>
        </w:tc>
        <w:tc>
          <w:tcPr>
            <w:tcW w:w="907" w:type="dxa"/>
            <w:tcBorders>
              <w:top w:val="single" w:color="000000" w:sz="6" w:space="0"/>
              <w:left w:val="single" w:color="000000" w:sz="6" w:space="0"/>
              <w:right w:val="single" w:color="000000" w:sz="6" w:space="0"/>
            </w:tcBorders>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200.00</w:t>
            </w:r>
          </w:p>
        </w:tc>
        <w:tc>
          <w:tcPr>
            <w:tcW w:w="907" w:type="dxa"/>
            <w:tcBorders>
              <w:top w:val="single" w:color="000000" w:sz="6" w:space="0"/>
              <w:left w:val="single" w:color="000000" w:sz="6" w:space="0"/>
              <w:right w:val="single" w:color="000000" w:sz="6" w:space="0"/>
            </w:tcBorders>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0.03</w:t>
            </w:r>
          </w:p>
        </w:tc>
        <w:tc>
          <w:tcPr>
            <w:tcW w:w="1134" w:type="dxa"/>
            <w:tcBorders>
              <w:top w:val="single" w:color="000000" w:sz="6" w:space="0"/>
              <w:left w:val="single" w:color="000000" w:sz="6" w:space="0"/>
              <w:right w:val="single" w:color="000000" w:sz="6" w:space="0"/>
            </w:tcBorders>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6.00</w:t>
            </w:r>
          </w:p>
        </w:tc>
        <w:tc>
          <w:tcPr>
            <w:tcW w:w="1134" w:type="dxa"/>
            <w:tcBorders>
              <w:top w:val="single" w:color="000000" w:sz="6" w:space="0"/>
              <w:left w:val="single" w:color="000000" w:sz="6" w:space="0"/>
              <w:right w:val="single" w:color="000000" w:sz="6" w:space="0"/>
            </w:tcBorders>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6.00</w:t>
            </w:r>
          </w:p>
        </w:tc>
        <w:tc>
          <w:tcPr>
            <w:tcW w:w="1134" w:type="dxa"/>
            <w:tcBorders>
              <w:top w:val="single" w:color="000000" w:sz="6" w:space="0"/>
              <w:left w:val="single" w:color="000000" w:sz="6" w:space="0"/>
              <w:right w:val="single" w:color="000000" w:sz="6" w:space="0"/>
            </w:tcBorders>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p>
        </w:tc>
        <w:tc>
          <w:tcPr>
            <w:tcW w:w="1134" w:type="dxa"/>
            <w:tcBorders>
              <w:top w:val="single" w:color="000000" w:sz="6" w:space="0"/>
              <w:left w:val="single" w:color="000000" w:sz="6" w:space="0"/>
              <w:right w:val="single" w:color="000000" w:sz="6" w:space="0"/>
            </w:tcBorders>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p>
        </w:tc>
        <w:tc>
          <w:tcPr>
            <w:tcW w:w="1134" w:type="dxa"/>
            <w:tcBorders>
              <w:top w:val="single" w:color="000000" w:sz="6" w:space="0"/>
              <w:left w:val="single" w:color="000000" w:sz="6" w:space="0"/>
              <w:right w:val="single" w:color="000000" w:sz="6" w:space="0"/>
            </w:tcBorders>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p>
        </w:tc>
        <w:tc>
          <w:tcPr>
            <w:tcW w:w="1134" w:type="dxa"/>
            <w:tcBorders>
              <w:top w:val="single" w:color="000000" w:sz="6" w:space="0"/>
              <w:left w:val="single" w:color="000000" w:sz="6" w:space="0"/>
              <w:right w:val="single" w:color="000000" w:sz="6" w:space="0"/>
            </w:tcBorders>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tcBorders>
              <w:top w:val="single" w:color="000000" w:sz="6" w:space="0"/>
              <w:left w:val="single" w:color="000000" w:sz="6" w:space="0"/>
              <w:right w:val="single" w:color="000000" w:sz="6" w:space="0"/>
            </w:tcBorders>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日常公用经费</w:t>
            </w:r>
          </w:p>
        </w:tc>
        <w:tc>
          <w:tcPr>
            <w:tcW w:w="1134" w:type="dxa"/>
            <w:tcBorders>
              <w:top w:val="single" w:color="000000" w:sz="6" w:space="0"/>
              <w:left w:val="single" w:color="000000" w:sz="6" w:space="0"/>
              <w:right w:val="single" w:color="000000" w:sz="6" w:space="0"/>
            </w:tcBorders>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33.17</w:t>
            </w:r>
          </w:p>
        </w:tc>
        <w:tc>
          <w:tcPr>
            <w:tcW w:w="1531" w:type="dxa"/>
            <w:tcBorders>
              <w:top w:val="single" w:color="000000" w:sz="6" w:space="0"/>
              <w:left w:val="single" w:color="000000" w:sz="6" w:space="0"/>
              <w:right w:val="single" w:color="000000" w:sz="6" w:space="0"/>
            </w:tcBorders>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车辆维修和保养服务</w:t>
            </w:r>
          </w:p>
        </w:tc>
        <w:tc>
          <w:tcPr>
            <w:tcW w:w="1531" w:type="dxa"/>
            <w:tcBorders>
              <w:top w:val="single" w:color="000000" w:sz="6" w:space="0"/>
              <w:left w:val="single" w:color="000000" w:sz="6" w:space="0"/>
              <w:right w:val="single" w:color="000000" w:sz="6" w:space="0"/>
            </w:tcBorders>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C050301</w:t>
            </w:r>
          </w:p>
        </w:tc>
        <w:tc>
          <w:tcPr>
            <w:tcW w:w="709" w:type="dxa"/>
            <w:tcBorders>
              <w:top w:val="single" w:color="000000" w:sz="6" w:space="0"/>
              <w:left w:val="single" w:color="000000" w:sz="6" w:space="0"/>
              <w:right w:val="single" w:color="000000" w:sz="6" w:space="0"/>
            </w:tcBorders>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辆</w:t>
            </w:r>
          </w:p>
        </w:tc>
        <w:tc>
          <w:tcPr>
            <w:tcW w:w="907" w:type="dxa"/>
            <w:tcBorders>
              <w:top w:val="single" w:color="000000" w:sz="6" w:space="0"/>
              <w:left w:val="single" w:color="000000" w:sz="6" w:space="0"/>
              <w:right w:val="single" w:color="000000" w:sz="6" w:space="0"/>
            </w:tcBorders>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4.00</w:t>
            </w:r>
          </w:p>
        </w:tc>
        <w:tc>
          <w:tcPr>
            <w:tcW w:w="907" w:type="dxa"/>
            <w:tcBorders>
              <w:top w:val="single" w:color="000000" w:sz="6" w:space="0"/>
              <w:left w:val="single" w:color="000000" w:sz="6" w:space="0"/>
              <w:right w:val="single" w:color="000000" w:sz="6" w:space="0"/>
            </w:tcBorders>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1.35</w:t>
            </w:r>
          </w:p>
        </w:tc>
        <w:tc>
          <w:tcPr>
            <w:tcW w:w="1134" w:type="dxa"/>
            <w:tcBorders>
              <w:top w:val="single" w:color="000000" w:sz="6" w:space="0"/>
              <w:left w:val="single" w:color="000000" w:sz="6" w:space="0"/>
              <w:right w:val="single" w:color="000000" w:sz="6" w:space="0"/>
            </w:tcBorders>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5.40</w:t>
            </w:r>
          </w:p>
        </w:tc>
        <w:tc>
          <w:tcPr>
            <w:tcW w:w="1134" w:type="dxa"/>
            <w:tcBorders>
              <w:top w:val="single" w:color="000000" w:sz="6" w:space="0"/>
              <w:left w:val="single" w:color="000000" w:sz="6" w:space="0"/>
              <w:right w:val="single" w:color="000000" w:sz="6" w:space="0"/>
            </w:tcBorders>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5.40</w:t>
            </w:r>
          </w:p>
        </w:tc>
        <w:tc>
          <w:tcPr>
            <w:tcW w:w="1134" w:type="dxa"/>
            <w:tcBorders>
              <w:top w:val="single" w:color="000000" w:sz="6" w:space="0"/>
              <w:left w:val="single" w:color="000000" w:sz="6" w:space="0"/>
              <w:right w:val="single" w:color="000000" w:sz="6" w:space="0"/>
            </w:tcBorders>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p>
        </w:tc>
        <w:tc>
          <w:tcPr>
            <w:tcW w:w="1134" w:type="dxa"/>
            <w:tcBorders>
              <w:top w:val="single" w:color="000000" w:sz="6" w:space="0"/>
              <w:left w:val="single" w:color="000000" w:sz="6" w:space="0"/>
              <w:right w:val="single" w:color="000000" w:sz="6" w:space="0"/>
            </w:tcBorders>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p>
        </w:tc>
        <w:tc>
          <w:tcPr>
            <w:tcW w:w="1134" w:type="dxa"/>
            <w:tcBorders>
              <w:top w:val="single" w:color="000000" w:sz="6" w:space="0"/>
              <w:left w:val="single" w:color="000000" w:sz="6" w:space="0"/>
              <w:right w:val="single" w:color="000000" w:sz="6" w:space="0"/>
            </w:tcBorders>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p>
        </w:tc>
        <w:tc>
          <w:tcPr>
            <w:tcW w:w="1134" w:type="dxa"/>
            <w:tcBorders>
              <w:top w:val="single" w:color="000000" w:sz="6" w:space="0"/>
              <w:left w:val="single" w:color="000000" w:sz="6" w:space="0"/>
              <w:right w:val="single" w:color="000000" w:sz="6" w:space="0"/>
            </w:tcBorders>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tcBorders>
              <w:top w:val="single" w:color="000000" w:sz="6" w:space="0"/>
              <w:left w:val="single" w:color="000000" w:sz="6" w:space="0"/>
              <w:right w:val="single" w:color="000000" w:sz="6" w:space="0"/>
            </w:tcBorders>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日常公用经费</w:t>
            </w:r>
          </w:p>
        </w:tc>
        <w:tc>
          <w:tcPr>
            <w:tcW w:w="1134" w:type="dxa"/>
            <w:tcBorders>
              <w:top w:val="single" w:color="000000" w:sz="6" w:space="0"/>
              <w:left w:val="single" w:color="000000" w:sz="6" w:space="0"/>
              <w:right w:val="single" w:color="000000" w:sz="6" w:space="0"/>
            </w:tcBorders>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33.17</w:t>
            </w:r>
          </w:p>
        </w:tc>
        <w:tc>
          <w:tcPr>
            <w:tcW w:w="1531" w:type="dxa"/>
            <w:tcBorders>
              <w:top w:val="single" w:color="000000" w:sz="6" w:space="0"/>
              <w:left w:val="single" w:color="000000" w:sz="6" w:space="0"/>
              <w:right w:val="single" w:color="000000" w:sz="6" w:space="0"/>
            </w:tcBorders>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车辆加油服务</w:t>
            </w:r>
          </w:p>
        </w:tc>
        <w:tc>
          <w:tcPr>
            <w:tcW w:w="1531" w:type="dxa"/>
            <w:tcBorders>
              <w:top w:val="single" w:color="000000" w:sz="6" w:space="0"/>
              <w:left w:val="single" w:color="000000" w:sz="6" w:space="0"/>
              <w:right w:val="single" w:color="000000" w:sz="6" w:space="0"/>
            </w:tcBorders>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C050302</w:t>
            </w:r>
          </w:p>
        </w:tc>
        <w:tc>
          <w:tcPr>
            <w:tcW w:w="709" w:type="dxa"/>
            <w:tcBorders>
              <w:top w:val="single" w:color="000000" w:sz="6" w:space="0"/>
              <w:left w:val="single" w:color="000000" w:sz="6" w:space="0"/>
              <w:right w:val="single" w:color="000000" w:sz="6" w:space="0"/>
            </w:tcBorders>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辆</w:t>
            </w:r>
          </w:p>
        </w:tc>
        <w:tc>
          <w:tcPr>
            <w:tcW w:w="907" w:type="dxa"/>
            <w:tcBorders>
              <w:top w:val="single" w:color="000000" w:sz="6" w:space="0"/>
              <w:left w:val="single" w:color="000000" w:sz="6" w:space="0"/>
              <w:right w:val="single" w:color="000000" w:sz="6" w:space="0"/>
            </w:tcBorders>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4.00</w:t>
            </w:r>
          </w:p>
        </w:tc>
        <w:tc>
          <w:tcPr>
            <w:tcW w:w="907" w:type="dxa"/>
            <w:tcBorders>
              <w:top w:val="single" w:color="000000" w:sz="6" w:space="0"/>
              <w:left w:val="single" w:color="000000" w:sz="6" w:space="0"/>
              <w:right w:val="single" w:color="000000" w:sz="6" w:space="0"/>
            </w:tcBorders>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0.25</w:t>
            </w:r>
          </w:p>
        </w:tc>
        <w:tc>
          <w:tcPr>
            <w:tcW w:w="1134" w:type="dxa"/>
            <w:tcBorders>
              <w:top w:val="single" w:color="000000" w:sz="6" w:space="0"/>
              <w:left w:val="single" w:color="000000" w:sz="6" w:space="0"/>
              <w:right w:val="single" w:color="000000" w:sz="6" w:space="0"/>
            </w:tcBorders>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1.00</w:t>
            </w:r>
          </w:p>
        </w:tc>
        <w:tc>
          <w:tcPr>
            <w:tcW w:w="1134" w:type="dxa"/>
            <w:tcBorders>
              <w:top w:val="single" w:color="000000" w:sz="6" w:space="0"/>
              <w:left w:val="single" w:color="000000" w:sz="6" w:space="0"/>
              <w:right w:val="single" w:color="000000" w:sz="6" w:space="0"/>
            </w:tcBorders>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1.00</w:t>
            </w:r>
          </w:p>
        </w:tc>
        <w:tc>
          <w:tcPr>
            <w:tcW w:w="1134" w:type="dxa"/>
            <w:tcBorders>
              <w:top w:val="single" w:color="000000" w:sz="6" w:space="0"/>
              <w:left w:val="single" w:color="000000" w:sz="6" w:space="0"/>
              <w:right w:val="single" w:color="000000" w:sz="6" w:space="0"/>
            </w:tcBorders>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p>
        </w:tc>
        <w:tc>
          <w:tcPr>
            <w:tcW w:w="1134" w:type="dxa"/>
            <w:tcBorders>
              <w:top w:val="single" w:color="000000" w:sz="6" w:space="0"/>
              <w:left w:val="single" w:color="000000" w:sz="6" w:space="0"/>
              <w:right w:val="single" w:color="000000" w:sz="6" w:space="0"/>
            </w:tcBorders>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p>
        </w:tc>
        <w:tc>
          <w:tcPr>
            <w:tcW w:w="1134" w:type="dxa"/>
            <w:tcBorders>
              <w:top w:val="single" w:color="000000" w:sz="6" w:space="0"/>
              <w:left w:val="single" w:color="000000" w:sz="6" w:space="0"/>
              <w:right w:val="single" w:color="000000" w:sz="6" w:space="0"/>
            </w:tcBorders>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p>
        </w:tc>
        <w:tc>
          <w:tcPr>
            <w:tcW w:w="1134" w:type="dxa"/>
            <w:tcBorders>
              <w:top w:val="single" w:color="000000" w:sz="6" w:space="0"/>
              <w:left w:val="single" w:color="000000" w:sz="6" w:space="0"/>
              <w:right w:val="single" w:color="000000" w:sz="6" w:space="0"/>
            </w:tcBorders>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tcBorders>
              <w:top w:val="single" w:color="000000" w:sz="6" w:space="0"/>
              <w:left w:val="single" w:color="000000" w:sz="6" w:space="0"/>
              <w:right w:val="single" w:color="000000" w:sz="6" w:space="0"/>
            </w:tcBorders>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专门委员会活动经费</w:t>
            </w:r>
          </w:p>
        </w:tc>
        <w:tc>
          <w:tcPr>
            <w:tcW w:w="1134" w:type="dxa"/>
            <w:tcBorders>
              <w:top w:val="single" w:color="000000" w:sz="6" w:space="0"/>
              <w:left w:val="single" w:color="000000" w:sz="6" w:space="0"/>
              <w:right w:val="single" w:color="000000" w:sz="6" w:space="0"/>
            </w:tcBorders>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10.00</w:t>
            </w:r>
          </w:p>
        </w:tc>
        <w:tc>
          <w:tcPr>
            <w:tcW w:w="1531" w:type="dxa"/>
            <w:tcBorders>
              <w:top w:val="single" w:color="000000" w:sz="6" w:space="0"/>
              <w:left w:val="single" w:color="000000" w:sz="6" w:space="0"/>
              <w:right w:val="single" w:color="000000" w:sz="6" w:space="0"/>
            </w:tcBorders>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其他办公消耗用品及类似物品</w:t>
            </w:r>
          </w:p>
        </w:tc>
        <w:tc>
          <w:tcPr>
            <w:tcW w:w="1531" w:type="dxa"/>
            <w:tcBorders>
              <w:top w:val="single" w:color="000000" w:sz="6" w:space="0"/>
              <w:left w:val="single" w:color="000000" w:sz="6" w:space="0"/>
              <w:right w:val="single" w:color="000000" w:sz="6" w:space="0"/>
            </w:tcBorders>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A0999</w:t>
            </w:r>
          </w:p>
        </w:tc>
        <w:tc>
          <w:tcPr>
            <w:tcW w:w="709" w:type="dxa"/>
            <w:tcBorders>
              <w:top w:val="single" w:color="000000" w:sz="6" w:space="0"/>
              <w:left w:val="single" w:color="000000" w:sz="6" w:space="0"/>
              <w:right w:val="single" w:color="000000" w:sz="6" w:space="0"/>
            </w:tcBorders>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件</w:t>
            </w:r>
          </w:p>
        </w:tc>
        <w:tc>
          <w:tcPr>
            <w:tcW w:w="907" w:type="dxa"/>
            <w:tcBorders>
              <w:top w:val="single" w:color="000000" w:sz="6" w:space="0"/>
              <w:left w:val="single" w:color="000000" w:sz="6" w:space="0"/>
              <w:right w:val="single" w:color="000000" w:sz="6" w:space="0"/>
            </w:tcBorders>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50.00</w:t>
            </w:r>
          </w:p>
        </w:tc>
        <w:tc>
          <w:tcPr>
            <w:tcW w:w="907" w:type="dxa"/>
            <w:tcBorders>
              <w:top w:val="single" w:color="000000" w:sz="6" w:space="0"/>
              <w:left w:val="single" w:color="000000" w:sz="6" w:space="0"/>
              <w:right w:val="single" w:color="000000" w:sz="6" w:space="0"/>
            </w:tcBorders>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0.03</w:t>
            </w:r>
          </w:p>
        </w:tc>
        <w:tc>
          <w:tcPr>
            <w:tcW w:w="1134" w:type="dxa"/>
            <w:tcBorders>
              <w:top w:val="single" w:color="000000" w:sz="6" w:space="0"/>
              <w:left w:val="single" w:color="000000" w:sz="6" w:space="0"/>
              <w:right w:val="single" w:color="000000" w:sz="6" w:space="0"/>
            </w:tcBorders>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1.50</w:t>
            </w:r>
          </w:p>
        </w:tc>
        <w:tc>
          <w:tcPr>
            <w:tcW w:w="1134" w:type="dxa"/>
            <w:tcBorders>
              <w:top w:val="single" w:color="000000" w:sz="6" w:space="0"/>
              <w:left w:val="single" w:color="000000" w:sz="6" w:space="0"/>
              <w:right w:val="single" w:color="000000" w:sz="6" w:space="0"/>
            </w:tcBorders>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1.50</w:t>
            </w:r>
          </w:p>
        </w:tc>
        <w:tc>
          <w:tcPr>
            <w:tcW w:w="1134" w:type="dxa"/>
            <w:tcBorders>
              <w:top w:val="single" w:color="000000" w:sz="6" w:space="0"/>
              <w:left w:val="single" w:color="000000" w:sz="6" w:space="0"/>
              <w:right w:val="single" w:color="000000" w:sz="6" w:space="0"/>
            </w:tcBorders>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p>
        </w:tc>
        <w:tc>
          <w:tcPr>
            <w:tcW w:w="1134" w:type="dxa"/>
            <w:tcBorders>
              <w:top w:val="single" w:color="000000" w:sz="6" w:space="0"/>
              <w:left w:val="single" w:color="000000" w:sz="6" w:space="0"/>
              <w:right w:val="single" w:color="000000" w:sz="6" w:space="0"/>
            </w:tcBorders>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p>
        </w:tc>
        <w:tc>
          <w:tcPr>
            <w:tcW w:w="1134" w:type="dxa"/>
            <w:tcBorders>
              <w:top w:val="single" w:color="000000" w:sz="6" w:space="0"/>
              <w:left w:val="single" w:color="000000" w:sz="6" w:space="0"/>
              <w:right w:val="single" w:color="000000" w:sz="6" w:space="0"/>
            </w:tcBorders>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p>
        </w:tc>
        <w:tc>
          <w:tcPr>
            <w:tcW w:w="1134" w:type="dxa"/>
            <w:tcBorders>
              <w:top w:val="single" w:color="000000" w:sz="6" w:space="0"/>
              <w:left w:val="single" w:color="000000" w:sz="6" w:space="0"/>
              <w:right w:val="single" w:color="000000" w:sz="6" w:space="0"/>
            </w:tcBorders>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tcBorders>
              <w:top w:val="single" w:color="000000" w:sz="6" w:space="0"/>
              <w:left w:val="single" w:color="000000" w:sz="6" w:space="0"/>
              <w:right w:val="single" w:color="000000" w:sz="6" w:space="0"/>
            </w:tcBorders>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专门委员会活动经费</w:t>
            </w:r>
          </w:p>
        </w:tc>
        <w:tc>
          <w:tcPr>
            <w:tcW w:w="1134" w:type="dxa"/>
            <w:tcBorders>
              <w:top w:val="single" w:color="000000" w:sz="6" w:space="0"/>
              <w:left w:val="single" w:color="000000" w:sz="6" w:space="0"/>
              <w:right w:val="single" w:color="000000" w:sz="6" w:space="0"/>
            </w:tcBorders>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10.00</w:t>
            </w:r>
          </w:p>
        </w:tc>
        <w:tc>
          <w:tcPr>
            <w:tcW w:w="1531" w:type="dxa"/>
            <w:tcBorders>
              <w:top w:val="single" w:color="000000" w:sz="6" w:space="0"/>
              <w:left w:val="single" w:color="000000" w:sz="6" w:space="0"/>
              <w:right w:val="single" w:color="000000" w:sz="6" w:space="0"/>
            </w:tcBorders>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其他办公消耗用品及类似物品</w:t>
            </w:r>
          </w:p>
        </w:tc>
        <w:tc>
          <w:tcPr>
            <w:tcW w:w="1531" w:type="dxa"/>
            <w:tcBorders>
              <w:top w:val="single" w:color="000000" w:sz="6" w:space="0"/>
              <w:left w:val="single" w:color="000000" w:sz="6" w:space="0"/>
              <w:right w:val="single" w:color="000000" w:sz="6" w:space="0"/>
            </w:tcBorders>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A0999</w:t>
            </w:r>
          </w:p>
        </w:tc>
        <w:tc>
          <w:tcPr>
            <w:tcW w:w="709" w:type="dxa"/>
            <w:tcBorders>
              <w:top w:val="single" w:color="000000" w:sz="6" w:space="0"/>
              <w:left w:val="single" w:color="000000" w:sz="6" w:space="0"/>
              <w:right w:val="single" w:color="000000" w:sz="6" w:space="0"/>
            </w:tcBorders>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件</w:t>
            </w:r>
          </w:p>
        </w:tc>
        <w:tc>
          <w:tcPr>
            <w:tcW w:w="907" w:type="dxa"/>
            <w:tcBorders>
              <w:top w:val="single" w:color="000000" w:sz="6" w:space="0"/>
              <w:left w:val="single" w:color="000000" w:sz="6" w:space="0"/>
              <w:right w:val="single" w:color="000000" w:sz="6" w:space="0"/>
            </w:tcBorders>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100.00</w:t>
            </w:r>
          </w:p>
        </w:tc>
        <w:tc>
          <w:tcPr>
            <w:tcW w:w="907" w:type="dxa"/>
            <w:tcBorders>
              <w:top w:val="single" w:color="000000" w:sz="6" w:space="0"/>
              <w:left w:val="single" w:color="000000" w:sz="6" w:space="0"/>
              <w:right w:val="single" w:color="000000" w:sz="6" w:space="0"/>
            </w:tcBorders>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0.03</w:t>
            </w:r>
          </w:p>
        </w:tc>
        <w:tc>
          <w:tcPr>
            <w:tcW w:w="1134" w:type="dxa"/>
            <w:tcBorders>
              <w:top w:val="single" w:color="000000" w:sz="6" w:space="0"/>
              <w:left w:val="single" w:color="000000" w:sz="6" w:space="0"/>
              <w:right w:val="single" w:color="000000" w:sz="6" w:space="0"/>
            </w:tcBorders>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3.00</w:t>
            </w:r>
          </w:p>
        </w:tc>
        <w:tc>
          <w:tcPr>
            <w:tcW w:w="1134" w:type="dxa"/>
            <w:tcBorders>
              <w:top w:val="single" w:color="000000" w:sz="6" w:space="0"/>
              <w:left w:val="single" w:color="000000" w:sz="6" w:space="0"/>
              <w:right w:val="single" w:color="000000" w:sz="6" w:space="0"/>
            </w:tcBorders>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3.00</w:t>
            </w:r>
          </w:p>
        </w:tc>
        <w:tc>
          <w:tcPr>
            <w:tcW w:w="1134" w:type="dxa"/>
            <w:tcBorders>
              <w:top w:val="single" w:color="000000" w:sz="6" w:space="0"/>
              <w:left w:val="single" w:color="000000" w:sz="6" w:space="0"/>
              <w:right w:val="single" w:color="000000" w:sz="6" w:space="0"/>
            </w:tcBorders>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p>
        </w:tc>
        <w:tc>
          <w:tcPr>
            <w:tcW w:w="1134" w:type="dxa"/>
            <w:tcBorders>
              <w:top w:val="single" w:color="000000" w:sz="6" w:space="0"/>
              <w:left w:val="single" w:color="000000" w:sz="6" w:space="0"/>
              <w:right w:val="single" w:color="000000" w:sz="6" w:space="0"/>
            </w:tcBorders>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p>
        </w:tc>
        <w:tc>
          <w:tcPr>
            <w:tcW w:w="1134" w:type="dxa"/>
            <w:tcBorders>
              <w:top w:val="single" w:color="000000" w:sz="6" w:space="0"/>
              <w:left w:val="single" w:color="000000" w:sz="6" w:space="0"/>
              <w:right w:val="single" w:color="000000" w:sz="6" w:space="0"/>
            </w:tcBorders>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p>
        </w:tc>
        <w:tc>
          <w:tcPr>
            <w:tcW w:w="1134" w:type="dxa"/>
            <w:tcBorders>
              <w:top w:val="single" w:color="000000" w:sz="6" w:space="0"/>
              <w:left w:val="single" w:color="000000" w:sz="6" w:space="0"/>
              <w:right w:val="single" w:color="000000" w:sz="6" w:space="0"/>
            </w:tcBorders>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tcBorders>
              <w:top w:val="single" w:color="000000" w:sz="6" w:space="0"/>
              <w:left w:val="single" w:color="000000" w:sz="6" w:space="0"/>
              <w:right w:val="single" w:color="000000" w:sz="6" w:space="0"/>
            </w:tcBorders>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专门委员会活动经费</w:t>
            </w:r>
          </w:p>
        </w:tc>
        <w:tc>
          <w:tcPr>
            <w:tcW w:w="1134" w:type="dxa"/>
            <w:tcBorders>
              <w:top w:val="single" w:color="000000" w:sz="6" w:space="0"/>
              <w:left w:val="single" w:color="000000" w:sz="6" w:space="0"/>
              <w:right w:val="single" w:color="000000" w:sz="6" w:space="0"/>
            </w:tcBorders>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10.00</w:t>
            </w:r>
          </w:p>
        </w:tc>
        <w:tc>
          <w:tcPr>
            <w:tcW w:w="1531" w:type="dxa"/>
            <w:tcBorders>
              <w:top w:val="single" w:color="000000" w:sz="6" w:space="0"/>
              <w:left w:val="single" w:color="000000" w:sz="6" w:space="0"/>
              <w:right w:val="single" w:color="000000" w:sz="6" w:space="0"/>
            </w:tcBorders>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其他印刷品</w:t>
            </w:r>
          </w:p>
        </w:tc>
        <w:tc>
          <w:tcPr>
            <w:tcW w:w="1531" w:type="dxa"/>
            <w:tcBorders>
              <w:top w:val="single" w:color="000000" w:sz="6" w:space="0"/>
              <w:left w:val="single" w:color="000000" w:sz="6" w:space="0"/>
              <w:right w:val="single" w:color="000000" w:sz="6" w:space="0"/>
            </w:tcBorders>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A080299</w:t>
            </w:r>
          </w:p>
        </w:tc>
        <w:tc>
          <w:tcPr>
            <w:tcW w:w="709" w:type="dxa"/>
            <w:tcBorders>
              <w:top w:val="single" w:color="000000" w:sz="6" w:space="0"/>
              <w:left w:val="single" w:color="000000" w:sz="6" w:space="0"/>
              <w:right w:val="single" w:color="000000" w:sz="6" w:space="0"/>
            </w:tcBorders>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包</w:t>
            </w:r>
          </w:p>
        </w:tc>
        <w:tc>
          <w:tcPr>
            <w:tcW w:w="907" w:type="dxa"/>
            <w:tcBorders>
              <w:top w:val="single" w:color="000000" w:sz="6" w:space="0"/>
              <w:left w:val="single" w:color="000000" w:sz="6" w:space="0"/>
              <w:right w:val="single" w:color="000000" w:sz="6" w:space="0"/>
            </w:tcBorders>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200.00</w:t>
            </w:r>
          </w:p>
        </w:tc>
        <w:tc>
          <w:tcPr>
            <w:tcW w:w="907" w:type="dxa"/>
            <w:tcBorders>
              <w:top w:val="single" w:color="000000" w:sz="6" w:space="0"/>
              <w:left w:val="single" w:color="000000" w:sz="6" w:space="0"/>
              <w:right w:val="single" w:color="000000" w:sz="6" w:space="0"/>
            </w:tcBorders>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0.02</w:t>
            </w:r>
          </w:p>
        </w:tc>
        <w:tc>
          <w:tcPr>
            <w:tcW w:w="1134" w:type="dxa"/>
            <w:tcBorders>
              <w:top w:val="single" w:color="000000" w:sz="6" w:space="0"/>
              <w:left w:val="single" w:color="000000" w:sz="6" w:space="0"/>
              <w:right w:val="single" w:color="000000" w:sz="6" w:space="0"/>
            </w:tcBorders>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4.00</w:t>
            </w:r>
          </w:p>
        </w:tc>
        <w:tc>
          <w:tcPr>
            <w:tcW w:w="1134" w:type="dxa"/>
            <w:tcBorders>
              <w:top w:val="single" w:color="000000" w:sz="6" w:space="0"/>
              <w:left w:val="single" w:color="000000" w:sz="6" w:space="0"/>
              <w:right w:val="single" w:color="000000" w:sz="6" w:space="0"/>
            </w:tcBorders>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4.00</w:t>
            </w:r>
          </w:p>
        </w:tc>
        <w:tc>
          <w:tcPr>
            <w:tcW w:w="1134" w:type="dxa"/>
            <w:tcBorders>
              <w:top w:val="single" w:color="000000" w:sz="6" w:space="0"/>
              <w:left w:val="single" w:color="000000" w:sz="6" w:space="0"/>
              <w:right w:val="single" w:color="000000" w:sz="6" w:space="0"/>
            </w:tcBorders>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p>
        </w:tc>
        <w:tc>
          <w:tcPr>
            <w:tcW w:w="1134" w:type="dxa"/>
            <w:tcBorders>
              <w:top w:val="single" w:color="000000" w:sz="6" w:space="0"/>
              <w:left w:val="single" w:color="000000" w:sz="6" w:space="0"/>
              <w:right w:val="single" w:color="000000" w:sz="6" w:space="0"/>
            </w:tcBorders>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p>
        </w:tc>
        <w:tc>
          <w:tcPr>
            <w:tcW w:w="1134" w:type="dxa"/>
            <w:tcBorders>
              <w:top w:val="single" w:color="000000" w:sz="6" w:space="0"/>
              <w:left w:val="single" w:color="000000" w:sz="6" w:space="0"/>
              <w:right w:val="single" w:color="000000" w:sz="6" w:space="0"/>
            </w:tcBorders>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p>
        </w:tc>
        <w:tc>
          <w:tcPr>
            <w:tcW w:w="1134" w:type="dxa"/>
            <w:tcBorders>
              <w:top w:val="single" w:color="000000" w:sz="6" w:space="0"/>
              <w:left w:val="single" w:color="000000" w:sz="6" w:space="0"/>
              <w:right w:val="single" w:color="000000" w:sz="6" w:space="0"/>
            </w:tcBorders>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p>
        </w:tc>
      </w:tr>
    </w:tbl>
    <w:p>
      <w:pPr>
        <w:spacing w:line="300" w:lineRule="exact"/>
        <w:ind w:firstLine="640" w:firstLineChars="200"/>
        <w:jc w:val="left"/>
        <w:outlineLvl w:val="0"/>
        <w:rPr>
          <w:rFonts w:hint="eastAsia" w:ascii="方正小标宋_GBK" w:hAnsi="方正小标宋_GBK" w:eastAsia="方正小标宋_GBK" w:cs="方正小标宋_GBK"/>
          <w:b/>
          <w:sz w:val="32"/>
          <w:u w:val="none"/>
          <w:lang w:eastAsia="zh-CN"/>
        </w:rPr>
        <w:sectPr>
          <w:pgSz w:w="16838" w:h="11906" w:orient="landscape"/>
          <w:pgMar w:top="1361" w:right="1020" w:bottom="1361" w:left="1020" w:header="851" w:footer="992" w:gutter="0"/>
          <w:cols w:space="720" w:num="1"/>
          <w:rtlGutter w:val="1"/>
          <w:docGrid w:type="lines" w:linePitch="316" w:charSpace="0"/>
        </w:sectPr>
      </w:pPr>
    </w:p>
    <w:p>
      <w:pPr>
        <w:autoSpaceDE w:val="0"/>
        <w:autoSpaceDN w:val="0"/>
        <w:adjustRightInd w:val="0"/>
        <w:ind w:firstLine="640" w:firstLineChars="200"/>
        <w:jc w:val="left"/>
        <w:rPr>
          <w:rFonts w:hint="eastAsia" w:ascii="黑体" w:hAnsi="黑体" w:eastAsia="黑体" w:cs="Times New Roman"/>
          <w:sz w:val="32"/>
          <w:szCs w:val="32"/>
        </w:r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pPr>
        <w:ind w:firstLine="640"/>
        <w:rPr>
          <w:rFonts w:hint="eastAsia" w:ascii="Times New Roman" w:hAnsi="Times New Roman" w:eastAsia="仿宋" w:cs="Times New Roman"/>
          <w:color w:val="000000"/>
          <w:sz w:val="32"/>
          <w:szCs w:val="32"/>
          <w:lang w:eastAsia="zh-CN"/>
        </w:rPr>
      </w:pPr>
      <w:r>
        <w:rPr>
          <w:rFonts w:hint="eastAsia" w:ascii="仿宋" w:hAnsi="仿宋" w:eastAsia="仿宋" w:cs="仿宋"/>
          <w:sz w:val="30"/>
          <w:szCs w:val="30"/>
        </w:rPr>
        <w:t>矿区</w:t>
      </w:r>
      <w:r>
        <w:rPr>
          <w:rFonts w:hint="eastAsia" w:ascii="仿宋" w:hAnsi="仿宋" w:eastAsia="仿宋" w:cs="仿宋"/>
          <w:sz w:val="30"/>
          <w:szCs w:val="30"/>
          <w:lang w:eastAsia="zh-CN"/>
        </w:rPr>
        <w:t>人大常委会办公室</w:t>
      </w:r>
      <w:r>
        <w:rPr>
          <w:rFonts w:hint="eastAsia" w:ascii="Times New Roman" w:hAnsi="Times New Roman" w:eastAsia="仿宋" w:cs="Times New Roman"/>
          <w:color w:val="000000"/>
          <w:sz w:val="32"/>
          <w:szCs w:val="32"/>
        </w:rPr>
        <w:t>201</w:t>
      </w:r>
      <w:r>
        <w:rPr>
          <w:rFonts w:hint="eastAsia" w:ascii="Times New Roman" w:hAnsi="Times New Roman" w:eastAsia="仿宋" w:cs="Times New Roman"/>
          <w:color w:val="000000"/>
          <w:sz w:val="32"/>
          <w:szCs w:val="32"/>
          <w:lang w:val="en-US" w:eastAsia="zh-CN"/>
        </w:rPr>
        <w:t>9</w:t>
      </w:r>
      <w:r>
        <w:rPr>
          <w:rFonts w:ascii="Times New Roman" w:hAnsi="Times New Roman" w:eastAsia="仿宋" w:cs="Times New Roman"/>
          <w:color w:val="000000"/>
          <w:sz w:val="32"/>
          <w:szCs w:val="32"/>
        </w:rPr>
        <w:t>年末固定资产金额为</w:t>
      </w:r>
      <w:r>
        <w:rPr>
          <w:rFonts w:hint="eastAsia" w:ascii="Times New Roman" w:hAnsi="Times New Roman" w:eastAsia="仿宋" w:cs="Times New Roman"/>
          <w:color w:val="000000"/>
          <w:sz w:val="32"/>
          <w:szCs w:val="32"/>
          <w:lang w:val="en-US" w:eastAsia="zh-CN"/>
        </w:rPr>
        <w:t>192.35</w:t>
      </w:r>
      <w:r>
        <w:rPr>
          <w:rFonts w:ascii="Times New Roman" w:hAnsi="Times New Roman" w:eastAsia="仿宋" w:cs="Times New Roman"/>
          <w:color w:val="000000"/>
          <w:sz w:val="32"/>
          <w:szCs w:val="32"/>
        </w:rPr>
        <w:t>万元（详见下表），本年度各</w:t>
      </w:r>
      <w:r>
        <w:rPr>
          <w:rFonts w:hint="eastAsia" w:ascii="Times New Roman" w:hAnsi="Times New Roman" w:eastAsia="仿宋" w:cs="Times New Roman"/>
          <w:color w:val="000000"/>
          <w:sz w:val="32"/>
          <w:szCs w:val="32"/>
        </w:rPr>
        <w:t>处室</w:t>
      </w:r>
      <w:r>
        <w:rPr>
          <w:rFonts w:hint="eastAsia" w:ascii="Times New Roman" w:hAnsi="Times New Roman" w:eastAsia="仿宋" w:cs="Times New Roman"/>
          <w:color w:val="000000"/>
          <w:sz w:val="32"/>
          <w:szCs w:val="32"/>
          <w:lang w:eastAsia="zh-CN"/>
        </w:rPr>
        <w:t>无</w:t>
      </w:r>
      <w:r>
        <w:rPr>
          <w:rFonts w:ascii="Times New Roman" w:hAnsi="Times New Roman" w:eastAsia="仿宋" w:cs="Times New Roman"/>
          <w:color w:val="000000"/>
          <w:sz w:val="32"/>
          <w:szCs w:val="32"/>
        </w:rPr>
        <w:t>拟购置固定资产</w:t>
      </w:r>
      <w:r>
        <w:rPr>
          <w:rFonts w:hint="eastAsia" w:ascii="Times New Roman" w:hAnsi="Times New Roman" w:eastAsia="仿宋" w:cs="Times New Roman"/>
          <w:color w:val="000000"/>
          <w:sz w:val="32"/>
          <w:szCs w:val="32"/>
          <w:lang w:eastAsia="zh-CN"/>
        </w:rPr>
        <w:t>。</w:t>
      </w:r>
    </w:p>
    <w:tbl>
      <w:tblPr>
        <w:tblStyle w:val="10"/>
        <w:tblW w:w="940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4565"/>
        <w:gridCol w:w="1877"/>
        <w:gridCol w:w="295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5" w:hRule="atLeast"/>
        </w:trPr>
        <w:tc>
          <w:tcPr>
            <w:tcW w:w="9400" w:type="dxa"/>
            <w:gridSpan w:val="3"/>
            <w:tcBorders>
              <w:top w:val="nil"/>
              <w:left w:val="nil"/>
              <w:bottom w:val="nil"/>
              <w:right w:val="nil"/>
            </w:tcBorders>
            <w:vAlign w:val="center"/>
          </w:tcPr>
          <w:p>
            <w:pPr>
              <w:widowControl/>
              <w:jc w:val="center"/>
              <w:rPr>
                <w:rFonts w:ascii="宋体" w:hAnsi="宋体" w:cs="宋体"/>
                <w:b/>
                <w:bCs/>
                <w:kern w:val="0"/>
                <w:sz w:val="32"/>
                <w:szCs w:val="32"/>
              </w:rPr>
            </w:pPr>
            <w:r>
              <w:rPr>
                <w:rFonts w:hint="eastAsia" w:ascii="宋体" w:hAnsi="宋体" w:cs="宋体"/>
                <w:b/>
                <w:bCs/>
                <w:kern w:val="0"/>
                <w:sz w:val="32"/>
                <w:szCs w:val="32"/>
              </w:rPr>
              <w:t>井陉矿区区直部门固定资产占用情况表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6442" w:type="dxa"/>
            <w:gridSpan w:val="2"/>
            <w:tcBorders>
              <w:top w:val="nil"/>
              <w:left w:val="nil"/>
              <w:bottom w:val="nil"/>
              <w:right w:val="nil"/>
            </w:tcBorders>
            <w:vAlign w:val="center"/>
          </w:tcPr>
          <w:p>
            <w:pPr>
              <w:widowControl/>
              <w:jc w:val="left"/>
              <w:rPr>
                <w:rFonts w:hint="eastAsia" w:ascii="Times New Roman" w:hAnsi="Times New Roman" w:eastAsia="宋体" w:cs="Times New Roman"/>
                <w:kern w:val="0"/>
                <w:sz w:val="22"/>
                <w:lang w:eastAsia="zh-CN"/>
              </w:rPr>
            </w:pPr>
            <w:r>
              <w:rPr>
                <w:rFonts w:ascii="Times New Roman" w:hAnsi="Times New Roman" w:eastAsia="仿宋" w:cs="Times New Roman"/>
                <w:kern w:val="0"/>
                <w:sz w:val="22"/>
              </w:rPr>
              <w:t>编制部门：</w:t>
            </w:r>
            <w:r>
              <w:rPr>
                <w:rFonts w:hint="eastAsia" w:ascii="宋体" w:hAnsi="宋体" w:cs="宋体"/>
                <w:kern w:val="0"/>
                <w:sz w:val="22"/>
              </w:rPr>
              <w:t>井陉矿区</w:t>
            </w:r>
            <w:r>
              <w:rPr>
                <w:rFonts w:hint="eastAsia" w:ascii="宋体" w:hAnsi="宋体" w:cs="宋体"/>
                <w:kern w:val="0"/>
                <w:sz w:val="22"/>
                <w:lang w:eastAsia="zh-CN"/>
              </w:rPr>
              <w:t>人大常委会办公室</w:t>
            </w:r>
          </w:p>
        </w:tc>
        <w:tc>
          <w:tcPr>
            <w:tcW w:w="2958" w:type="dxa"/>
            <w:tcBorders>
              <w:top w:val="nil"/>
              <w:left w:val="nil"/>
              <w:bottom w:val="nil"/>
              <w:right w:val="nil"/>
            </w:tcBorders>
            <w:vAlign w:val="center"/>
          </w:tcPr>
          <w:p>
            <w:pPr>
              <w:widowControl/>
              <w:ind w:firstLine="1320" w:firstLineChars="600"/>
              <w:jc w:val="left"/>
              <w:rPr>
                <w:rFonts w:ascii="Times New Roman" w:hAnsi="Times New Roman" w:eastAsia="仿宋" w:cs="Times New Roman"/>
                <w:kern w:val="0"/>
                <w:sz w:val="22"/>
              </w:rPr>
            </w:pPr>
            <w:r>
              <w:rPr>
                <w:rFonts w:ascii="Times New Roman" w:hAnsi="Times New Roman" w:eastAsia="仿宋" w:cs="Times New Roman"/>
                <w:kern w:val="0"/>
                <w:sz w:val="22"/>
              </w:rPr>
              <w:t>截止时间：201</w:t>
            </w:r>
            <w:r>
              <w:rPr>
                <w:rFonts w:hint="eastAsia" w:ascii="Times New Roman" w:hAnsi="Times New Roman" w:eastAsia="仿宋" w:cs="Times New Roman"/>
                <w:kern w:val="0"/>
                <w:sz w:val="22"/>
                <w:lang w:val="en-US" w:eastAsia="zh-CN"/>
              </w:rPr>
              <w:t>9</w:t>
            </w:r>
            <w:r>
              <w:rPr>
                <w:rFonts w:ascii="Times New Roman" w:hAnsi="Times New Roman" w:eastAsia="仿宋" w:cs="Times New Roman"/>
                <w:kern w:val="0"/>
                <w:sz w:val="22"/>
              </w:rPr>
              <w:t>年12月31日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4565"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项目</w:t>
            </w:r>
          </w:p>
        </w:tc>
        <w:tc>
          <w:tcPr>
            <w:tcW w:w="1877"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数量</w:t>
            </w:r>
          </w:p>
        </w:tc>
        <w:tc>
          <w:tcPr>
            <w:tcW w:w="2958"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价值（金额单位：万元）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4565"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资产总额</w:t>
            </w:r>
          </w:p>
        </w:tc>
        <w:tc>
          <w:tcPr>
            <w:tcW w:w="1877"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2958"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color w:val="auto"/>
                <w:kern w:val="0"/>
                <w:sz w:val="22"/>
                <w:lang w:val="en-US" w:eastAsia="zh-CN"/>
              </w:rPr>
            </w:pPr>
            <w:r>
              <w:rPr>
                <w:rFonts w:hint="eastAsia" w:ascii="Times New Roman" w:hAnsi="Times New Roman" w:eastAsia="仿宋" w:cs="Times New Roman"/>
                <w:color w:val="auto"/>
                <w:kern w:val="0"/>
                <w:sz w:val="22"/>
                <w:lang w:val="en-US" w:eastAsia="zh-CN"/>
              </w:rPr>
              <w:t>192.35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4565"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1、房屋（平方米）</w:t>
            </w:r>
          </w:p>
        </w:tc>
        <w:tc>
          <w:tcPr>
            <w:tcW w:w="1877"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c>
          <w:tcPr>
            <w:tcW w:w="2958"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4565"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其中：办公用房（平方米）</w:t>
            </w:r>
          </w:p>
        </w:tc>
        <w:tc>
          <w:tcPr>
            <w:tcW w:w="1877"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c>
          <w:tcPr>
            <w:tcW w:w="2958"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4565"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2、车辆（台、辆）</w:t>
            </w:r>
          </w:p>
        </w:tc>
        <w:tc>
          <w:tcPr>
            <w:tcW w:w="1877"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lang w:eastAsia="zh-CN"/>
              </w:rPr>
            </w:pPr>
            <w:r>
              <w:rPr>
                <w:rFonts w:hint="eastAsia" w:ascii="Times New Roman" w:hAnsi="Times New Roman" w:eastAsia="仿宋" w:cs="Times New Roman"/>
                <w:kern w:val="0"/>
                <w:sz w:val="22"/>
                <w:lang w:val="en-US" w:eastAsia="zh-CN"/>
              </w:rPr>
              <w:t>7</w:t>
            </w:r>
          </w:p>
        </w:tc>
        <w:tc>
          <w:tcPr>
            <w:tcW w:w="2958"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143.58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4565"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3、单价在20万元以上设备</w:t>
            </w:r>
          </w:p>
        </w:tc>
        <w:tc>
          <w:tcPr>
            <w:tcW w:w="1877"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2958"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4565"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4、其他固定资产</w:t>
            </w:r>
          </w:p>
        </w:tc>
        <w:tc>
          <w:tcPr>
            <w:tcW w:w="1877"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2958"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48.77</w:t>
            </w:r>
          </w:p>
        </w:tc>
      </w:tr>
    </w:tbl>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w:t>
      </w:r>
      <w:r>
        <w:rPr>
          <w:rFonts w:hint="eastAsia" w:ascii="Times New Roman" w:hAnsi="Times New Roman" w:eastAsia="仿宋" w:cs="Times New Roman"/>
          <w:sz w:val="32"/>
          <w:szCs w:val="32"/>
          <w:lang w:eastAsia="zh-CN"/>
        </w:rPr>
        <w:t>区级</w:t>
      </w:r>
      <w:r>
        <w:rPr>
          <w:rFonts w:hint="eastAsia" w:ascii="Times New Roman" w:hAnsi="Times New Roman" w:eastAsia="仿宋" w:cs="Times New Roman"/>
          <w:sz w:val="32"/>
          <w:szCs w:val="32"/>
        </w:rPr>
        <w:t>财政当年拨付的资金。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w:t>
      </w:r>
      <w:r>
        <w:rPr>
          <w:rFonts w:hint="eastAsia" w:ascii="Times New Roman" w:hAnsi="Times New Roman" w:eastAsia="仿宋" w:cs="Times New Roman"/>
          <w:sz w:val="32"/>
          <w:szCs w:val="32"/>
          <w:lang w:eastAsia="zh-CN"/>
        </w:rPr>
        <w:t>区级</w:t>
      </w:r>
      <w:r>
        <w:rPr>
          <w:rFonts w:hint="eastAsia" w:ascii="Times New Roman" w:hAnsi="Times New Roman" w:eastAsia="仿宋" w:cs="Times New Roman"/>
          <w:sz w:val="32"/>
          <w:szCs w:val="32"/>
        </w:rPr>
        <w:t>财政预算管理的“三公”经费，是指</w:t>
      </w:r>
      <w:r>
        <w:rPr>
          <w:rFonts w:hint="eastAsia" w:ascii="Times New Roman" w:hAnsi="Times New Roman" w:eastAsia="仿宋" w:cs="Times New Roman"/>
          <w:sz w:val="32"/>
          <w:szCs w:val="32"/>
          <w:lang w:eastAsia="zh-CN"/>
        </w:rPr>
        <w:t>区级</w:t>
      </w:r>
      <w:r>
        <w:rPr>
          <w:rFonts w:hint="eastAsia" w:ascii="Times New Roman" w:hAnsi="Times New Roman" w:eastAsia="仿宋" w:cs="Times New Roman"/>
          <w:sz w:val="32"/>
          <w:szCs w:val="32"/>
        </w:rPr>
        <w:t>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10、事业单位经营支出：指事业单位在专业业务活动及其辅助活动之外开展非独立核算经营活动发生的支出。</w:t>
      </w:r>
    </w:p>
    <w:p>
      <w:pPr>
        <w:ind w:firstLine="643"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我部门无其他需要说明的事项。</w:t>
      </w:r>
    </w:p>
    <w:sectPr>
      <w:footerReference r:id="rId3" w:type="default"/>
      <w:pgSz w:w="11906" w:h="16838"/>
      <w:pgMar w:top="1020" w:right="1361" w:bottom="1020" w:left="1361" w:header="851" w:footer="992" w:gutter="0"/>
      <w:cols w:space="720" w:num="1"/>
      <w:rtlGutter w:val="1"/>
      <w:docGrid w:type="lines" w:linePitch="31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方正小标宋_GBK">
    <w:altName w:val="微软雅黑"/>
    <w:panose1 w:val="03000509000000000000"/>
    <w:charset w:val="86"/>
    <w:family w:val="script"/>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方正仿宋_GBK">
    <w:altName w:val="微软雅黑"/>
    <w:panose1 w:val="03000509000000000000"/>
    <w:charset w:val="86"/>
    <w:family w:val="script"/>
    <w:pitch w:val="default"/>
    <w:sig w:usb0="00000000" w:usb1="00000000" w:usb2="00000010" w:usb3="00000000" w:csb0="00040000" w:csb1="00000000"/>
  </w:font>
  <w:font w:name="新宋体">
    <w:panose1 w:val="02010609030101010101"/>
    <w:charset w:val="86"/>
    <w:family w:val="modern"/>
    <w:pitch w:val="default"/>
    <w:sig w:usb0="00000283" w:usb1="288F0000" w:usb2="00000006" w:usb3="00000000" w:csb0="00040001" w:csb1="00000000"/>
  </w:font>
  <w:font w:name="方正书宋_GBK">
    <w:altName w:val="微软雅黑"/>
    <w:panose1 w:val="03000509000000000000"/>
    <w:charset w:val="86"/>
    <w:family w:val="script"/>
    <w:pitch w:val="default"/>
    <w:sig w:usb0="00000000" w:usb1="00000000" w:usb2="00000010" w:usb3="00000000" w:csb0="00040000" w:csb1="00000000"/>
  </w:font>
  <w:font w:name="宋体-方正超大字符集">
    <w:altName w:val="宋体"/>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framePr w:wrap="around" w:vAnchor="text" w:hAnchor="margin" w:xAlign="outside" w:y="1"/>
      <w:rPr>
        <w:rStyle w:val="14"/>
      </w:rPr>
    </w:pPr>
    <w:r>
      <w:rPr>
        <w:rStyle w:val="14"/>
      </w:rPr>
      <w:fldChar w:fldCharType="begin"/>
    </w:r>
    <w:r>
      <w:rPr>
        <w:rStyle w:val="14"/>
      </w:rPr>
      <w:instrText xml:space="preserve">PAGE  </w:instrText>
    </w:r>
    <w:r>
      <w:fldChar w:fldCharType="separate"/>
    </w:r>
    <w:r>
      <w:rPr>
        <w:rStyle w:val="14"/>
      </w:rPr>
      <w:t>12</w:t>
    </w:r>
    <w:r>
      <w:fldChar w:fldCharType="end"/>
    </w:r>
  </w:p>
  <w:p>
    <w:pPr>
      <w:pStyle w:val="5"/>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dit="readOnly" w:enforcement="0"/>
  <w:defaultTabStop w:val="420"/>
  <w:drawingGridHorizontalSpacing w:val="105"/>
  <w:drawingGridVerticalSpacing w:val="158"/>
  <w:displayHorizontalDrawingGridEvery w:val="0"/>
  <w:displayVerticalDrawingGridEvery w:val="2"/>
  <w:characterSpacingControl w:val="compressPunctuation"/>
  <w:compat>
    <w:spaceForUL/>
    <w:balanceSingleByteDoubleByteWidth/>
    <w:ulTrailSpace/>
    <w:doNotExpandShiftReturn/>
    <w:adjustLineHeightInTable/>
    <w:useFELayout/>
    <w:compatSetting w:name="compatibilityMode" w:uri="http://schemas.microsoft.com/office/word" w:val="14"/>
  </w:compat>
  <w:docVars>
    <w:docVar w:name="commondata" w:val="eyJoZGlkIjoiZjczMDZkNDRiZDdhZjExNTAyZWE2ZWI4OGU2YzBiY2EifQ=="/>
  </w:docVars>
  <w:rsids>
    <w:rsidRoot w:val="00000000"/>
    <w:rsid w:val="788D6CEB"/>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Arial"/>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unhideWhenUsed="0" w:uiPriority="0" w:semiHidden="0" w:name="heading 2"/>
    <w:lsdException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黑体"/>
      <w:kern w:val="2"/>
      <w:sz w:val="21"/>
      <w:szCs w:val="22"/>
      <w:lang w:val="en-US" w:eastAsia="zh-CN" w:bidi="ar-SA"/>
    </w:rPr>
  </w:style>
  <w:style w:type="paragraph" w:styleId="2">
    <w:name w:val="heading 1"/>
    <w:basedOn w:val="1"/>
    <w:next w:val="1"/>
    <w:qFormat/>
    <w:uiPriority w:val="0"/>
    <w:pPr>
      <w:keepNext/>
      <w:keepLines/>
      <w:spacing w:before="340" w:after="330" w:line="578" w:lineRule="auto"/>
      <w:outlineLvl w:val="0"/>
    </w:pPr>
    <w:rPr>
      <w:b/>
      <w:bCs/>
      <w:kern w:val="44"/>
      <w:sz w:val="44"/>
      <w:szCs w:val="44"/>
    </w:rPr>
  </w:style>
  <w:style w:type="paragraph" w:styleId="3">
    <w:name w:val="heading 2"/>
    <w:basedOn w:val="1"/>
    <w:next w:val="1"/>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uiPriority w:val="0"/>
    <w:pPr>
      <w:keepNext/>
      <w:keepLines/>
      <w:spacing w:before="260" w:after="260" w:line="415" w:lineRule="auto"/>
      <w:outlineLvl w:val="2"/>
    </w:pPr>
    <w:rPr>
      <w:b/>
      <w:bCs/>
      <w:sz w:val="32"/>
      <w:szCs w:val="32"/>
    </w:rPr>
  </w:style>
  <w:style w:type="character" w:default="1" w:styleId="11">
    <w:name w:val="Default Paragraph Font"/>
    <w:uiPriority w:val="0"/>
  </w:style>
  <w:style w:type="table" w:default="1" w:styleId="10">
    <w:name w:val="Normal Table"/>
    <w:semiHidden/>
    <w:qFormat/>
    <w:uiPriority w:val="0"/>
    <w:tblPr>
      <w:tblCellMar>
        <w:top w:w="0" w:type="dxa"/>
        <w:left w:w="108" w:type="dxa"/>
        <w:bottom w:w="0" w:type="dxa"/>
        <w:right w:w="108" w:type="dxa"/>
      </w:tblCellMar>
    </w:tblPr>
  </w:style>
  <w:style w:type="paragraph" w:styleId="5">
    <w:name w:val="footer"/>
    <w:basedOn w:val="1"/>
    <w:uiPriority w:val="0"/>
    <w:pPr>
      <w:tabs>
        <w:tab w:val="center" w:pos="4153"/>
        <w:tab w:val="right" w:pos="8306"/>
      </w:tabs>
      <w:snapToGrid w:val="0"/>
      <w:jc w:val="left"/>
    </w:pPr>
    <w:rPr>
      <w:rFonts w:ascii="Times New Roman" w:hAnsi="Times New Roman" w:cs="Times New Roman"/>
      <w:sz w:val="18"/>
      <w:szCs w:val="18"/>
    </w:rPr>
  </w:style>
  <w:style w:type="paragraph" w:styleId="6">
    <w:name w:val="header"/>
    <w:basedOn w:val="1"/>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7">
    <w:name w:val="toc 1"/>
    <w:basedOn w:val="1"/>
    <w:next w:val="1"/>
    <w:uiPriority w:val="0"/>
    <w:rPr>
      <w:rFonts w:ascii="Times New Roman" w:hAnsi="Times New Roman" w:cs="Times New Roman"/>
      <w:szCs w:val="24"/>
    </w:rPr>
  </w:style>
  <w:style w:type="paragraph" w:styleId="8">
    <w:name w:val="footnote text"/>
    <w:basedOn w:val="1"/>
    <w:uiPriority w:val="0"/>
    <w:pPr>
      <w:snapToGrid w:val="0"/>
      <w:jc w:val="left"/>
    </w:pPr>
    <w:rPr>
      <w:sz w:val="18"/>
      <w:szCs w:val="18"/>
    </w:rPr>
  </w:style>
  <w:style w:type="paragraph" w:styleId="9">
    <w:name w:val="toc 2"/>
    <w:basedOn w:val="1"/>
    <w:next w:val="1"/>
    <w:uiPriority w:val="0"/>
    <w:pPr>
      <w:ind w:left="200" w:leftChars="200"/>
    </w:pPr>
    <w:rPr>
      <w:rFonts w:ascii="Times New Roman" w:hAnsi="Times New Roman" w:cs="Times New Roman"/>
      <w:szCs w:val="24"/>
    </w:rPr>
  </w:style>
  <w:style w:type="character" w:styleId="12">
    <w:name w:val="footnote reference"/>
    <w:uiPriority w:val="0"/>
    <w:rPr>
      <w:vertAlign w:val="superscript"/>
    </w:rPr>
  </w:style>
  <w:style w:type="paragraph" w:customStyle="1" w:styleId="13">
    <w:name w:val="Char"/>
    <w:basedOn w:val="1"/>
    <w:uiPriority w:val="0"/>
    <w:rPr>
      <w:rFonts w:ascii="Times New Roman" w:hAnsi="Times New Roman" w:cs="Times New Roman"/>
      <w:szCs w:val="24"/>
    </w:rPr>
  </w:style>
  <w:style w:type="character" w:customStyle="1" w:styleId="14">
    <w:name w:val="页码1"/>
    <w:uiPriority w:val="0"/>
  </w:style>
  <w:style w:type="paragraph" w:customStyle="1" w:styleId="15">
    <w:name w:val="[Normal]"/>
    <w:uiPriority w:val="0"/>
    <w:rPr>
      <w:rFonts w:ascii="宋体" w:hAnsi="宋体" w:eastAsia="宋体" w:cs="Arial"/>
      <w:color w:val="auto"/>
      <w:position w:val="0"/>
      <w:sz w:val="24"/>
      <w:szCs w:val="20"/>
      <w:u w:val="none"/>
      <w:shd w:val="clear" w:color="auto" w:fill="auto"/>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oleObject" Target="embeddings/oleObject3.bin"/><Relationship Id="rId8" Type="http://schemas.openxmlformats.org/officeDocument/2006/relationships/image" Target="media/image2.emf"/><Relationship Id="rId7" Type="http://schemas.openxmlformats.org/officeDocument/2006/relationships/oleObject" Target="embeddings/oleObject2.bin"/><Relationship Id="rId6" Type="http://schemas.openxmlformats.org/officeDocument/2006/relationships/image" Target="media/image1.emf"/><Relationship Id="rId5" Type="http://schemas.openxmlformats.org/officeDocument/2006/relationships/oleObject" Target="embeddings/oleObject1.bin"/><Relationship Id="rId4" Type="http://schemas.openxmlformats.org/officeDocument/2006/relationships/theme" Target="theme/theme1.xml"/><Relationship Id="rId3" Type="http://schemas.openxmlformats.org/officeDocument/2006/relationships/footer" Target="footer1.xml"/><Relationship Id="rId24" Type="http://schemas.openxmlformats.org/officeDocument/2006/relationships/fontTable" Target="fontTable.xml"/><Relationship Id="rId23" Type="http://schemas.openxmlformats.org/officeDocument/2006/relationships/customXml" Target="../customXml/item1.xml"/><Relationship Id="rId22" Type="http://schemas.openxmlformats.org/officeDocument/2006/relationships/image" Target="media/image9.emf"/><Relationship Id="rId21" Type="http://schemas.openxmlformats.org/officeDocument/2006/relationships/oleObject" Target="embeddings/oleObject9.bin"/><Relationship Id="rId20" Type="http://schemas.openxmlformats.org/officeDocument/2006/relationships/image" Target="media/image8.emf"/><Relationship Id="rId2" Type="http://schemas.openxmlformats.org/officeDocument/2006/relationships/settings" Target="settings.xml"/><Relationship Id="rId19" Type="http://schemas.openxmlformats.org/officeDocument/2006/relationships/oleObject" Target="embeddings/oleObject8.bin"/><Relationship Id="rId18" Type="http://schemas.openxmlformats.org/officeDocument/2006/relationships/image" Target="media/image7.emf"/><Relationship Id="rId17" Type="http://schemas.openxmlformats.org/officeDocument/2006/relationships/oleObject" Target="embeddings/oleObject7.bin"/><Relationship Id="rId16" Type="http://schemas.openxmlformats.org/officeDocument/2006/relationships/image" Target="media/image6.emf"/><Relationship Id="rId15" Type="http://schemas.openxmlformats.org/officeDocument/2006/relationships/oleObject" Target="embeddings/oleObject6.bin"/><Relationship Id="rId14" Type="http://schemas.openxmlformats.org/officeDocument/2006/relationships/image" Target="media/image5.emf"/><Relationship Id="rId13" Type="http://schemas.openxmlformats.org/officeDocument/2006/relationships/oleObject" Target="embeddings/oleObject5.bin"/><Relationship Id="rId12" Type="http://schemas.openxmlformats.org/officeDocument/2006/relationships/image" Target="media/image4.emf"/><Relationship Id="rId11" Type="http://schemas.openxmlformats.org/officeDocument/2006/relationships/oleObject" Target="embeddings/oleObject4.bin"/><Relationship Id="rId10" Type="http://schemas.openxmlformats.org/officeDocument/2006/relationships/image" Target="media/image3.emf"/><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customProps>
</customData>
</file>

<file path=customXml/itemProps1.xml><?xml version="1.0" encoding="utf-8"?>
<ds:datastoreItem xmlns:ds="http://schemas.openxmlformats.org/officeDocument/2006/customXml" ds:itemID="{5E66354C-2C57-4F46-BA61-E1EFFD0FFDC3}">
  <ds:schemaRefs/>
</ds:datastoreItem>
</file>

<file path=docProps/app.xml><?xml version="1.0" encoding="utf-8"?>
<Properties xmlns="http://schemas.openxmlformats.org/officeDocument/2006/extended-properties" xmlns:vt="http://schemas.openxmlformats.org/officeDocument/2006/docPropsVTypes">
  <Template>Normal.eit</Template>
  <Company>Microsoft</Company>
  <Pages>18</Pages>
  <Words>3134</Words>
  <Characters>3418</Characters>
  <Lines>0</Lines>
  <Paragraphs>83</Paragraphs>
  <TotalTime>2</TotalTime>
  <ScaleCrop>false</ScaleCrop>
  <LinksUpToDate>false</LinksUpToDate>
  <CharactersWithSpaces>3510</CharactersWithSpaces>
  <Application>WPS Office_12.1.0.16929_F1E327BC-269C-435d-A152-05C5408002CA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2017-01-23T17:29:00Z</dcterms:created>
  <dc:creator>guest</dc:creator>
  <cp:lastModifiedBy>CZJ</cp:lastModifiedBy>
  <cp:lastPrinted>2020-01-10T15:53:00Z</cp:lastPrinted>
  <dcterms:modified xsi:type="dcterms:W3CDTF">2024-06-20T09:28:21Z</dcterms:modified>
  <dc:title>o</dc:title>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2A81F4261BE641C0AA4E42CADE73CD81</vt:lpwstr>
  </property>
</Properties>
</file>