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val="en-US" w:eastAsia="zh-CN"/>
        </w:rPr>
        <w:t>石家庄市井陉矿区人民法院</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val="en-US" w:eastAsia="zh-CN"/>
        </w:rPr>
        <w:t>石家庄市井陉矿区人民法院</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hint="eastAsia" w:ascii="仿宋" w:hAnsi="仿宋" w:eastAsia="仿宋" w:cs="Times New Roman"/>
          <w:b/>
          <w:sz w:val="32"/>
          <w:szCs w:val="32"/>
        </w:rPr>
      </w:pPr>
      <w:r>
        <w:rPr>
          <w:rFonts w:hint="eastAsia" w:ascii="仿宋" w:hAnsi="仿宋" w:eastAsia="仿宋" w:cs="Times New Roman"/>
          <w:b/>
          <w:sz w:val="32"/>
          <w:szCs w:val="32"/>
        </w:rPr>
        <w:t>根据《矿区人民法院职能配置、内设机构和人员编制规定》， 矿区人民法院的主要职责是：</w:t>
      </w:r>
    </w:p>
    <w:p>
      <w:pPr>
        <w:ind w:firstLine="640"/>
        <w:rPr>
          <w:rFonts w:hint="eastAsia" w:ascii="仿宋" w:hAnsi="仿宋" w:eastAsia="仿宋" w:cs="Times New Roman"/>
          <w:b/>
          <w:sz w:val="32"/>
          <w:szCs w:val="32"/>
        </w:rPr>
      </w:pPr>
      <w:r>
        <w:rPr>
          <w:rFonts w:hint="eastAsia" w:ascii="仿宋" w:hAnsi="仿宋" w:eastAsia="仿宋" w:cs="Times New Roman"/>
          <w:b/>
          <w:sz w:val="32"/>
          <w:szCs w:val="32"/>
        </w:rPr>
        <w:t>（一）审判法律、法令规定由本辖区内人民法院管辖的刑事、民事、经济、行政等案件。</w:t>
      </w:r>
    </w:p>
    <w:p>
      <w:pPr>
        <w:ind w:firstLine="640"/>
        <w:rPr>
          <w:rFonts w:hint="eastAsia" w:ascii="仿宋" w:hAnsi="仿宋" w:eastAsia="仿宋" w:cs="Times New Roman"/>
          <w:b/>
          <w:sz w:val="32"/>
          <w:szCs w:val="32"/>
        </w:rPr>
      </w:pPr>
      <w:r>
        <w:rPr>
          <w:rFonts w:hint="eastAsia" w:ascii="仿宋" w:hAnsi="仿宋" w:eastAsia="仿宋" w:cs="Times New Roman"/>
          <w:b/>
          <w:sz w:val="32"/>
          <w:szCs w:val="32"/>
        </w:rPr>
        <w:t>（二）依法受理、审查各类告诉、申诉案件，处理来信来访。</w:t>
      </w:r>
    </w:p>
    <w:p>
      <w:pPr>
        <w:ind w:firstLine="640"/>
        <w:rPr>
          <w:rFonts w:hint="eastAsia" w:ascii="仿宋" w:hAnsi="仿宋" w:eastAsia="仿宋" w:cs="Times New Roman"/>
          <w:b/>
          <w:sz w:val="32"/>
          <w:szCs w:val="32"/>
        </w:rPr>
      </w:pPr>
      <w:r>
        <w:rPr>
          <w:rFonts w:hint="eastAsia" w:ascii="仿宋" w:hAnsi="仿宋" w:eastAsia="仿宋" w:cs="Times New Roman"/>
          <w:b/>
          <w:sz w:val="32"/>
          <w:szCs w:val="32"/>
        </w:rPr>
        <w:t>（三）依法办理发生法律效力的经济、民事、行政案件判决和裁定的执行事项及刑事案件判决和裁定中有关财产部分的执行事项，办理法律规定由法院执行的其他法律文书的执行事项和由申请法院执行的非诉讼行政案件的执行。</w:t>
      </w:r>
    </w:p>
    <w:p>
      <w:pPr>
        <w:ind w:firstLine="640"/>
        <w:rPr>
          <w:rFonts w:hint="eastAsia" w:ascii="仿宋" w:hAnsi="仿宋" w:eastAsia="仿宋" w:cs="Times New Roman"/>
          <w:b/>
          <w:sz w:val="32"/>
          <w:szCs w:val="32"/>
        </w:rPr>
      </w:pPr>
      <w:r>
        <w:rPr>
          <w:rFonts w:hint="eastAsia" w:ascii="仿宋" w:hAnsi="仿宋" w:eastAsia="仿宋" w:cs="Times New Roman"/>
          <w:b/>
          <w:sz w:val="32"/>
          <w:szCs w:val="32"/>
        </w:rPr>
        <w:t>（四）总结审判工作经验及适用法律、政策问题的请示。</w:t>
      </w:r>
    </w:p>
    <w:p>
      <w:pPr>
        <w:ind w:firstLine="640"/>
        <w:rPr>
          <w:rFonts w:hint="eastAsia" w:ascii="仿宋" w:hAnsi="仿宋" w:eastAsia="仿宋" w:cs="Times New Roman"/>
          <w:b/>
          <w:sz w:val="32"/>
          <w:szCs w:val="32"/>
        </w:rPr>
      </w:pPr>
      <w:r>
        <w:rPr>
          <w:rFonts w:hint="eastAsia" w:ascii="仿宋" w:hAnsi="仿宋" w:eastAsia="仿宋" w:cs="Times New Roman"/>
          <w:b/>
          <w:sz w:val="32"/>
          <w:szCs w:val="32"/>
        </w:rPr>
        <w:t>（五）依法决定国家赔偿。</w:t>
      </w:r>
    </w:p>
    <w:p>
      <w:pPr>
        <w:ind w:firstLine="640"/>
        <w:rPr>
          <w:rFonts w:hint="eastAsia" w:ascii="仿宋" w:hAnsi="仿宋" w:eastAsia="仿宋" w:cs="Times New Roman"/>
          <w:b/>
          <w:sz w:val="32"/>
          <w:szCs w:val="32"/>
        </w:rPr>
      </w:pPr>
      <w:r>
        <w:rPr>
          <w:rFonts w:hint="eastAsia" w:ascii="仿宋" w:hAnsi="仿宋" w:eastAsia="仿宋" w:cs="Times New Roman"/>
          <w:b/>
          <w:sz w:val="32"/>
          <w:szCs w:val="32"/>
        </w:rPr>
        <w:t>（六）管理人员法院的有关经费和物资装备。</w:t>
      </w:r>
    </w:p>
    <w:p>
      <w:pPr>
        <w:ind w:firstLine="640"/>
        <w:rPr>
          <w:rFonts w:hint="eastAsia" w:ascii="仿宋" w:hAnsi="仿宋" w:eastAsia="仿宋" w:cs="Times New Roman"/>
          <w:b/>
          <w:sz w:val="32"/>
          <w:szCs w:val="32"/>
        </w:rPr>
      </w:pPr>
      <w:r>
        <w:rPr>
          <w:rFonts w:hint="eastAsia" w:ascii="仿宋" w:hAnsi="仿宋" w:eastAsia="仿宋" w:cs="Times New Roman"/>
          <w:b/>
          <w:sz w:val="32"/>
          <w:szCs w:val="32"/>
        </w:rPr>
        <w:t>（七）负责通讯、计算机等技术管理工作。</w:t>
      </w:r>
    </w:p>
    <w:p>
      <w:pPr>
        <w:ind w:firstLine="640"/>
        <w:rPr>
          <w:rFonts w:hint="eastAsia" w:ascii="仿宋" w:hAnsi="仿宋" w:eastAsia="仿宋" w:cs="Times New Roman"/>
          <w:b/>
          <w:sz w:val="32"/>
          <w:szCs w:val="32"/>
        </w:rPr>
      </w:pPr>
      <w:r>
        <w:rPr>
          <w:rFonts w:hint="eastAsia" w:ascii="仿宋" w:hAnsi="仿宋" w:eastAsia="仿宋" w:cs="Times New Roman"/>
          <w:b/>
          <w:sz w:val="32"/>
          <w:szCs w:val="32"/>
        </w:rPr>
        <w:t>（八）在审判工作中，宣传法制，教育公民遵纪守法。</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（九）办理区委交办的其他工作。</w:t>
      </w:r>
    </w:p>
    <w:p>
      <w:pPr>
        <w:jc w:val="center"/>
        <w:outlineLvl w:val="0"/>
        <w:rPr>
          <w:rFonts w:ascii="Times New Roman" w:hAnsi="Times New Roman" w:eastAsia="方正小标宋_GBK" w:cs="Times New Roman"/>
          <w:sz w:val="32"/>
          <w:szCs w:val="24"/>
        </w:rPr>
      </w:pPr>
    </w:p>
    <w:p>
      <w:pPr>
        <w:jc w:val="center"/>
        <w:outlineLvl w:val="0"/>
        <w:rPr>
          <w:rFonts w:hint="eastAsia"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p>
      <w:pPr>
        <w:jc w:val="center"/>
        <w:outlineLvl w:val="0"/>
        <w:rPr>
          <w:rFonts w:hint="eastAsia" w:ascii="Times New Roman" w:hAnsi="Times New Roman" w:eastAsia="方正小标宋_GBK" w:cs="Times New Roman"/>
          <w:sz w:val="32"/>
          <w:szCs w:val="24"/>
        </w:rPr>
      </w:pPr>
    </w:p>
    <w:tbl>
      <w:tblPr>
        <w:tblStyle w:val="9"/>
        <w:tblW w:w="97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40" w:hRule="atLeast"/>
          <w:jc w:val="center"/>
        </w:trPr>
        <w:tc>
          <w:tcPr>
            <w:tcW w:w="4417" w:type="dxa"/>
            <w:vAlign w:val="center"/>
          </w:tcPr>
          <w:p>
            <w:pPr>
              <w:spacing w:line="300" w:lineRule="exact"/>
              <w:jc w:val="left"/>
              <w:rPr>
                <w:rFonts w:hint="default" w:ascii="Times New Roman" w:hAnsi="Times New Roman" w:eastAsia="方正书宋_GBK" w:cs="Times New Roman"/>
                <w:szCs w:val="24"/>
                <w:lang w:val="en-US" w:eastAsia="zh-CN"/>
              </w:rPr>
            </w:pPr>
            <w:r>
              <w:rPr>
                <w:rFonts w:hint="eastAsia" w:ascii="方正书宋_GBK" w:eastAsia="方正书宋_GBK"/>
                <w:lang w:val="en-US" w:eastAsia="zh-CN"/>
              </w:rPr>
              <w:t>井陉矿区法院</w:t>
            </w:r>
          </w:p>
        </w:tc>
        <w:tc>
          <w:tcPr>
            <w:tcW w:w="1134"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val="en-US" w:eastAsia="zh-CN"/>
              </w:rPr>
              <w:t>行政</w:t>
            </w:r>
          </w:p>
        </w:tc>
        <w:tc>
          <w:tcPr>
            <w:tcW w:w="1276"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val="en-US" w:eastAsia="zh-CN"/>
              </w:rPr>
              <w:t>副处级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按照预算管理有关规定，目前我区部门预算的编制实行综合预算制度，即全部收入和支出都反映在预算中。石家庄市井陉矿区人民法院的收支包含在部门预算中。</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1、收入说明</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hint="eastAsia" w:ascii="Times New Roman" w:hAnsi="Times New Roman" w:eastAsia="仿宋" w:cs="Times New Roman"/>
          <w:sz w:val="32"/>
          <w:szCs w:val="32"/>
          <w:lang w:val="en-US" w:eastAsia="zh-CN"/>
        </w:rPr>
        <w:t>2020</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1341.58</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1341.58</w:t>
      </w:r>
      <w:r>
        <w:rPr>
          <w:rFonts w:hint="eastAsia" w:ascii="Times New Roman" w:hAnsi="Times New Roman" w:eastAsia="仿宋" w:cs="Times New Roman"/>
          <w:sz w:val="32"/>
          <w:szCs w:val="32"/>
        </w:rPr>
        <w:t>万元，财政专户核拨资金0万元，政府性基金预算拨款0万元，国有资本经营预算收入0万元，事业收入0万元，其他收入0万元。</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2、支出说明</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支出预算总表支出栏、基本支出表、项目支出表按经济分类和支出功能分类科目编制，反映石家庄市井陉矿区人民法院年度部门预算中支出预算的总体情况。</w:t>
      </w:r>
      <w:r>
        <w:rPr>
          <w:rFonts w:hint="eastAsia" w:ascii="Times New Roman" w:hAnsi="Times New Roman" w:eastAsia="仿宋" w:cs="Times New Roman"/>
          <w:sz w:val="32"/>
          <w:szCs w:val="32"/>
          <w:lang w:val="en-US" w:eastAsia="zh-CN"/>
        </w:rPr>
        <w:t>2020</w:t>
      </w:r>
      <w:r>
        <w:rPr>
          <w:rFonts w:hint="eastAsia" w:ascii="Times New Roman" w:hAnsi="Times New Roman" w:eastAsia="仿宋" w:cs="Times New Roman"/>
          <w:sz w:val="32"/>
          <w:szCs w:val="32"/>
        </w:rPr>
        <w:t>年支出预算1341.58万元，其中基本支出</w:t>
      </w:r>
      <w:r>
        <w:rPr>
          <w:rFonts w:hint="eastAsia" w:ascii="Times New Roman" w:hAnsi="Times New Roman" w:eastAsia="仿宋" w:cs="Times New Roman"/>
          <w:sz w:val="32"/>
          <w:szCs w:val="32"/>
          <w:lang w:val="en-US" w:eastAsia="zh-CN"/>
        </w:rPr>
        <w:t>955.48</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791.48</w:t>
      </w:r>
      <w:r>
        <w:rPr>
          <w:rFonts w:hint="eastAsia" w:ascii="Times New Roman" w:hAnsi="Times New Roman" w:eastAsia="仿宋" w:cs="Times New Roman"/>
          <w:sz w:val="32"/>
          <w:szCs w:val="32"/>
        </w:rPr>
        <w:t>万元，日常公用经费</w:t>
      </w:r>
      <w:r>
        <w:rPr>
          <w:rFonts w:hint="eastAsia" w:ascii="Times New Roman" w:hAnsi="Times New Roman" w:eastAsia="仿宋" w:cs="Times New Roman"/>
          <w:sz w:val="32"/>
          <w:szCs w:val="32"/>
          <w:lang w:val="en-US" w:eastAsia="zh-CN"/>
        </w:rPr>
        <w:t>164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386.1</w:t>
      </w:r>
      <w:r>
        <w:rPr>
          <w:rFonts w:hint="eastAsia" w:ascii="Times New Roman" w:hAnsi="Times New Roman" w:eastAsia="仿宋" w:cs="Times New Roman"/>
          <w:sz w:val="32"/>
          <w:szCs w:val="32"/>
        </w:rPr>
        <w:t>万元,包括：</w:t>
      </w:r>
      <w:r>
        <w:rPr>
          <w:rFonts w:hint="eastAsia" w:ascii="Times New Roman" w:hAnsi="Times New Roman" w:eastAsia="仿宋" w:cs="Times New Roman"/>
          <w:sz w:val="32"/>
          <w:szCs w:val="32"/>
          <w:lang w:val="en-US" w:eastAsia="zh-CN"/>
        </w:rPr>
        <w:t>上级专款（</w:t>
      </w:r>
      <w:r>
        <w:rPr>
          <w:rFonts w:hint="eastAsia" w:ascii="Times New Roman" w:hAnsi="Times New Roman" w:eastAsia="仿宋" w:cs="Times New Roman"/>
          <w:sz w:val="32"/>
          <w:szCs w:val="32"/>
        </w:rPr>
        <w:t>智慧法院</w:t>
      </w:r>
      <w:r>
        <w:rPr>
          <w:rFonts w:hint="eastAsia" w:ascii="Times New Roman" w:hAnsi="Times New Roman" w:eastAsia="仿宋" w:cs="Times New Roman"/>
          <w:sz w:val="32"/>
          <w:szCs w:val="32"/>
          <w:lang w:val="en-US" w:eastAsia="zh-CN"/>
        </w:rPr>
        <w:t>装备购置、两庭配套装备）、司法救助、党建工作经费、扫黑除恶专项资金、保安经费及劳务派遣经费</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3、比上年增减情况</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2020</w:t>
      </w:r>
      <w:r>
        <w:rPr>
          <w:rFonts w:hint="eastAsia" w:ascii="Times New Roman" w:hAnsi="Times New Roman" w:eastAsia="仿宋" w:cs="Times New Roman"/>
          <w:sz w:val="32"/>
          <w:szCs w:val="32"/>
        </w:rPr>
        <w:t>年预算支出安排</w:t>
      </w:r>
      <w:r>
        <w:rPr>
          <w:rFonts w:hint="eastAsia" w:ascii="Times New Roman" w:hAnsi="Times New Roman" w:eastAsia="仿宋" w:cs="Times New Roman"/>
          <w:sz w:val="32"/>
          <w:szCs w:val="32"/>
          <w:lang w:val="en-US" w:eastAsia="zh-CN"/>
        </w:rPr>
        <w:t>1341.58</w:t>
      </w:r>
      <w:r>
        <w:rPr>
          <w:rFonts w:hint="eastAsia" w:ascii="Times New Roman" w:hAnsi="Times New Roman" w:eastAsia="仿宋" w:cs="Times New Roman"/>
          <w:sz w:val="32"/>
          <w:szCs w:val="32"/>
        </w:rPr>
        <w:t>万元，较</w:t>
      </w:r>
      <w:r>
        <w:rPr>
          <w:rFonts w:hint="eastAsia" w:ascii="Times New Roman" w:hAnsi="Times New Roman" w:eastAsia="仿宋" w:cs="Times New Roman"/>
          <w:sz w:val="32"/>
          <w:szCs w:val="32"/>
          <w:lang w:val="en-US" w:eastAsia="zh-CN"/>
        </w:rPr>
        <w:t>2019</w:t>
      </w:r>
      <w:r>
        <w:rPr>
          <w:rFonts w:hint="eastAsia" w:ascii="Times New Roman" w:hAnsi="Times New Roman" w:eastAsia="仿宋" w:cs="Times New Roman"/>
          <w:sz w:val="32"/>
          <w:szCs w:val="32"/>
        </w:rPr>
        <w:t>年预算</w:t>
      </w:r>
      <w:r>
        <w:rPr>
          <w:rFonts w:hint="eastAsia" w:ascii="Times New Roman" w:hAnsi="Times New Roman" w:eastAsia="仿宋" w:cs="Times New Roman"/>
          <w:sz w:val="32"/>
          <w:szCs w:val="32"/>
          <w:lang w:val="en-US" w:eastAsia="zh-CN"/>
        </w:rPr>
        <w:t>增加86.58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增加152.48</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人员经费增加125.58万元、日常公用经费26.9万元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，主要为</w:t>
      </w:r>
      <w:r>
        <w:rPr>
          <w:rFonts w:hint="eastAsia" w:ascii="Times New Roman" w:hAnsi="Times New Roman" w:eastAsia="仿宋" w:cs="Times New Roman"/>
          <w:sz w:val="32"/>
          <w:szCs w:val="32"/>
          <w:lang w:val="en-US" w:eastAsia="zh-CN"/>
        </w:rPr>
        <w:t>增加</w:t>
      </w:r>
      <w:r>
        <w:rPr>
          <w:rFonts w:hint="eastAsia" w:ascii="Times New Roman" w:hAnsi="Times New Roman" w:eastAsia="仿宋" w:cs="Times New Roman"/>
          <w:sz w:val="32"/>
          <w:szCs w:val="32"/>
        </w:rPr>
        <w:t>人员经费支出；项目支出</w:t>
      </w:r>
      <w:r>
        <w:rPr>
          <w:rFonts w:hint="eastAsia" w:ascii="Times New Roman" w:hAnsi="Times New Roman" w:eastAsia="仿宋" w:cs="Times New Roman"/>
          <w:sz w:val="32"/>
          <w:szCs w:val="32"/>
          <w:lang w:val="en-US" w:eastAsia="zh-CN"/>
        </w:rPr>
        <w:t>减少65.9</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，，主要为</w:t>
      </w:r>
      <w:r>
        <w:rPr>
          <w:rFonts w:hint="eastAsia" w:ascii="Times New Roman" w:hAnsi="Times New Roman" w:eastAsia="仿宋" w:cs="Times New Roman"/>
          <w:sz w:val="32"/>
          <w:szCs w:val="32"/>
          <w:lang w:val="en-US" w:eastAsia="zh-CN"/>
        </w:rPr>
        <w:t>减少</w:t>
      </w:r>
      <w:r>
        <w:rPr>
          <w:rFonts w:hint="eastAsia" w:ascii="Times New Roman" w:hAnsi="Times New Roman" w:eastAsia="仿宋" w:cs="Times New Roman"/>
          <w:sz w:val="32"/>
          <w:szCs w:val="32"/>
          <w:lang w:eastAsia="zh-CN"/>
        </w:rPr>
        <w:t>智慧法院建设支出</w:t>
      </w:r>
      <w:r>
        <w:rPr>
          <w:rFonts w:hint="eastAsia" w:ascii="Times New Roman" w:hAnsi="Times New Roman" w:eastAsia="仿宋" w:cs="Times New Roman"/>
          <w:sz w:val="32"/>
          <w:szCs w:val="32"/>
        </w:rPr>
        <w:t>。</w:t>
      </w:r>
    </w:p>
    <w:p>
      <w:pPr>
        <w:autoSpaceDE w:val="0"/>
        <w:autoSpaceDN w:val="0"/>
        <w:adjustRightInd w:val="0"/>
        <w:ind w:left="198" w:firstLine="643" w:firstLineChars="200"/>
        <w:jc w:val="left"/>
        <w:rPr>
          <w:rFonts w:hint="eastAsia" w:ascii="宋体" w:hAnsi="宋体" w:cs="宋体"/>
          <w:b/>
          <w:sz w:val="32"/>
          <w:szCs w:val="32"/>
        </w:rPr>
      </w:pPr>
      <w:r>
        <w:rPr>
          <w:rFonts w:hint="eastAsia" w:ascii="宋体" w:hAnsi="宋体" w:cs="宋体"/>
          <w:b/>
          <w:sz w:val="32"/>
          <w:szCs w:val="32"/>
        </w:rPr>
        <w:t>三、机关运行经费安排情况</w:t>
      </w:r>
    </w:p>
    <w:p>
      <w:pPr>
        <w:ind w:firstLine="640" w:firstLineChars="200"/>
        <w:rPr>
          <w:rFonts w:hint="eastAsia" w:ascii="黑体" w:hAnsi="黑体" w:eastAsia="黑体" w:cs="Times New Roman"/>
          <w:sz w:val="32"/>
          <w:szCs w:val="32"/>
        </w:rPr>
      </w:pPr>
      <w:r>
        <w:rPr>
          <w:rFonts w:hint="eastAsia" w:ascii="宋体" w:hAnsi="宋体" w:cs="宋体"/>
          <w:sz w:val="32"/>
          <w:szCs w:val="32"/>
        </w:rPr>
        <w:t>机关运行经费共计安排</w:t>
      </w:r>
      <w:r>
        <w:rPr>
          <w:rFonts w:hint="eastAsia" w:ascii="宋体" w:hAnsi="宋体" w:cs="宋体"/>
          <w:sz w:val="32"/>
          <w:szCs w:val="32"/>
          <w:highlight w:val="none"/>
          <w:lang w:val="en-US" w:eastAsia="zh-CN"/>
        </w:rPr>
        <w:t>164</w:t>
      </w:r>
      <w:r>
        <w:rPr>
          <w:rFonts w:hint="eastAsia" w:ascii="宋体" w:hAnsi="宋体" w:cs="宋体"/>
          <w:sz w:val="32"/>
          <w:szCs w:val="32"/>
          <w:highlight w:val="none"/>
        </w:rPr>
        <w:t>万</w:t>
      </w:r>
      <w:r>
        <w:rPr>
          <w:rFonts w:hint="eastAsia" w:ascii="宋体" w:hAnsi="宋体" w:cs="宋体"/>
          <w:sz w:val="32"/>
          <w:szCs w:val="32"/>
        </w:rPr>
        <w:t>元，主要用于</w:t>
      </w:r>
      <w:r>
        <w:rPr>
          <w:rFonts w:hint="eastAsia" w:ascii="宋体" w:hAnsi="宋体" w:cs="宋体"/>
          <w:sz w:val="32"/>
          <w:szCs w:val="32"/>
          <w:lang w:eastAsia="zh-CN"/>
        </w:rPr>
        <w:t>本部门的公用经费</w:t>
      </w:r>
      <w:r>
        <w:rPr>
          <w:rFonts w:hint="eastAsia" w:ascii="宋体" w:hAnsi="宋体" w:cs="宋体"/>
          <w:sz w:val="32"/>
          <w:szCs w:val="32"/>
        </w:rPr>
        <w:t>，办公及印刷费、邮电费、差旅费、日常维修费、专用材料及一般设备购置费、办公用房水电费、办公用房取暖费、公务用车运行维护费以及其他费用等日常运行支出。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25.2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，比上年减少</w:t>
      </w:r>
      <w:r>
        <w:rPr>
          <w:rFonts w:hint="eastAsia" w:ascii="Times New Roman" w:hAnsi="Times New Roman" w:eastAsia="仿宋" w:cs="Times New Roman"/>
          <w:sz w:val="32"/>
          <w:szCs w:val="32"/>
          <w:lang w:val="en-US" w:eastAsia="zh-CN"/>
        </w:rPr>
        <w:t>0.3万元</w:t>
      </w:r>
      <w:r>
        <w:rPr>
          <w:rFonts w:hint="eastAsia" w:ascii="Times New Roman" w:hAnsi="Times New Roman" w:eastAsia="仿宋" w:cs="Times New Roman"/>
          <w:sz w:val="32"/>
          <w:szCs w:val="32"/>
        </w:rPr>
        <w:t>，其中：因公出国（境）费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，与上年持平</w:t>
      </w:r>
      <w:r>
        <w:rPr>
          <w:rFonts w:hint="eastAsia" w:ascii="Times New Roman" w:hAnsi="Times New Roman" w:eastAsia="仿宋" w:cs="Times New Roman"/>
          <w:sz w:val="32"/>
          <w:szCs w:val="32"/>
        </w:rPr>
        <w:t>；公务用车购置及运维费</w:t>
      </w:r>
      <w:r>
        <w:rPr>
          <w:rFonts w:hint="eastAsia" w:ascii="Times New Roman" w:hAnsi="Times New Roman" w:eastAsia="仿宋" w:cs="Times New Roman"/>
          <w:sz w:val="32"/>
          <w:szCs w:val="32"/>
          <w:lang w:val="en-US" w:eastAsia="zh-CN"/>
        </w:rPr>
        <w:t>25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，与上年持平</w:t>
      </w:r>
      <w:r>
        <w:rPr>
          <w:rFonts w:hint="eastAsia" w:ascii="Times New Roman" w:hAnsi="Times New Roman" w:eastAsia="仿宋" w:cs="Times New Roman"/>
          <w:sz w:val="32"/>
          <w:szCs w:val="32"/>
        </w:rPr>
        <w:t>（其中：公务用车购置费0万元，公务用车运行维护费</w:t>
      </w:r>
      <w:r>
        <w:rPr>
          <w:rFonts w:hint="eastAsia" w:ascii="Times New Roman" w:hAnsi="Times New Roman" w:eastAsia="仿宋" w:cs="Times New Roman"/>
          <w:sz w:val="32"/>
          <w:szCs w:val="32"/>
          <w:lang w:val="en-US" w:eastAsia="zh-CN"/>
        </w:rPr>
        <w:t>25</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0.20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，比上年减少了</w:t>
      </w:r>
      <w:r>
        <w:rPr>
          <w:rFonts w:hint="eastAsia" w:ascii="Times New Roman" w:hAnsi="Times New Roman" w:eastAsia="仿宋" w:cs="Times New Roman"/>
          <w:sz w:val="32"/>
          <w:szCs w:val="32"/>
          <w:lang w:val="en-US" w:eastAsia="zh-CN"/>
        </w:rPr>
        <w:t>0.3万元</w:t>
      </w:r>
      <w:r>
        <w:rPr>
          <w:rFonts w:hint="eastAsia" w:ascii="Times New Roman" w:hAnsi="Times New Roman" w:eastAsia="仿宋" w:cs="Times New Roman"/>
          <w:sz w:val="32"/>
          <w:szCs w:val="32"/>
        </w:rPr>
        <w:t>。“三公”经费</w:t>
      </w:r>
      <w:r>
        <w:rPr>
          <w:rFonts w:hint="eastAsia" w:ascii="Times New Roman" w:hAnsi="Times New Roman" w:eastAsia="仿宋" w:cs="Times New Roman"/>
          <w:sz w:val="32"/>
          <w:szCs w:val="32"/>
          <w:lang w:val="en-US" w:eastAsia="zh-CN"/>
        </w:rPr>
        <w:t>减少主要当年接待任务预算</w:t>
      </w:r>
      <w:bookmarkStart w:id="7" w:name="_GoBack"/>
      <w:bookmarkEnd w:id="7"/>
      <w:r>
        <w:rPr>
          <w:rFonts w:hint="eastAsia" w:ascii="Times New Roman" w:hAnsi="Times New Roman" w:eastAsia="仿宋" w:cs="Times New Roman"/>
          <w:sz w:val="32"/>
          <w:szCs w:val="32"/>
          <w:lang w:val="en-US" w:eastAsia="zh-CN"/>
        </w:rPr>
        <w:t>减少</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hint="eastAsia" w:ascii="黑体" w:hAnsi="黑体" w:eastAsia="黑体"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960" w:firstLineChars="300"/>
        <w:jc w:val="left"/>
        <w:rPr>
          <w:rFonts w:hint="eastAsia" w:ascii="Times New Roman" w:hAnsi="Times New Roman" w:eastAsia="方正仿宋_GBK" w:cs="Times New Roman"/>
          <w:b/>
          <w:sz w:val="32"/>
          <w:szCs w:val="32"/>
        </w:rPr>
      </w:pPr>
      <w:bookmarkStart w:id="0" w:name="_Toc471398463"/>
    </w:p>
    <w:p>
      <w:pPr>
        <w:ind w:firstLine="960" w:firstLineChars="300"/>
        <w:jc w:val="left"/>
        <w:rPr>
          <w:rFonts w:ascii="Times New Roman" w:hAnsi="Times New Roman" w:eastAsia="仿宋" w:cs="Times New Roman"/>
          <w:sz w:val="32"/>
          <w:szCs w:val="32"/>
        </w:rPr>
      </w:pPr>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我院将坚持公开审判制度，严格落实法律规定，不断加强诉讼服务大厅和立案窗口建设，全面公开各类立案信息。加强立案、信访接待工作,扎实推进执行信息公开平台，依托执行信息公开平台，向社会各界全面公开执行信息，加大力度解决“执行难”问题，促进执行工作的公开、透明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大力加强刑事审判工作，及时审理各类民商事纠纷案件，促进依法行政，推进依法治区。扎实开展宣传工作营造崇尚法治的良好环境，进一步加强队伍建设，建立良好的办公环境,树立新形象。</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（一）关于提前下达2020年法院建设补助资金的通知</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绩效目标：提高预算编制完整性，支持开展审判工作。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绩效指标：办案装备（凤山、贾庄人民法庭配套装备）购置经费30万元；智慧法院装备（语音识别转录系统、网络安全经费、云桌面）购置经费120万元。</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（二）关于提前下达2020年度政法纪检监察转移支付资金的通知</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绩效目标：确保资金全部用于本院开展办案业务工作所必需基本手段和条件的装备及办案需要。</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绩效指标：业务办案经费用于本院办理各类案件所需经费开支，严格执行现行国家规定的经费开支范围，确保专款专用；业务装备经费不得低于30%。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（三）关于提前下达2020年省级基层公检法司转移支付资金的通知</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绩效目标：确保资金全部用于本院开展办案业务工作所必需基本手段和条件的装备及办案需要。</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绩效指标：业务办案经费用于本院办理各类案件所需经费开支，严格执行现行国家规定的经费开支范围，确保专款专用；业务装备经费不得低于30%。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（四）扫黑除恶专项资金</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绩效目标：采取有效措施，把扫黑除恶专项行动抓紧抓实。</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绩效指标：维护社会治安秩序和谐稳定，确保社会治安持续稳定。</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（五）司法救助</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绩效目标：建立专项司法救助资金，坚持辅助性救助、坚持公正救助、坚持及时救助、坚持属地救助。</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绩效指标：根据司法救助决定书对救助对象发放司法救助金。</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（六）党建工作经费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绩效目标：深入推进反腐败斗争。</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绩效指标：全面推进政治建设、思想建设、组织建设、作风建设、纪律建设，把制度建设贯穿其中，深入推进反腐败斗争，不断提高机关党的建设质量。</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（七）保安经费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绩效目标：对本院保安人员的工资按时发放工资。</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绩效指标：对本院保安人员的工资按月按时发放工资，全年出勤率不低于90%。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（八）劳务派遣经费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绩效目标：对本院劳务派遣人员的工资按时发放工资。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绩效指标：对本院劳务派遣人员的工资按月按时发放工资，全年出勤率不低于90%。</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（一）狠抓执法办案的第一要务。严格落实司法责任制，强力推进院领导办案制度，办案指标要高于上级法院所规定标准，起到率先垂范的作用，确保年终结案率位列全市基层法院前列。</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（二）坚定不移推进司法改革。深入推进审判权运行机制改革，落实法官办案责任制，制定科学的绩效考核办法，优化审判执行团队的结构，相互配合、相互补位，进一步提升法院审执质效。</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坚持“为大局服务，为人民司法”的司法理念，服务发展稳定大局。更加自觉地将法院工作融入全区工作大局，以优化营商环境为目标，为送法进企等形式，为区重点工作、重点企业提供及时有效的法律咨询，为矿区的经济发展、社会和谐稳定提供有力的司法保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坚持为民司法，落实便民利民为民措施。强化为民服务宗旨，主动适应新形势下人民群众的多元司法需求，深化司法为民便民举措，积极争取区财政及上级法院的支持，对现有的诉讼服务中心进行升级改造，拟新建两个数字法庭，实现办公区和审判区分离办公，保证司法活动的公开和中立，提高工作效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（五）不断加强队伍建设。一是继续加强干警政治学习，不断深化</w:t>
      </w:r>
      <w:r>
        <w:rPr>
          <w:rFonts w:hint="eastAsia" w:ascii="Times New Roman" w:hAnsi="Times New Roman" w:eastAsia="仿宋" w:cs="Times New Roman"/>
          <w:sz w:val="32"/>
          <w:szCs w:val="32"/>
          <w:lang w:eastAsia="zh-CN"/>
        </w:rPr>
        <w:t>“两学一做”学习教育</w:t>
      </w:r>
      <w:r>
        <w:rPr>
          <w:rFonts w:hint="eastAsia" w:ascii="Times New Roman" w:hAnsi="Times New Roman" w:eastAsia="仿宋" w:cs="Times New Roman"/>
          <w:sz w:val="32"/>
          <w:szCs w:val="32"/>
        </w:rPr>
        <w:t>，强化司法作风建设，把纪律和规矩挺在前面，引导干警切实做到讲纪律、守规矩、知敬畏、存戒惧，守住做人处事用权底线；二是不断加强业务培训，每个月邀请上级法院资深法官及大中院校法律老师进行授课，不断提高干警业务素质。我院将树立审执工作一盘棋的格局，通过集中专项执行活动，利用信息化手段，不断提高执行效率。</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numPr>
                <w:ilvl w:val="0"/>
                <w:numId w:val="1"/>
              </w:num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预算项目绩效目标</w:t>
            </w:r>
          </w:p>
          <w:p>
            <w:pPr>
              <w:numPr>
                <w:ilvl w:val="0"/>
                <w:numId w:val="0"/>
              </w:numPr>
              <w:autoSpaceDE w:val="0"/>
              <w:autoSpaceDN w:val="0"/>
              <w:adjustRightInd w:val="0"/>
              <w:jc w:val="left"/>
              <w:rPr>
                <w:rFonts w:hint="eastAsia" w:ascii="方正仿宋_GBK" w:eastAsia="方正仿宋_GBK"/>
                <w:b/>
                <w:sz w:val="28"/>
              </w:rPr>
            </w:pPr>
            <w:r>
              <w:rPr>
                <w:rFonts w:hint="eastAsia" w:ascii="方正仿宋_GBK" w:eastAsia="方正仿宋_GBK"/>
                <w:b/>
                <w:sz w:val="28"/>
              </w:rPr>
              <w:t xml:space="preserve"> </w:t>
            </w:r>
          </w:p>
          <w:p>
            <w:pPr>
              <w:ind w:firstLine="560" w:firstLineChars="200"/>
              <w:jc w:val="left"/>
              <w:outlineLvl w:val="1"/>
              <w:rPr>
                <w:rFonts w:hint="eastAsia" w:ascii="方正书宋_GBK" w:eastAsia="方正书宋_GBK"/>
                <w:b/>
              </w:rPr>
            </w:pPr>
            <w:r>
              <w:rPr>
                <w:rFonts w:hint="eastAsia" w:ascii="方正仿宋_GBK" w:eastAsia="方正仿宋_GBK"/>
                <w:b/>
                <w:sz w:val="28"/>
              </w:rPr>
              <w:t>1、</w:t>
            </w:r>
            <w:r>
              <w:rPr>
                <w:rFonts w:hint="eastAsia" w:ascii="方正仿宋_GBK" w:eastAsia="方正仿宋_GBK"/>
                <w:b/>
                <w:sz w:val="28"/>
                <w:lang w:val="en-US" w:eastAsia="zh-CN"/>
              </w:rPr>
              <w:t>司法救助</w:t>
            </w:r>
            <w:r>
              <w:rPr>
                <w:rFonts w:hint="eastAsia" w:ascii="方正仿宋_GBK" w:eastAsia="方正仿宋_GBK"/>
                <w:b/>
                <w:sz w:val="28"/>
              </w:rPr>
              <w:t>绩效目标表</w:t>
            </w:r>
            <w:r>
              <w:rPr>
                <w:rFonts w:hint="eastAsia" w:ascii="方正书宋_GBK" w:eastAsia="方正书宋_GBK"/>
                <w:b/>
              </w:rPr>
              <w:t xml:space="preserve"> </w:t>
            </w:r>
          </w:p>
          <w:p>
            <w:pPr>
              <w:jc w:val="left"/>
              <w:outlineLvl w:val="1"/>
              <w:rPr>
                <w:rFonts w:hint="eastAsia"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、建立专项司法救助资金，坚持辅助性救助、坚持公正救助、坚持及时救助、坚持属地救助。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、根据司法救助决定书对救助对象发放司法救助金。</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b/>
                <w:i w:val="0"/>
                <w:color w:val="000000"/>
                <w:kern w:val="0"/>
                <w:sz w:val="18"/>
                <w:szCs w:val="18"/>
                <w:u w:val="none"/>
                <w:lang w:val="en-US" w:eastAsia="zh-CN" w:bidi="ar"/>
              </w:rPr>
              <w:t>产出指标</w:t>
            </w: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司法救助工作完成率(%)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年度内已完成的司法救助工作量占受理量的比例</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法院司法救助决定书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结案率(%)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司法救助已结案件与全部立案的司法救助案件的比例</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法院司法救助决定书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司法委托工作完成率(%)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在规定时限内完成委托案件占申请委托案件总数的比例</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法院司法救助决定书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left w:val="single" w:color="auto" w:sz="4" w:space="0"/>
              <w:right w:val="single" w:color="auto" w:sz="4" w:space="0"/>
            </w:tcBorders>
            <w:vAlign w:val="center"/>
          </w:tcPr>
          <w:p>
            <w:pPr>
              <w:jc w:val="center"/>
              <w:rPr>
                <w:rFonts w:hint="default" w:ascii="方正书宋_GBK" w:eastAsia="方正书宋_GBK"/>
                <w:lang w:val="en-US" w:eastAsia="zh-CN"/>
              </w:rPr>
            </w:pPr>
            <w:r>
              <w:rPr>
                <w:rFonts w:hint="eastAsia" w:ascii="方正书宋_GBK" w:eastAsia="方正书宋_GBK"/>
                <w:lang w:val="en-US" w:eastAsia="zh-CN"/>
              </w:rPr>
              <w:t>效果指标</w:t>
            </w: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提供法律咨询数量(%)</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为社会提供法律咨询服务数量</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法院司法救助决定书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受救助群众投诉率(%)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受救助群众对司法救助工作的投诉率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&lt;85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法院司法救助决定书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化解矛盾律(%)</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司法救助案件化解矛盾的数量占司法救助案件数的比率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&lt;=85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法院司法救助决定书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tcBorders>
            <w:vAlign w:val="center"/>
          </w:tcPr>
          <w:p>
            <w:pPr>
              <w:jc w:val="center"/>
              <w:rPr>
                <w:rFonts w:hint="default" w:ascii="方正书宋_GBK" w:eastAsia="方正书宋_GBK"/>
                <w:lang w:val="en-US" w:eastAsia="zh-CN"/>
              </w:rPr>
            </w:pPr>
            <w:r>
              <w:rPr>
                <w:rFonts w:hint="eastAsia" w:ascii="方正书宋_GBK" w:eastAsia="方正书宋_GBK"/>
                <w:lang w:val="en-US" w:eastAsia="zh-CN"/>
              </w:rPr>
              <w:t>满意度指标</w:t>
            </w:r>
          </w:p>
        </w:tc>
        <w:tc>
          <w:tcPr>
            <w:tcW w:w="1134"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群众满意数量占总数的比例。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法院司法救助决定书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法院司法救助决定书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使用人员的满意陈谷</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法院司法救助决定书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vAlign w:val="center"/>
          </w:tcPr>
          <w:p>
            <w:pPr>
              <w:jc w:val="left"/>
              <w:outlineLvl w:val="1"/>
              <w:rPr>
                <w:rFonts w:hint="eastAsia" w:ascii="方正仿宋_GBK" w:eastAsia="方正仿宋_GBK"/>
                <w:b/>
                <w:sz w:val="28"/>
              </w:rPr>
            </w:pPr>
            <w:r>
              <w:rPr>
                <w:rFonts w:hint="eastAsia" w:ascii="方正仿宋_GBK" w:eastAsia="方正仿宋_GBK"/>
                <w:b/>
                <w:sz w:val="28"/>
              </w:rPr>
              <w:t xml:space="preserve"> </w:t>
            </w:r>
          </w:p>
          <w:p>
            <w:pPr>
              <w:ind w:firstLine="560" w:firstLineChars="200"/>
              <w:jc w:val="left"/>
              <w:outlineLvl w:val="1"/>
              <w:rPr>
                <w:rFonts w:hint="eastAsia" w:ascii="方正仿宋_GBK" w:eastAsia="方正仿宋_GBK"/>
                <w:b/>
                <w:sz w:val="28"/>
              </w:rPr>
            </w:pPr>
            <w:r>
              <w:rPr>
                <w:rFonts w:hint="eastAsia" w:ascii="方正仿宋_GBK" w:eastAsia="方正仿宋_GBK"/>
                <w:b/>
                <w:sz w:val="28"/>
                <w:lang w:val="en-US" w:eastAsia="zh-CN"/>
              </w:rPr>
              <w:t>2、凤山、贾庄法庭配套装备</w:t>
            </w:r>
            <w:r>
              <w:rPr>
                <w:rFonts w:hint="eastAsia" w:ascii="方正仿宋_GBK" w:eastAsia="方正仿宋_GBK"/>
                <w:b/>
                <w:sz w:val="28"/>
              </w:rPr>
              <w:t>绩效目标表</w:t>
            </w:r>
          </w:p>
          <w:p>
            <w:pPr>
              <w:numPr>
                <w:ilvl w:val="0"/>
                <w:numId w:val="0"/>
              </w:numPr>
              <w:ind w:left="140" w:leftChars="0"/>
              <w:jc w:val="left"/>
              <w:outlineLvl w:val="1"/>
              <w:rPr>
                <w:rFonts w:ascii="方正书宋_GBK" w:eastAsia="方正书宋_GBK"/>
                <w:b/>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6"/>
            <w:r>
              <w:rPr>
                <w:rFonts w:hint="eastAsia" w:ascii="方正仿宋_GBK" w:eastAsia="方正仿宋_GBK"/>
                <w:b/>
                <w:sz w:val="28"/>
              </w:rPr>
              <w:instrText xml:space="preserve">5、河北人大历史陈列馆建设及办公用房修缮资金（预内基建）绩效目标表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5"/>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、提高预算编制的完整性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、确保政法机关办案业务需要</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b/>
                <w:i w:val="0"/>
                <w:color w:val="000000"/>
                <w:kern w:val="0"/>
                <w:sz w:val="18"/>
                <w:szCs w:val="18"/>
                <w:u w:val="none"/>
                <w:lang w:val="en-US" w:eastAsia="zh-CN" w:bidi="ar"/>
              </w:rPr>
              <w:t>产出指标</w:t>
            </w: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购置验收通过率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通过验收的购置数量占购置总数的比率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政府采购率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实际政府采购数量占应实施政府采购数量的比率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购置质量合格率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购置质量合格的数量占购置总数量的比率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left w:val="single" w:color="auto" w:sz="4" w:space="0"/>
              <w:right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效果指标</w:t>
            </w: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业务保障能力提升情况</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购置对业务保障能力的提升情况</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公共服务水平提升情况</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购置对公共服务水平的提升情况</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调查中使用人员满意和较满意的数量占调差总人数的比率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满意度指标</w:t>
            </w:r>
          </w:p>
        </w:tc>
        <w:tc>
          <w:tcPr>
            <w:tcW w:w="1134"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群众满意数量占总数的比例。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vAlign w:val="center"/>
          </w:tcPr>
          <w:p>
            <w:pPr>
              <w:numPr>
                <w:ilvl w:val="0"/>
                <w:numId w:val="0"/>
              </w:numPr>
              <w:jc w:val="left"/>
              <w:outlineLvl w:val="1"/>
              <w:rPr>
                <w:rFonts w:hint="eastAsia" w:ascii="方正仿宋_GBK" w:eastAsia="方正仿宋_GBK"/>
                <w:b/>
                <w:sz w:val="28"/>
                <w:lang w:val="en-US" w:eastAsia="zh-CN"/>
              </w:rPr>
            </w:pPr>
          </w:p>
          <w:p>
            <w:pPr>
              <w:numPr>
                <w:ilvl w:val="0"/>
                <w:numId w:val="0"/>
              </w:numPr>
              <w:ind w:firstLine="560" w:firstLineChars="200"/>
              <w:jc w:val="left"/>
              <w:outlineLvl w:val="1"/>
              <w:rPr>
                <w:rFonts w:hint="eastAsia" w:ascii="方正仿宋_GBK" w:eastAsia="方正仿宋_GBK"/>
                <w:b/>
                <w:sz w:val="28"/>
              </w:rPr>
            </w:pPr>
            <w:r>
              <w:rPr>
                <w:rFonts w:hint="eastAsia" w:ascii="方正仿宋_GBK" w:eastAsia="方正仿宋_GBK"/>
                <w:b/>
                <w:sz w:val="28"/>
                <w:lang w:val="en-US" w:eastAsia="zh-CN"/>
              </w:rPr>
              <w:t>3、党建工作经费</w:t>
            </w:r>
            <w:r>
              <w:rPr>
                <w:rFonts w:hint="eastAsia" w:ascii="方正仿宋_GBK" w:eastAsia="方正仿宋_GBK"/>
                <w:b/>
                <w:sz w:val="28"/>
              </w:rPr>
              <w:t>绩效目标表</w:t>
            </w:r>
          </w:p>
          <w:p>
            <w:pPr>
              <w:numPr>
                <w:ilvl w:val="0"/>
                <w:numId w:val="0"/>
              </w:numPr>
              <w:ind w:left="140" w:leftChars="0"/>
              <w:jc w:val="left"/>
              <w:outlineLvl w:val="1"/>
              <w:rPr>
                <w:rFonts w:hint="eastAsia" w:ascii="方正仿宋_GBK" w:eastAsia="方正仿宋_GBK"/>
                <w:b/>
                <w:sz w:val="28"/>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5"/>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、深入推进反腐败斗争</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、不断提高机关党的建设质量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b/>
                <w:i w:val="0"/>
                <w:color w:val="000000"/>
                <w:kern w:val="0"/>
                <w:sz w:val="18"/>
                <w:szCs w:val="18"/>
                <w:u w:val="none"/>
                <w:lang w:val="en-US" w:eastAsia="zh-CN" w:bidi="ar"/>
              </w:rPr>
              <w:t>产出指标</w:t>
            </w: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审判流程公开率(%)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审判流程公开案件占全部案件的比率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执行公开率(%)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执行案件公开数占执结案件数的比率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提前执结率(%)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比执结规定提前的时间占执结规定时间的比率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left w:val="single" w:color="auto" w:sz="4" w:space="0"/>
              <w:right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效果指标</w:t>
            </w: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改判发回重审率(%)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被改判发回重审案件数占案件总数的比率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&lt;=85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案件流程合规率(%)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纳入审判管理流程案件与全部案件的比例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民事案件调解撤诉率(%)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调解后撤诉民事案件数占民事案件总数的比率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满意度指标</w:t>
            </w:r>
          </w:p>
        </w:tc>
        <w:tc>
          <w:tcPr>
            <w:tcW w:w="1134"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群众满意数量占总数的比例。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vAlign w:val="center"/>
          </w:tcPr>
          <w:p>
            <w:pPr>
              <w:numPr>
                <w:ilvl w:val="0"/>
                <w:numId w:val="0"/>
              </w:numPr>
              <w:jc w:val="left"/>
              <w:outlineLvl w:val="1"/>
              <w:rPr>
                <w:rFonts w:hint="eastAsia" w:ascii="方正仿宋_GBK" w:eastAsia="方正仿宋_GBK"/>
                <w:b/>
                <w:sz w:val="28"/>
                <w:lang w:val="en-US" w:eastAsia="zh-CN"/>
              </w:rPr>
            </w:pPr>
          </w:p>
          <w:p>
            <w:pPr>
              <w:numPr>
                <w:ilvl w:val="0"/>
                <w:numId w:val="0"/>
              </w:numPr>
              <w:ind w:firstLine="560" w:firstLineChars="200"/>
              <w:jc w:val="left"/>
              <w:outlineLvl w:val="1"/>
              <w:rPr>
                <w:rFonts w:hint="eastAsia" w:ascii="方正书宋_GBK" w:eastAsia="方正书宋_GBK"/>
                <w:b/>
              </w:rPr>
            </w:pPr>
            <w:r>
              <w:rPr>
                <w:rFonts w:hint="eastAsia" w:ascii="方正仿宋_GBK" w:eastAsia="方正仿宋_GBK"/>
                <w:b/>
                <w:sz w:val="28"/>
                <w:lang w:val="en-US" w:eastAsia="zh-CN"/>
              </w:rPr>
              <w:t>4、智慧法院装备购置经费</w:t>
            </w:r>
            <w:r>
              <w:rPr>
                <w:rFonts w:hint="eastAsia" w:ascii="方正仿宋_GBK" w:eastAsia="方正仿宋_GBK"/>
                <w:b/>
                <w:sz w:val="28"/>
              </w:rPr>
              <w:t>绩效目标表</w:t>
            </w:r>
            <w:r>
              <w:rPr>
                <w:rFonts w:hint="eastAsia" w:ascii="方正书宋_GBK" w:eastAsia="方正书宋_GBK"/>
                <w:b/>
              </w:rPr>
              <w:t xml:space="preserve"> </w:t>
            </w:r>
          </w:p>
          <w:p>
            <w:pPr>
              <w:numPr>
                <w:ilvl w:val="0"/>
                <w:numId w:val="0"/>
              </w:numPr>
              <w:ind w:left="140" w:leftChars="0"/>
              <w:jc w:val="left"/>
              <w:outlineLvl w:val="1"/>
              <w:rPr>
                <w:rFonts w:hint="eastAsia"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5"/>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、提高预算编制的完整性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、确保政法机关办案业务需要</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b/>
                <w:i w:val="0"/>
                <w:color w:val="000000"/>
                <w:kern w:val="0"/>
                <w:sz w:val="18"/>
                <w:szCs w:val="18"/>
                <w:u w:val="none"/>
                <w:lang w:val="en-US" w:eastAsia="zh-CN" w:bidi="ar"/>
              </w:rPr>
              <w:t>产出指标</w:t>
            </w: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购置验收通过率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通过验收的购置数量占购置总数的比率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政府采购率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实际政府采购数量占应实施政府采购数量的比率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购置质量合格率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购置质量合格的数量占购置总数量的比率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left w:val="single" w:color="auto" w:sz="4" w:space="0"/>
              <w:right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效果指标</w:t>
            </w: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业务保障能力提升情况</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购置对业务保障能力的提升情况</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公共服务水平提升情况</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购置对公共服务水平的提升情况</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调查中使用人员满意和较满意的数量占调差总人数的比率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满意度指标</w:t>
            </w:r>
          </w:p>
        </w:tc>
        <w:tc>
          <w:tcPr>
            <w:tcW w:w="1134"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群众满意数量占总数的比例。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vAlign w:val="center"/>
          </w:tcPr>
          <w:p>
            <w:pPr>
              <w:numPr>
                <w:ilvl w:val="0"/>
                <w:numId w:val="0"/>
              </w:numPr>
              <w:jc w:val="left"/>
              <w:outlineLvl w:val="1"/>
              <w:rPr>
                <w:rFonts w:hint="eastAsia" w:ascii="方正仿宋_GBK" w:eastAsia="方正仿宋_GBK"/>
                <w:b/>
                <w:sz w:val="28"/>
                <w:lang w:val="en-US" w:eastAsia="zh-CN"/>
              </w:rPr>
            </w:pPr>
          </w:p>
          <w:p>
            <w:pPr>
              <w:numPr>
                <w:ilvl w:val="0"/>
                <w:numId w:val="0"/>
              </w:numPr>
              <w:ind w:firstLine="560" w:firstLineChars="200"/>
              <w:jc w:val="left"/>
              <w:outlineLvl w:val="1"/>
              <w:rPr>
                <w:rFonts w:hint="eastAsia" w:ascii="方正书宋_GBK" w:eastAsia="方正书宋_GBK"/>
                <w:b/>
              </w:rPr>
            </w:pPr>
            <w:r>
              <w:rPr>
                <w:rFonts w:hint="eastAsia" w:ascii="方正仿宋_GBK" w:eastAsia="方正仿宋_GBK"/>
                <w:b/>
                <w:sz w:val="28"/>
                <w:lang w:val="en-US" w:eastAsia="zh-CN"/>
              </w:rPr>
              <w:t>5、扫黑除恶专项资金</w:t>
            </w:r>
            <w:r>
              <w:rPr>
                <w:rFonts w:hint="eastAsia" w:ascii="方正仿宋_GBK" w:eastAsia="方正仿宋_GBK"/>
                <w:b/>
                <w:sz w:val="28"/>
              </w:rPr>
              <w:t>绩效目标表</w:t>
            </w:r>
            <w:r>
              <w:rPr>
                <w:rFonts w:hint="eastAsia" w:ascii="方正书宋_GBK" w:eastAsia="方正书宋_GBK"/>
                <w:b/>
              </w:rPr>
              <w:t xml:space="preserve"> </w:t>
            </w:r>
          </w:p>
          <w:p>
            <w:pPr>
              <w:numPr>
                <w:ilvl w:val="0"/>
                <w:numId w:val="0"/>
              </w:numPr>
              <w:ind w:left="140" w:leftChars="0"/>
              <w:jc w:val="left"/>
              <w:outlineLvl w:val="1"/>
              <w:rPr>
                <w:rFonts w:hint="eastAsia"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5"/>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、采取有效措施，把扫黑除恶专项行动抓紧抓实</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、确保社会治安持续稳定</w:t>
            </w:r>
          </w:p>
        </w:tc>
      </w:tr>
    </w:tbl>
    <w:p>
      <w:pPr>
        <w:spacing w:line="14" w:lineRule="exact"/>
        <w:ind w:firstLine="420" w:firstLineChars="200"/>
        <w:jc w:val="center"/>
        <w:rPr>
          <w:rFonts w:ascii="Times New Roman" w:hAnsi="宋体"/>
        </w:rPr>
      </w:pPr>
      <w:r>
        <w:rPr>
          <w:rFonts w:ascii="方正书宋_GBK" w:eastAsia="方正书宋_GBK"/>
        </w:rPr>
        <w:t xml:space="preserve"> </w:t>
      </w:r>
    </w:p>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b/>
                <w:i w:val="0"/>
                <w:color w:val="000000"/>
                <w:kern w:val="0"/>
                <w:sz w:val="18"/>
                <w:szCs w:val="18"/>
                <w:u w:val="none"/>
                <w:lang w:val="en-US" w:eastAsia="zh-CN" w:bidi="ar"/>
              </w:rPr>
              <w:t>产出指标</w:t>
            </w: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审判流程公开率(%)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审判流程公开案件占全部案件的比率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执行公开率(%)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执行案件公开数占执结案件数的比率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提前执结率(%)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比执结规定提前的时间占执结规定时间的比率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left w:val="single" w:color="auto" w:sz="4" w:space="0"/>
              <w:right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效果指标</w:t>
            </w: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改判发回重审率(%)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被改判发回重审案件数占案件总数的比率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&lt;=85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案件流程合规率(%)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纳入审判管理流程案件与全部案件的比例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民事案件调解撤诉率(%)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调解后撤诉民事案件数占民事案件总数的比率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满意度指标</w:t>
            </w:r>
          </w:p>
        </w:tc>
        <w:tc>
          <w:tcPr>
            <w:tcW w:w="1134"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群众满意数量占总数的比例。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调查中使用人员满意和较满意的数量占调差总人数的比率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bl>
    <w:p>
      <w:pPr>
        <w:spacing w:line="300" w:lineRule="exact"/>
        <w:jc w:val="left"/>
      </w:pP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numPr>
                <w:ilvl w:val="0"/>
                <w:numId w:val="0"/>
              </w:numPr>
              <w:ind w:firstLine="560" w:firstLineChars="200"/>
              <w:jc w:val="left"/>
              <w:outlineLvl w:val="1"/>
              <w:rPr>
                <w:rFonts w:hint="eastAsia" w:ascii="方正书宋_GBK" w:eastAsia="方正书宋_GBK"/>
                <w:b/>
              </w:rPr>
            </w:pPr>
            <w:r>
              <w:rPr>
                <w:rFonts w:hint="eastAsia" w:ascii="方正仿宋_GBK" w:eastAsia="方正仿宋_GBK"/>
                <w:b/>
                <w:sz w:val="28"/>
                <w:lang w:val="en-US" w:eastAsia="zh-CN"/>
              </w:rPr>
              <w:t>6、提前下达2020年中央政法纪检监察转移支付资金</w:t>
            </w:r>
            <w:r>
              <w:rPr>
                <w:rFonts w:hint="eastAsia" w:ascii="方正仿宋_GBK" w:eastAsia="方正仿宋_GBK"/>
                <w:b/>
                <w:sz w:val="28"/>
              </w:rPr>
              <w:t>绩效目标表</w:t>
            </w:r>
            <w:r>
              <w:rPr>
                <w:rFonts w:hint="eastAsia" w:ascii="方正书宋_GBK" w:eastAsia="方正书宋_GBK"/>
                <w:b/>
              </w:rPr>
              <w:t xml:space="preserve"> </w:t>
            </w:r>
          </w:p>
          <w:p>
            <w:pPr>
              <w:numPr>
                <w:ilvl w:val="0"/>
                <w:numId w:val="0"/>
              </w:numPr>
              <w:ind w:left="140" w:leftChars="0"/>
              <w:jc w:val="left"/>
              <w:outlineLvl w:val="1"/>
              <w:rPr>
                <w:rFonts w:hint="eastAsia"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、提高预算编制的完整性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、确保政法机关办案业务需要</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b/>
                <w:i w:val="0"/>
                <w:color w:val="000000"/>
                <w:kern w:val="0"/>
                <w:sz w:val="18"/>
                <w:szCs w:val="18"/>
                <w:u w:val="none"/>
                <w:lang w:val="en-US" w:eastAsia="zh-CN" w:bidi="ar"/>
              </w:rPr>
              <w:t>产出指标</w:t>
            </w: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购置验收通过率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通过验收的购置数量占购置总数的比率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政府采购率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实际政府采购数量占应实施政府采购数量的比率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购置质量合格率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购置质量合格的数量占购置总数量的比率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left w:val="single" w:color="auto" w:sz="4" w:space="0"/>
              <w:right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效果指标</w:t>
            </w: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业务保障能力提升情况</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购置对业务保障能力的提升情况</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公共服务水平提升情况</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购置对公共服务水平的提升情况</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调查中使用人员满意和较满意的数量占调差总人数的比率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满意度指标</w:t>
            </w:r>
          </w:p>
        </w:tc>
        <w:tc>
          <w:tcPr>
            <w:tcW w:w="1134"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群众满意数量占总数的比例。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vAlign w:val="center"/>
          </w:tcPr>
          <w:p>
            <w:pPr>
              <w:numPr>
                <w:ilvl w:val="0"/>
                <w:numId w:val="0"/>
              </w:numPr>
              <w:ind w:firstLine="560" w:firstLineChars="200"/>
              <w:jc w:val="left"/>
              <w:outlineLvl w:val="1"/>
              <w:rPr>
                <w:rFonts w:hint="eastAsia" w:ascii="方正仿宋_GBK" w:eastAsia="方正仿宋_GBK"/>
                <w:b/>
                <w:sz w:val="28"/>
                <w:lang w:val="en-US" w:eastAsia="zh-CN"/>
              </w:rPr>
            </w:pPr>
          </w:p>
          <w:p>
            <w:pPr>
              <w:numPr>
                <w:ilvl w:val="0"/>
                <w:numId w:val="0"/>
              </w:numPr>
              <w:ind w:firstLine="560" w:firstLineChars="200"/>
              <w:jc w:val="left"/>
              <w:outlineLvl w:val="1"/>
              <w:rPr>
                <w:rFonts w:hint="eastAsia" w:ascii="方正书宋_GBK" w:eastAsia="方正书宋_GBK"/>
                <w:b/>
              </w:rPr>
            </w:pPr>
            <w:r>
              <w:rPr>
                <w:rFonts w:hint="eastAsia" w:ascii="方正仿宋_GBK" w:eastAsia="方正仿宋_GBK"/>
                <w:b/>
                <w:sz w:val="28"/>
                <w:lang w:val="en-US" w:eastAsia="zh-CN"/>
              </w:rPr>
              <w:t>7、提前下达2020年中央政法纪检监察转移支付资金</w:t>
            </w:r>
            <w:r>
              <w:rPr>
                <w:rFonts w:hint="eastAsia" w:ascii="方正仿宋_GBK" w:eastAsia="方正仿宋_GBK"/>
                <w:b/>
                <w:sz w:val="28"/>
              </w:rPr>
              <w:t>绩效目标表</w:t>
            </w:r>
            <w:r>
              <w:rPr>
                <w:rFonts w:hint="eastAsia" w:ascii="方正书宋_GBK" w:eastAsia="方正书宋_GBK"/>
                <w:b/>
              </w:rPr>
              <w:t xml:space="preserve"> </w:t>
            </w:r>
          </w:p>
          <w:p>
            <w:pPr>
              <w:numPr>
                <w:ilvl w:val="0"/>
                <w:numId w:val="0"/>
              </w:numPr>
              <w:ind w:left="140" w:leftChars="0"/>
              <w:jc w:val="left"/>
              <w:outlineLvl w:val="1"/>
              <w:rPr>
                <w:rFonts w:hint="eastAsia"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5"/>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、提高预算编制的完整性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、确保政法机关办案业务需要</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b/>
                <w:i w:val="0"/>
                <w:color w:val="000000"/>
                <w:kern w:val="0"/>
                <w:sz w:val="18"/>
                <w:szCs w:val="18"/>
                <w:u w:val="none"/>
                <w:lang w:val="en-US" w:eastAsia="zh-CN" w:bidi="ar"/>
              </w:rPr>
              <w:t>产出指标</w:t>
            </w: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购置验收通过率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通过验收的购置数量占购置总数的比率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政府采购率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实际政府采购数量占应实施政府采购数量的比率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质量指标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购置质量合格率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购置质量合格的数量占购置总数量的比率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left w:val="single" w:color="auto" w:sz="4" w:space="0"/>
              <w:right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效果指标</w:t>
            </w: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业务保障能力提升情况</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购置对业务保障能力的提升情况</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公共服务水平提升情况</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购置对公共服务水平的提升情况</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可持续影响指标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调查中使用人员满意和较满意的数量占调差总人数的比率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满意度指标</w:t>
            </w:r>
          </w:p>
        </w:tc>
        <w:tc>
          <w:tcPr>
            <w:tcW w:w="1134"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群众满意数量占总数的比例。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上级批复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vAlign w:val="center"/>
          </w:tcPr>
          <w:p>
            <w:pPr>
              <w:numPr>
                <w:ilvl w:val="0"/>
                <w:numId w:val="0"/>
              </w:numPr>
              <w:ind w:firstLine="560" w:firstLineChars="200"/>
              <w:jc w:val="left"/>
              <w:outlineLvl w:val="1"/>
              <w:rPr>
                <w:rFonts w:hint="eastAsia" w:ascii="方正仿宋_GBK" w:eastAsia="方正仿宋_GBK"/>
                <w:b/>
                <w:sz w:val="28"/>
                <w:lang w:val="en-US" w:eastAsia="zh-CN"/>
              </w:rPr>
            </w:pPr>
          </w:p>
          <w:p>
            <w:pPr>
              <w:numPr>
                <w:ilvl w:val="0"/>
                <w:numId w:val="0"/>
              </w:numPr>
              <w:ind w:firstLine="560" w:firstLineChars="200"/>
              <w:jc w:val="left"/>
              <w:outlineLvl w:val="1"/>
              <w:rPr>
                <w:rFonts w:hint="eastAsia" w:ascii="方正书宋_GBK" w:eastAsia="方正书宋_GBK"/>
                <w:b/>
              </w:rPr>
            </w:pPr>
            <w:r>
              <w:rPr>
                <w:rFonts w:hint="eastAsia" w:ascii="方正仿宋_GBK" w:eastAsia="方正仿宋_GBK"/>
                <w:b/>
                <w:sz w:val="28"/>
                <w:lang w:val="en-US" w:eastAsia="zh-CN"/>
              </w:rPr>
              <w:t>8、劳务派遣（26人）</w:t>
            </w:r>
            <w:r>
              <w:rPr>
                <w:rFonts w:hint="eastAsia" w:ascii="方正仿宋_GBK" w:eastAsia="方正仿宋_GBK"/>
                <w:b/>
                <w:sz w:val="28"/>
              </w:rPr>
              <w:t>绩效目标表</w:t>
            </w: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5"/>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、按月发放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w:t>
            </w:r>
            <w:r>
              <w:rPr>
                <w:rFonts w:hint="eastAsia" w:ascii="方正书宋_GBK" w:eastAsia="方正书宋_GBK"/>
                <w:lang w:val="en-US" w:eastAsia="zh-CN"/>
              </w:rPr>
              <w:t>时</w:t>
            </w:r>
            <w:r>
              <w:rPr>
                <w:rFonts w:hint="eastAsia" w:ascii="方正书宋_GBK" w:eastAsia="方正书宋_GBK"/>
              </w:rPr>
              <w:t>发放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b/>
                <w:i w:val="0"/>
                <w:color w:val="000000"/>
                <w:kern w:val="0"/>
                <w:sz w:val="18"/>
                <w:szCs w:val="18"/>
                <w:u w:val="none"/>
                <w:lang w:val="en-US" w:eastAsia="zh-CN" w:bidi="ar"/>
              </w:rPr>
              <w:t>产出指标</w:t>
            </w: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审判流程公开率(%)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审判流程公开案件占全部案件的比率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执行公开率(%)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执行案件公开数占执结案件数的比率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提前执结率(%)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比执结规定提前的时间占执结规定时间的比率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left w:val="single" w:color="auto" w:sz="4" w:space="0"/>
              <w:right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效果指标</w:t>
            </w: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改判发回重审率(%)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被改判发回重审案件数占案件总数的比率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&lt;=85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案件流程合规率(%)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纳入审判管理流程案件与全部案件的比例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民事案件调解撤诉率(%)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调解后撤诉民事案件数占民事案件总数的比率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满意度指标</w:t>
            </w:r>
          </w:p>
        </w:tc>
        <w:tc>
          <w:tcPr>
            <w:tcW w:w="1134"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群众满意数量占总数的比例。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vAlign w:val="center"/>
          </w:tcPr>
          <w:p>
            <w:pPr>
              <w:numPr>
                <w:ilvl w:val="0"/>
                <w:numId w:val="0"/>
              </w:numPr>
              <w:ind w:firstLine="560" w:firstLineChars="200"/>
              <w:jc w:val="left"/>
              <w:outlineLvl w:val="1"/>
              <w:rPr>
                <w:rFonts w:hint="eastAsia" w:ascii="方正仿宋_GBK" w:eastAsia="方正仿宋_GBK"/>
                <w:b/>
                <w:sz w:val="28"/>
                <w:lang w:val="en-US" w:eastAsia="zh-CN"/>
              </w:rPr>
            </w:pPr>
          </w:p>
          <w:p>
            <w:pPr>
              <w:numPr>
                <w:ilvl w:val="0"/>
                <w:numId w:val="2"/>
              </w:numPr>
              <w:ind w:firstLine="560" w:firstLineChars="200"/>
              <w:jc w:val="left"/>
              <w:outlineLvl w:val="1"/>
              <w:rPr>
                <w:rFonts w:hint="eastAsia" w:ascii="方正书宋_GBK" w:eastAsia="方正书宋_GBK"/>
                <w:b/>
              </w:rPr>
            </w:pPr>
            <w:r>
              <w:rPr>
                <w:rFonts w:hint="eastAsia" w:ascii="方正仿宋_GBK" w:eastAsia="方正仿宋_GBK"/>
                <w:b/>
                <w:sz w:val="28"/>
                <w:lang w:val="en-US" w:eastAsia="zh-CN"/>
              </w:rPr>
              <w:t>保安经费（3人）</w:t>
            </w:r>
            <w:r>
              <w:rPr>
                <w:rFonts w:hint="eastAsia" w:ascii="方正仿宋_GBK" w:eastAsia="方正仿宋_GBK"/>
                <w:b/>
                <w:sz w:val="28"/>
              </w:rPr>
              <w:t>绩效目标表</w:t>
            </w:r>
            <w:r>
              <w:rPr>
                <w:rFonts w:hint="eastAsia" w:ascii="方正书宋_GBK" w:eastAsia="方正书宋_GBK"/>
                <w:b/>
              </w:rPr>
              <w:t xml:space="preserve"> </w:t>
            </w:r>
          </w:p>
          <w:p>
            <w:pPr>
              <w:numPr>
                <w:ilvl w:val="0"/>
                <w:numId w:val="0"/>
              </w:numPr>
              <w:jc w:val="left"/>
              <w:outlineLvl w:val="1"/>
              <w:rPr>
                <w:rFonts w:hint="eastAsia"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5"/>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、按月发放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w:t>
            </w:r>
            <w:r>
              <w:rPr>
                <w:rFonts w:hint="eastAsia" w:ascii="方正书宋_GBK" w:eastAsia="方正书宋_GBK"/>
                <w:lang w:val="en-US" w:eastAsia="zh-CN"/>
              </w:rPr>
              <w:t>时</w:t>
            </w:r>
            <w:r>
              <w:rPr>
                <w:rFonts w:hint="eastAsia" w:ascii="方正书宋_GBK" w:eastAsia="方正书宋_GBK"/>
              </w:rPr>
              <w:t>发放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b/>
                <w:i w:val="0"/>
                <w:color w:val="000000"/>
                <w:kern w:val="0"/>
                <w:sz w:val="18"/>
                <w:szCs w:val="18"/>
                <w:u w:val="none"/>
                <w:lang w:val="en-US" w:eastAsia="zh-CN" w:bidi="ar"/>
              </w:rPr>
              <w:t>产出指标</w:t>
            </w: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审判流程公开率(%)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审判流程公开案件占全部案件的比率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执行公开率(%)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执行案件公开数占执结案件数的比率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数量指标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提前执结率(%)</w:t>
            </w:r>
          </w:p>
        </w:tc>
        <w:tc>
          <w:tcPr>
            <w:tcW w:w="289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比执结规定提前的时间占执结规定时间的比率</w:t>
            </w:r>
          </w:p>
        </w:tc>
        <w:tc>
          <w:tcPr>
            <w:tcW w:w="1276"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left w:val="single" w:color="auto" w:sz="4" w:space="0"/>
              <w:right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效果指标</w:t>
            </w: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改判发回重审率(%)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被改判发回重审案件数占案件总数的比率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&lt;=85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案件流程合规率(%)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纳入审判管理流程案件与全部案件的比例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left w:val="single" w:color="auto" w:sz="4" w:space="0"/>
              <w:bottom w:val="single" w:color="auto" w:sz="4" w:space="0"/>
              <w:right w:val="single" w:color="auto" w:sz="4" w:space="0"/>
            </w:tcBorders>
            <w:vAlign w:val="center"/>
          </w:tcPr>
          <w:p>
            <w:pPr>
              <w:jc w:val="center"/>
              <w:rPr>
                <w:rFonts w:ascii="方正书宋_GBK" w:eastAsia="方正书宋_GBK"/>
              </w:rPr>
            </w:pPr>
          </w:p>
        </w:tc>
        <w:tc>
          <w:tcPr>
            <w:tcW w:w="1134" w:type="dxa"/>
            <w:tcBorders>
              <w:lef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社会效益指标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民事案件调解撤诉率(%)</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调解后撤诉民事案件数占民事案件总数的比率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single" w:color="auto" w:sz="4" w:space="0"/>
            </w:tcBorders>
            <w:vAlign w:val="center"/>
          </w:tcPr>
          <w:p>
            <w:pPr>
              <w:keepNext w:val="0"/>
              <w:keepLines w:val="0"/>
              <w:widowControl/>
              <w:suppressLineNumbers w:val="0"/>
              <w:jc w:val="center"/>
              <w:textAlignment w:val="center"/>
              <w:rPr>
                <w:rFonts w:hint="default" w:ascii="方正书宋_GBK" w:eastAsia="方正书宋_GBK"/>
                <w:lang w:val="en-US" w:eastAsia="zh-CN"/>
              </w:rPr>
            </w:pPr>
            <w:r>
              <w:rPr>
                <w:rFonts w:hint="eastAsia" w:ascii="宋体" w:hAnsi="宋体" w:eastAsia="宋体" w:cs="宋体"/>
                <w:b/>
                <w:i w:val="0"/>
                <w:color w:val="000000"/>
                <w:kern w:val="0"/>
                <w:sz w:val="18"/>
                <w:szCs w:val="18"/>
                <w:u w:val="none"/>
                <w:lang w:val="en-US" w:eastAsia="zh-CN" w:bidi="ar"/>
              </w:rPr>
              <w:t>满意度指标</w:t>
            </w:r>
          </w:p>
        </w:tc>
        <w:tc>
          <w:tcPr>
            <w:tcW w:w="1134" w:type="dxa"/>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群众满意数量占总数的比例。</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jc w:val="center"/>
              <w:rPr>
                <w:rFonts w:ascii="方正书宋_GBK" w:eastAsia="方正书宋_GBK"/>
              </w:rPr>
            </w:pPr>
          </w:p>
        </w:tc>
        <w:tc>
          <w:tcPr>
            <w:tcW w:w="1134"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服务对象满意度指标</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使用人员的满意度</w:t>
            </w:r>
          </w:p>
        </w:tc>
        <w:tc>
          <w:tcPr>
            <w:tcW w:w="289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使用人员的满意程度</w:t>
            </w:r>
          </w:p>
        </w:tc>
        <w:tc>
          <w:tcPr>
            <w:tcW w:w="1276"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&gt;=85</w:t>
            </w:r>
          </w:p>
        </w:tc>
        <w:tc>
          <w:tcPr>
            <w:tcW w:w="1701" w:type="dxa"/>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年底结案总报表</w:t>
            </w:r>
          </w:p>
        </w:tc>
      </w:tr>
    </w:tbl>
    <w:p>
      <w:pPr>
        <w:spacing w:line="300" w:lineRule="exact"/>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296.50</w:t>
      </w:r>
      <w:r>
        <w:rPr>
          <w:rFonts w:ascii="Times New Roman" w:hAnsi="Times New Roman" w:eastAsia="仿宋" w:cs="Times New Roman"/>
          <w:sz w:val="32"/>
          <w:szCs w:val="24"/>
        </w:rPr>
        <w:t>万元。具体内容见下表。</w:t>
      </w:r>
      <w:bookmarkEnd w:id="5"/>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 w:name="_Toc28848395"/>
      <w:r>
        <w:rPr>
          <w:rFonts w:hint="eastAsia" w:ascii="方正小标宋_GBK" w:eastAsia="方正小标宋_GBK"/>
          <w:sz w:val="32"/>
        </w:rPr>
        <w:instrText xml:space="preserve">部门政府采购预算</w:instrText>
      </w:r>
      <w:bookmarkEnd w:id="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9"/>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161石家庄市井陉矿区人民法院</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hAnsi="Calibri" w:eastAsia="方正书宋_GBK" w:cs="黑体"/>
                <w:b/>
                <w:kern w:val="2"/>
                <w:sz w:val="21"/>
                <w:szCs w:val="22"/>
                <w:lang w:val="en-US" w:eastAsia="zh-CN" w:bidi="ar-SA"/>
              </w:rPr>
            </w:pPr>
            <w:r>
              <w:rPr>
                <w:rFonts w:hint="eastAsia" w:ascii="方正书宋_GBK" w:eastAsia="方正书宋_GBK"/>
                <w:b/>
              </w:rPr>
              <w:t>矿区人民法院机关小计</w:t>
            </w:r>
          </w:p>
        </w:tc>
        <w:tc>
          <w:tcPr>
            <w:tcW w:w="1134" w:type="dxa"/>
            <w:vAlign w:val="center"/>
          </w:tcPr>
          <w:p>
            <w:pPr>
              <w:spacing w:line="300" w:lineRule="exact"/>
              <w:jc w:val="right"/>
              <w:rPr>
                <w:rFonts w:ascii="方正书宋_GBK" w:hAnsi="Calibri" w:eastAsia="方正书宋_GBK" w:cs="黑体"/>
                <w:b/>
                <w:kern w:val="2"/>
                <w:sz w:val="21"/>
                <w:szCs w:val="22"/>
                <w:lang w:val="en-US" w:eastAsia="zh-CN" w:bidi="ar-SA"/>
              </w:rPr>
            </w:pPr>
          </w:p>
        </w:tc>
        <w:tc>
          <w:tcPr>
            <w:tcW w:w="1559" w:type="dxa"/>
            <w:vAlign w:val="center"/>
          </w:tcPr>
          <w:p>
            <w:pPr>
              <w:spacing w:line="300" w:lineRule="exact"/>
              <w:jc w:val="left"/>
              <w:rPr>
                <w:rFonts w:ascii="方正书宋_GBK" w:hAnsi="Calibri" w:eastAsia="方正书宋_GBK" w:cs="黑体"/>
                <w:b/>
                <w:kern w:val="2"/>
                <w:sz w:val="21"/>
                <w:szCs w:val="22"/>
                <w:lang w:val="en-US" w:eastAsia="zh-CN" w:bidi="ar-SA"/>
              </w:rPr>
            </w:pPr>
          </w:p>
        </w:tc>
        <w:tc>
          <w:tcPr>
            <w:tcW w:w="1417" w:type="dxa"/>
            <w:vAlign w:val="center"/>
          </w:tcPr>
          <w:p>
            <w:pPr>
              <w:spacing w:line="300" w:lineRule="exact"/>
              <w:jc w:val="left"/>
              <w:rPr>
                <w:rFonts w:ascii="方正书宋_GBK" w:hAnsi="Calibri" w:eastAsia="方正书宋_GBK" w:cs="黑体"/>
                <w:b/>
                <w:kern w:val="2"/>
                <w:sz w:val="21"/>
                <w:szCs w:val="22"/>
                <w:lang w:val="en-US" w:eastAsia="zh-CN" w:bidi="ar-SA"/>
              </w:rPr>
            </w:pPr>
          </w:p>
        </w:tc>
        <w:tc>
          <w:tcPr>
            <w:tcW w:w="709" w:type="dxa"/>
            <w:vAlign w:val="center"/>
          </w:tcPr>
          <w:p>
            <w:pPr>
              <w:spacing w:line="300" w:lineRule="exact"/>
              <w:jc w:val="center"/>
              <w:rPr>
                <w:rFonts w:ascii="方正书宋_GBK" w:hAnsi="Calibri" w:eastAsia="方正书宋_GBK" w:cs="黑体"/>
                <w:b/>
                <w:kern w:val="2"/>
                <w:sz w:val="21"/>
                <w:szCs w:val="22"/>
                <w:lang w:val="en-US" w:eastAsia="zh-CN" w:bidi="ar-SA"/>
              </w:rPr>
            </w:pPr>
          </w:p>
        </w:tc>
        <w:tc>
          <w:tcPr>
            <w:tcW w:w="851" w:type="dxa"/>
            <w:vAlign w:val="center"/>
          </w:tcPr>
          <w:p>
            <w:pPr>
              <w:spacing w:line="300" w:lineRule="exact"/>
              <w:jc w:val="right"/>
              <w:rPr>
                <w:rFonts w:ascii="方正书宋_GBK" w:hAnsi="Calibri" w:eastAsia="方正书宋_GBK" w:cs="黑体"/>
                <w:b/>
                <w:kern w:val="2"/>
                <w:sz w:val="21"/>
                <w:szCs w:val="22"/>
                <w:lang w:val="en-US" w:eastAsia="zh-CN" w:bidi="ar-SA"/>
              </w:rPr>
            </w:pPr>
          </w:p>
        </w:tc>
        <w:tc>
          <w:tcPr>
            <w:tcW w:w="992" w:type="dxa"/>
            <w:vAlign w:val="center"/>
          </w:tcPr>
          <w:p>
            <w:pPr>
              <w:spacing w:line="300" w:lineRule="exact"/>
              <w:jc w:val="right"/>
              <w:rPr>
                <w:rFonts w:ascii="方正书宋_GBK" w:hAnsi="Calibri" w:eastAsia="方正书宋_GBK" w:cs="黑体"/>
                <w:b/>
                <w:kern w:val="2"/>
                <w:sz w:val="21"/>
                <w:szCs w:val="22"/>
                <w:lang w:val="en-US" w:eastAsia="zh-CN" w:bidi="ar-SA"/>
              </w:rPr>
            </w:pPr>
          </w:p>
        </w:tc>
        <w:tc>
          <w:tcPr>
            <w:tcW w:w="992" w:type="dxa"/>
            <w:vAlign w:val="center"/>
          </w:tcPr>
          <w:p>
            <w:pPr>
              <w:spacing w:line="300" w:lineRule="exact"/>
              <w:jc w:val="right"/>
              <w:rPr>
                <w:rFonts w:ascii="方正书宋_GBK" w:hAnsi="Calibri" w:eastAsia="方正书宋_GBK" w:cs="黑体"/>
                <w:b/>
                <w:kern w:val="2"/>
                <w:sz w:val="21"/>
                <w:szCs w:val="22"/>
                <w:lang w:val="en-US" w:eastAsia="zh-CN" w:bidi="ar-SA"/>
              </w:rPr>
            </w:pPr>
            <w:r>
              <w:rPr>
                <w:rFonts w:ascii="方正书宋_GBK" w:eastAsia="方正书宋_GBK"/>
                <w:b/>
              </w:rPr>
              <w:t>296.50</w:t>
            </w:r>
          </w:p>
        </w:tc>
        <w:tc>
          <w:tcPr>
            <w:tcW w:w="992" w:type="dxa"/>
            <w:vAlign w:val="center"/>
          </w:tcPr>
          <w:p>
            <w:pPr>
              <w:spacing w:line="300" w:lineRule="exact"/>
              <w:jc w:val="right"/>
              <w:rPr>
                <w:rFonts w:ascii="方正书宋_GBK" w:hAnsi="Calibri" w:eastAsia="方正书宋_GBK" w:cs="黑体"/>
                <w:b/>
                <w:kern w:val="2"/>
                <w:sz w:val="21"/>
                <w:szCs w:val="22"/>
                <w:lang w:val="en-US" w:eastAsia="zh-CN" w:bidi="ar-SA"/>
              </w:rPr>
            </w:pPr>
            <w:r>
              <w:rPr>
                <w:rFonts w:ascii="方正书宋_GBK" w:eastAsia="方正书宋_GBK"/>
                <w:b/>
              </w:rPr>
              <w:t>296.50</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其他运行维护服务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C020699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项</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3" w:type="dxa"/>
            <w:vAlign w:val="center"/>
          </w:tcPr>
          <w:p>
            <w:pPr>
              <w:spacing w:line="300" w:lineRule="exact"/>
              <w:jc w:val="right"/>
              <w:rPr>
                <w:rFonts w:hint="eastAsia" w:ascii="新宋体" w:hAnsi="新宋体" w:eastAsia="新宋体" w:cs="新宋体"/>
                <w:b/>
                <w:sz w:val="20"/>
                <w:szCs w:val="20"/>
              </w:rPr>
            </w:pPr>
          </w:p>
        </w:tc>
        <w:tc>
          <w:tcPr>
            <w:tcW w:w="1134" w:type="dxa"/>
            <w:vAlign w:val="center"/>
          </w:tcPr>
          <w:p>
            <w:pPr>
              <w:spacing w:line="300" w:lineRule="exact"/>
              <w:jc w:val="right"/>
              <w:rPr>
                <w:rFonts w:hint="eastAsia" w:ascii="新宋体" w:hAnsi="新宋体" w:eastAsia="新宋体" w:cs="新宋体"/>
                <w:b/>
                <w:sz w:val="20"/>
                <w:szCs w:val="20"/>
              </w:rPr>
            </w:pPr>
          </w:p>
        </w:tc>
        <w:tc>
          <w:tcPr>
            <w:tcW w:w="850" w:type="dxa"/>
            <w:vAlign w:val="center"/>
          </w:tcPr>
          <w:p>
            <w:pPr>
              <w:spacing w:line="300" w:lineRule="exact"/>
              <w:jc w:val="right"/>
              <w:rPr>
                <w:rFonts w:hint="eastAsia" w:ascii="新宋体" w:hAnsi="新宋体" w:eastAsia="新宋体" w:cs="新宋体"/>
                <w:b/>
                <w:sz w:val="20"/>
                <w:szCs w:val="20"/>
              </w:rPr>
            </w:pPr>
          </w:p>
        </w:tc>
        <w:tc>
          <w:tcPr>
            <w:tcW w:w="893" w:type="dxa"/>
            <w:vAlign w:val="center"/>
          </w:tcPr>
          <w:p>
            <w:pPr>
              <w:spacing w:line="300" w:lineRule="exact"/>
              <w:jc w:val="right"/>
              <w:rPr>
                <w:rFonts w:hint="eastAsia" w:ascii="新宋体" w:hAnsi="新宋体" w:eastAsia="新宋体" w:cs="新宋体"/>
                <w:b/>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其他维修和保养服务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C0599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项</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90"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其他印刷品</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A080299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项</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其他办公消耗用品及类似物品</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A0999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月</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19.20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19.20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计算机设备零部件</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A020109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项</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10.80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10.80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10.80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鼓粉盒</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A090201</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个</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0.04</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粉盒</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A090202</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个</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304.00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0.05</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15.20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15.20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复印纸</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A090101</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箱</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700.00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0.02</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14.00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14.00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其他车辆维修和保养服务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C050399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项</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6.00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6.00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6.00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车辆维修和保养服务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C050301</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项</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8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日常公用经费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164.00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车辆加油服务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C050302</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项</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9.00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9.00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9.00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智慧法院装备购置经费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其他安全设备</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A02010399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套</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25.00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25.00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25.00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智慧法院装备购置经费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其他计算机设备及软件</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A020199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套</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55.00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55.00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55.00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智慧法院装备购置经费</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行业应用软件</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A0201080302</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套</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40.00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40.00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40.00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木骨架沙发类</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A060402</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个</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7.00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0.15</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1.05</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1.05</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木骨架沙发类</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A060402</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个</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6.00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0.20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软件集成实施服务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C020203</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套</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其他椅凳类</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A060399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排</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0.16</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1.92</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1.92</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台式计算机</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A02010104</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台</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6.00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0.43</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2.58</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2.58</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多功能一体机</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A020204</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台</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6.00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0.17</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1.02</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1.02</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其他椅凳类</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A060399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张</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44.00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0.03</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1.32</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1.32</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木制台、桌类</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A060205</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张</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26.00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0.17</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4.42</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4.42</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空调机</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A0206180203</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台</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0.27</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3.24</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3.24</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其他安全设备</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A02010399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个</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2.00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凤山、贾庄人民法庭配套装备</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30.00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木制台、桌类</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A060205</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张</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1.25</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1.25</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1.25</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提前下达2020年中央政法纪检监察转移支付资金</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96.00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信息化工程监理服务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C0204</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套</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16.00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提前下达2020年中央政法纪检监察转移支付资金</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96.00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软件集成实施服务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C020203</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套</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5.00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提前下达2020年中央政法纪检监察转移支付资金</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96.00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软件运维服务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C020603</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套</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7.80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7.80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7.80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提前下达2020年省级公检法司转移支付资金</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45.00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其他打印设备</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A0201060199</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台</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6.00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0.25</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1.50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1.50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jc w:val="center"/>
        </w:trPr>
        <w:tc>
          <w:tcPr>
            <w:tcW w:w="3106"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提前下达2020年省级公检法司转移支付资金</w:t>
            </w:r>
          </w:p>
        </w:tc>
        <w:tc>
          <w:tcPr>
            <w:tcW w:w="1134"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45.00</w:t>
            </w:r>
          </w:p>
        </w:tc>
        <w:tc>
          <w:tcPr>
            <w:tcW w:w="1559"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软件集成实施服务</w:t>
            </w:r>
          </w:p>
        </w:tc>
        <w:tc>
          <w:tcPr>
            <w:tcW w:w="1417" w:type="dxa"/>
            <w:vAlign w:val="center"/>
          </w:tcPr>
          <w:p>
            <w:pPr>
              <w:spacing w:line="300" w:lineRule="exact"/>
              <w:jc w:val="lef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C020203</w:t>
            </w:r>
          </w:p>
        </w:tc>
        <w:tc>
          <w:tcPr>
            <w:tcW w:w="709" w:type="dxa"/>
            <w:vAlign w:val="center"/>
          </w:tcPr>
          <w:p>
            <w:pPr>
              <w:spacing w:line="300" w:lineRule="exact"/>
              <w:jc w:val="center"/>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套</w:t>
            </w:r>
          </w:p>
        </w:tc>
        <w:tc>
          <w:tcPr>
            <w:tcW w:w="851"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w:t>
            </w:r>
          </w:p>
        </w:tc>
        <w:tc>
          <w:tcPr>
            <w:tcW w:w="992" w:type="dxa"/>
            <w:vAlign w:val="center"/>
          </w:tcPr>
          <w:p>
            <w:pPr>
              <w:spacing w:line="300" w:lineRule="exact"/>
              <w:jc w:val="right"/>
              <w:rPr>
                <w:rFonts w:hint="eastAsia" w:ascii="新宋体" w:hAnsi="新宋体" w:eastAsia="新宋体" w:cs="新宋体"/>
                <w:kern w:val="2"/>
                <w:sz w:val="20"/>
                <w:szCs w:val="20"/>
                <w:lang w:val="en-US" w:eastAsia="zh-CN" w:bidi="ar-SA"/>
              </w:rPr>
            </w:pPr>
            <w:r>
              <w:rPr>
                <w:rFonts w:hint="eastAsia" w:ascii="新宋体" w:hAnsi="新宋体" w:eastAsia="新宋体" w:cs="新宋体"/>
                <w:sz w:val="20"/>
                <w:szCs w:val="20"/>
              </w:rPr>
              <w:t>12.00</w:t>
            </w:r>
          </w:p>
        </w:tc>
        <w:tc>
          <w:tcPr>
            <w:tcW w:w="993" w:type="dxa"/>
            <w:vAlign w:val="center"/>
          </w:tcPr>
          <w:p>
            <w:pPr>
              <w:spacing w:line="300" w:lineRule="exact"/>
              <w:jc w:val="right"/>
              <w:rPr>
                <w:rFonts w:hint="eastAsia" w:ascii="新宋体" w:hAnsi="新宋体" w:eastAsia="新宋体" w:cs="新宋体"/>
                <w:sz w:val="20"/>
                <w:szCs w:val="20"/>
              </w:rPr>
            </w:pPr>
          </w:p>
        </w:tc>
        <w:tc>
          <w:tcPr>
            <w:tcW w:w="1134" w:type="dxa"/>
            <w:vAlign w:val="center"/>
          </w:tcPr>
          <w:p>
            <w:pPr>
              <w:spacing w:line="300" w:lineRule="exact"/>
              <w:jc w:val="right"/>
              <w:rPr>
                <w:rFonts w:hint="eastAsia" w:ascii="新宋体" w:hAnsi="新宋体" w:eastAsia="新宋体" w:cs="新宋体"/>
                <w:sz w:val="20"/>
                <w:szCs w:val="20"/>
              </w:rPr>
            </w:pPr>
          </w:p>
        </w:tc>
        <w:tc>
          <w:tcPr>
            <w:tcW w:w="850" w:type="dxa"/>
            <w:vAlign w:val="center"/>
          </w:tcPr>
          <w:p>
            <w:pPr>
              <w:spacing w:line="300" w:lineRule="exact"/>
              <w:jc w:val="right"/>
              <w:rPr>
                <w:rFonts w:hint="eastAsia" w:ascii="新宋体" w:hAnsi="新宋体" w:eastAsia="新宋体" w:cs="新宋体"/>
                <w:sz w:val="20"/>
                <w:szCs w:val="20"/>
              </w:rPr>
            </w:pPr>
          </w:p>
        </w:tc>
        <w:tc>
          <w:tcPr>
            <w:tcW w:w="893" w:type="dxa"/>
            <w:vAlign w:val="center"/>
          </w:tcPr>
          <w:p>
            <w:pPr>
              <w:spacing w:line="300" w:lineRule="exact"/>
              <w:jc w:val="right"/>
              <w:rPr>
                <w:rFonts w:hint="eastAsia" w:ascii="新宋体" w:hAnsi="新宋体" w:eastAsia="新宋体" w:cs="新宋体"/>
                <w:sz w:val="20"/>
                <w:szCs w:val="20"/>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val="en-US" w:eastAsia="zh-CN"/>
        </w:rPr>
        <w:t>石家庄市井陉矿区人民法院2019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1282.84</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296.50</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val="en-US" w:eastAsia="zh-CN"/>
        </w:rPr>
        <w:t>贾庄、凤山法庭改建及智慧法院建设</w:t>
      </w:r>
      <w:r>
        <w:rPr>
          <w:rFonts w:ascii="Times New Roman" w:hAnsi="Times New Roman" w:eastAsia="仿宋" w:cs="Times New Roman"/>
          <w:color w:val="000000"/>
          <w:sz w:val="32"/>
          <w:szCs w:val="32"/>
        </w:rPr>
        <w:t>，已列入政府采购预算表</w:t>
      </w:r>
      <w:r>
        <w:rPr>
          <w:rFonts w:hint="eastAsia" w:ascii="Times New Roman" w:hAnsi="Times New Roman" w:eastAsia="仿宋" w:cs="Times New Roman"/>
          <w:color w:val="000000"/>
          <w:sz w:val="32"/>
          <w:szCs w:val="32"/>
        </w:rPr>
        <w:t>，详见政府采购预算表。</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val="en-US" w:eastAsia="zh-CN"/>
              </w:rPr>
              <w:t>石家庄市井陉矿区人民法院</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shd w:val="clear" w:color="auto" w:fill="auto"/>
                <w:lang w:val="en-US" w:eastAsia="zh-CN"/>
              </w:rPr>
              <w:t>1282.84</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3752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421.47</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620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9</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107.22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754.15</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新宋体">
    <w:panose1 w:val="02010609030101010101"/>
    <w:charset w:val="86"/>
    <w:family w:val="auto"/>
    <w:pitch w:val="default"/>
    <w:sig w:usb0="00000003" w:usb1="288F0000" w:usb2="0000000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401CAE"/>
    <w:multiLevelType w:val="singleLevel"/>
    <w:tmpl w:val="BE401CAE"/>
    <w:lvl w:ilvl="0" w:tentative="0">
      <w:start w:val="2"/>
      <w:numFmt w:val="chineseCounting"/>
      <w:suff w:val="space"/>
      <w:lvlText w:val="第%1部分"/>
      <w:lvlJc w:val="left"/>
      <w:rPr>
        <w:rFonts w:hint="eastAsia"/>
      </w:rPr>
    </w:lvl>
  </w:abstractNum>
  <w:abstractNum w:abstractNumId="1">
    <w:nsid w:val="E740DAA3"/>
    <w:multiLevelType w:val="singleLevel"/>
    <w:tmpl w:val="E740DAA3"/>
    <w:lvl w:ilvl="0" w:tentative="0">
      <w:start w:val="9"/>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9059E"/>
    <w:rsid w:val="007F0341"/>
    <w:rsid w:val="009A521C"/>
    <w:rsid w:val="00D607DA"/>
    <w:rsid w:val="00DC6EE5"/>
    <w:rsid w:val="00EE71BA"/>
    <w:rsid w:val="00F867E4"/>
    <w:rsid w:val="056D17C0"/>
    <w:rsid w:val="2020304B"/>
    <w:rsid w:val="37405892"/>
    <w:rsid w:val="39A44192"/>
    <w:rsid w:val="42C42778"/>
    <w:rsid w:val="43D12585"/>
    <w:rsid w:val="664A72C3"/>
    <w:rsid w:val="75710AB3"/>
    <w:rsid w:val="7B2C45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uiPriority w:val="1"/>
  </w:style>
  <w:style w:type="table" w:default="1" w:styleId="9">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7</TotalTime>
  <ScaleCrop>false</ScaleCrop>
  <LinksUpToDate>false</LinksUpToDate>
  <CharactersWithSpaces>8841</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2020-06-24T04:57:00Z</cp:lastPrinted>
  <dcterms:modified xsi:type="dcterms:W3CDTF">2021-05-24T05:47:01Z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A7B14B5F8A3F42ECB8044E314BF439CD</vt:lpwstr>
  </property>
</Properties>
</file>